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E2F0D9" w:themeColor="accent6" w:themeTint="33"/>
  <w:body>
    <w:p>
      <w:pPr>
        <w:pStyle w:val="595"/>
        <w:rPr>
          <w:b/>
          <w:bCs/>
          <w:color w:val="auto"/>
          <w:sz w:val="28"/>
          <w:szCs w:val="28"/>
          <w:highlight w:val="none"/>
        </w:rPr>
      </w:pPr>
    </w:p>
    <w:p>
      <w:pPr>
        <w:widowControl w:val="0"/>
        <w:ind w:firstLine="420"/>
        <w:jc w:val="both"/>
        <w:rPr>
          <w:rFonts w:ascii="Times New Roman" w:hAnsi="Times New Roman" w:eastAsia="宋体" w:cs="Times New Roman"/>
          <w:color w:val="auto"/>
          <w:kern w:val="2"/>
          <w:sz w:val="21"/>
          <w:szCs w:val="28"/>
          <w:highlight w:val="none"/>
          <w:lang w:val="en-US" w:eastAsia="zh-CN" w:bidi="ar-SA"/>
        </w:rPr>
      </w:pPr>
    </w:p>
    <w:p>
      <w:pPr>
        <w:widowControl w:val="0"/>
        <w:adjustRightInd/>
        <w:snapToGrid/>
        <w:spacing w:line="240" w:lineRule="auto"/>
        <w:ind w:firstLine="0" w:firstLineChars="0"/>
        <w:rPr>
          <w:rFonts w:eastAsia="宋体"/>
          <w:color w:val="auto"/>
          <w:kern w:val="2"/>
          <w:szCs w:val="24"/>
          <w:highlight w:val="none"/>
        </w:rPr>
      </w:pPr>
    </w:p>
    <w:p>
      <w:pPr>
        <w:widowControl w:val="0"/>
        <w:adjustRightInd/>
        <w:snapToGrid/>
        <w:spacing w:line="240" w:lineRule="auto"/>
        <w:ind w:firstLine="0" w:firstLineChars="0"/>
        <w:rPr>
          <w:rFonts w:eastAsia="宋体"/>
          <w:color w:val="auto"/>
          <w:kern w:val="2"/>
          <w:szCs w:val="24"/>
          <w:highlight w:val="none"/>
        </w:rPr>
      </w:pPr>
    </w:p>
    <w:p>
      <w:pPr>
        <w:widowControl w:val="0"/>
        <w:adjustRightInd/>
        <w:snapToGrid/>
        <w:spacing w:line="240" w:lineRule="auto"/>
        <w:ind w:firstLine="0" w:firstLineChars="0"/>
        <w:rPr>
          <w:rFonts w:hint="eastAsia" w:eastAsia="宋体"/>
          <w:color w:val="auto"/>
          <w:kern w:val="2"/>
          <w:szCs w:val="24"/>
          <w:highlight w:val="none"/>
        </w:rPr>
      </w:pPr>
    </w:p>
    <w:p>
      <w:pPr>
        <w:widowControl w:val="0"/>
        <w:adjustRightInd/>
        <w:snapToGrid/>
        <w:spacing w:line="240" w:lineRule="auto"/>
        <w:ind w:firstLine="0" w:firstLineChars="0"/>
        <w:rPr>
          <w:rFonts w:eastAsia="宋体"/>
          <w:color w:val="auto"/>
          <w:kern w:val="2"/>
          <w:szCs w:val="24"/>
          <w:highlight w:val="none"/>
        </w:rPr>
      </w:pPr>
    </w:p>
    <w:p>
      <w:pPr>
        <w:widowControl w:val="0"/>
        <w:adjustRightInd/>
        <w:snapToGrid/>
        <w:spacing w:line="240" w:lineRule="auto"/>
        <w:ind w:firstLine="0" w:firstLineChars="0"/>
        <w:rPr>
          <w:rFonts w:eastAsia="宋体"/>
          <w:color w:val="auto"/>
          <w:kern w:val="2"/>
          <w:szCs w:val="24"/>
          <w:highlight w:val="none"/>
        </w:rPr>
      </w:pPr>
    </w:p>
    <w:p>
      <w:pPr>
        <w:widowControl w:val="0"/>
        <w:adjustRightInd/>
        <w:snapToGrid/>
        <w:spacing w:line="240" w:lineRule="auto"/>
        <w:ind w:firstLine="0" w:firstLineChars="0"/>
        <w:rPr>
          <w:rFonts w:eastAsia="宋体"/>
          <w:color w:val="auto"/>
          <w:kern w:val="2"/>
          <w:szCs w:val="24"/>
          <w:highlight w:val="none"/>
        </w:rPr>
      </w:pPr>
    </w:p>
    <w:p>
      <w:pPr>
        <w:widowControl w:val="0"/>
        <w:adjustRightInd/>
        <w:snapToGrid/>
        <w:spacing w:line="240" w:lineRule="auto"/>
        <w:ind w:firstLine="0" w:firstLineChars="0"/>
        <w:rPr>
          <w:rFonts w:eastAsia="宋体"/>
          <w:color w:val="auto"/>
          <w:kern w:val="2"/>
          <w:szCs w:val="24"/>
          <w:highlight w:val="none"/>
        </w:rPr>
      </w:pPr>
    </w:p>
    <w:p>
      <w:pPr>
        <w:widowControl w:val="0"/>
        <w:adjustRightInd/>
        <w:snapToGrid/>
        <w:spacing w:line="240" w:lineRule="auto"/>
        <w:ind w:firstLine="0" w:firstLineChars="0"/>
        <w:rPr>
          <w:rFonts w:eastAsia="宋体"/>
          <w:color w:val="auto"/>
          <w:kern w:val="2"/>
          <w:szCs w:val="24"/>
          <w:highlight w:val="none"/>
        </w:rPr>
      </w:pPr>
    </w:p>
    <w:p>
      <w:pPr>
        <w:widowControl w:val="0"/>
        <w:adjustRightInd/>
        <w:snapToGrid/>
        <w:spacing w:line="240" w:lineRule="auto"/>
        <w:ind w:firstLine="0" w:firstLineChars="0"/>
        <w:jc w:val="center"/>
        <w:outlineLvl w:val="9"/>
        <w:rPr>
          <w:rFonts w:eastAsia="宋体"/>
          <w:color w:val="auto"/>
          <w:kern w:val="2"/>
          <w:szCs w:val="24"/>
          <w:highlight w:val="none"/>
        </w:rPr>
      </w:pPr>
      <w:bookmarkStart w:id="0" w:name="_Toc24036"/>
      <w:bookmarkStart w:id="1" w:name="_Toc22511"/>
      <w:r>
        <w:rPr>
          <w:rFonts w:eastAsia="方正小标宋_GBK"/>
          <w:bCs/>
          <w:color w:val="auto"/>
          <w:kern w:val="2"/>
          <w:sz w:val="72"/>
          <w:szCs w:val="72"/>
          <w:highlight w:val="none"/>
        </w:rPr>
        <w:t>建设项目环境影响报告表</w:t>
      </w:r>
      <w:bookmarkEnd w:id="0"/>
      <w:bookmarkEnd w:id="1"/>
    </w:p>
    <w:p>
      <w:pPr>
        <w:widowControl w:val="0"/>
        <w:adjustRightInd w:val="0"/>
        <w:snapToGrid w:val="0"/>
        <w:spacing w:before="192" w:beforeLines="80" w:line="240" w:lineRule="auto"/>
        <w:ind w:firstLine="0" w:firstLineChars="0"/>
        <w:jc w:val="center"/>
        <w:rPr>
          <w:rFonts w:hint="eastAsia" w:eastAsia="楷体_GB2312"/>
          <w:bCs/>
          <w:color w:val="auto"/>
          <w:kern w:val="2"/>
          <w:sz w:val="48"/>
          <w:szCs w:val="48"/>
          <w:highlight w:val="none"/>
        </w:rPr>
      </w:pPr>
      <w:r>
        <w:rPr>
          <w:rFonts w:eastAsia="楷体_GB2312"/>
          <w:bCs/>
          <w:color w:val="auto"/>
          <w:kern w:val="2"/>
          <w:sz w:val="48"/>
          <w:szCs w:val="48"/>
          <w:highlight w:val="none"/>
        </w:rPr>
        <w:t>（污染影响类</w:t>
      </w:r>
      <w:r>
        <w:rPr>
          <w:rFonts w:hint="eastAsia" w:eastAsia="楷体_GB2312"/>
          <w:bCs/>
          <w:color w:val="auto"/>
          <w:kern w:val="2"/>
          <w:sz w:val="48"/>
          <w:szCs w:val="48"/>
          <w:highlight w:val="none"/>
        </w:rPr>
        <w:t>）</w:t>
      </w:r>
    </w:p>
    <w:p>
      <w:pPr>
        <w:widowControl w:val="0"/>
        <w:adjustRightInd w:val="0"/>
        <w:snapToGrid w:val="0"/>
        <w:spacing w:before="192" w:beforeLines="80" w:line="240" w:lineRule="auto"/>
        <w:ind w:firstLine="0" w:firstLineChars="0"/>
        <w:jc w:val="center"/>
        <w:rPr>
          <w:rFonts w:hint="eastAsia" w:eastAsia="楷体_GB2312"/>
          <w:bCs/>
          <w:color w:val="auto"/>
          <w:kern w:val="2"/>
          <w:sz w:val="48"/>
          <w:szCs w:val="48"/>
          <w:highlight w:val="none"/>
          <w:lang w:eastAsia="zh-CN"/>
        </w:rPr>
      </w:pPr>
    </w:p>
    <w:p>
      <w:pPr>
        <w:widowControl w:val="0"/>
        <w:adjustRightInd/>
        <w:snapToGrid/>
        <w:spacing w:line="240" w:lineRule="auto"/>
        <w:ind w:firstLine="0" w:firstLineChars="0"/>
        <w:rPr>
          <w:rFonts w:eastAsia="宋体"/>
          <w:color w:val="auto"/>
          <w:kern w:val="2"/>
          <w:szCs w:val="24"/>
          <w:highlight w:val="none"/>
        </w:rPr>
      </w:pPr>
    </w:p>
    <w:p>
      <w:pPr>
        <w:widowControl w:val="0"/>
        <w:adjustRightInd/>
        <w:snapToGrid/>
        <w:spacing w:line="240" w:lineRule="auto"/>
        <w:ind w:firstLine="0" w:firstLineChars="0"/>
        <w:rPr>
          <w:rFonts w:eastAsia="宋体"/>
          <w:color w:val="auto"/>
          <w:kern w:val="2"/>
          <w:szCs w:val="24"/>
          <w:highlight w:val="none"/>
        </w:rPr>
      </w:pPr>
    </w:p>
    <w:p>
      <w:pPr>
        <w:widowControl w:val="0"/>
        <w:adjustRightInd/>
        <w:snapToGrid/>
        <w:spacing w:line="240" w:lineRule="auto"/>
        <w:ind w:firstLine="0" w:firstLineChars="0"/>
        <w:rPr>
          <w:rFonts w:hint="eastAsia" w:eastAsia="宋体"/>
          <w:color w:val="auto"/>
          <w:kern w:val="2"/>
          <w:szCs w:val="24"/>
          <w:highlight w:val="none"/>
        </w:rPr>
      </w:pPr>
    </w:p>
    <w:p>
      <w:pPr>
        <w:widowControl w:val="0"/>
        <w:adjustRightInd/>
        <w:snapToGrid/>
        <w:spacing w:line="240" w:lineRule="auto"/>
        <w:ind w:firstLine="0" w:firstLineChars="0"/>
        <w:rPr>
          <w:rFonts w:eastAsia="宋体"/>
          <w:color w:val="auto"/>
          <w:kern w:val="2"/>
          <w:szCs w:val="24"/>
          <w:highlight w:val="none"/>
        </w:rPr>
      </w:pPr>
    </w:p>
    <w:p>
      <w:pPr>
        <w:widowControl w:val="0"/>
        <w:adjustRightInd/>
        <w:snapToGrid/>
        <w:spacing w:line="240" w:lineRule="auto"/>
        <w:ind w:firstLine="0" w:firstLineChars="0"/>
        <w:rPr>
          <w:rFonts w:eastAsia="宋体"/>
          <w:color w:val="auto"/>
          <w:kern w:val="2"/>
          <w:szCs w:val="24"/>
          <w:highlight w:val="none"/>
        </w:rPr>
      </w:pPr>
    </w:p>
    <w:p>
      <w:pPr>
        <w:widowControl w:val="0"/>
        <w:adjustRightInd/>
        <w:snapToGrid/>
        <w:spacing w:line="240" w:lineRule="auto"/>
        <w:ind w:firstLine="0" w:firstLineChars="0"/>
        <w:rPr>
          <w:rFonts w:eastAsia="宋体"/>
          <w:color w:val="auto"/>
          <w:kern w:val="2"/>
          <w:szCs w:val="24"/>
          <w:highlight w:val="none"/>
        </w:rPr>
      </w:pPr>
    </w:p>
    <w:p>
      <w:pPr>
        <w:widowControl w:val="0"/>
        <w:adjustRightInd/>
        <w:snapToGrid/>
        <w:spacing w:line="240" w:lineRule="auto"/>
        <w:ind w:firstLine="0" w:firstLineChars="0"/>
        <w:rPr>
          <w:rFonts w:eastAsia="宋体"/>
          <w:color w:val="auto"/>
          <w:kern w:val="2"/>
          <w:szCs w:val="24"/>
          <w:highlight w:val="none"/>
        </w:rPr>
      </w:pPr>
    </w:p>
    <w:p>
      <w:pPr>
        <w:widowControl w:val="0"/>
        <w:adjustRightInd/>
        <w:snapToGrid/>
        <w:spacing w:line="240" w:lineRule="auto"/>
        <w:ind w:firstLine="0" w:firstLineChars="0"/>
        <w:rPr>
          <w:rFonts w:eastAsia="宋体"/>
          <w:color w:val="auto"/>
          <w:kern w:val="2"/>
          <w:szCs w:val="24"/>
          <w:highlight w:val="none"/>
        </w:rPr>
      </w:pPr>
    </w:p>
    <w:p>
      <w:pPr>
        <w:widowControl w:val="0"/>
        <w:adjustRightInd/>
        <w:snapToGrid/>
        <w:spacing w:line="360" w:lineRule="auto"/>
        <w:ind w:left="2280" w:leftChars="200" w:hanging="1800" w:hangingChars="500"/>
        <w:jc w:val="left"/>
        <w:rPr>
          <w:rFonts w:hint="eastAsia" w:eastAsia="仿宋_GB2312"/>
          <w:color w:val="auto"/>
          <w:kern w:val="2"/>
          <w:sz w:val="36"/>
          <w:szCs w:val="36"/>
          <w:highlight w:val="none"/>
          <w:u w:val="single"/>
          <w:lang w:eastAsia="zh-CN"/>
        </w:rPr>
      </w:pPr>
      <w:r>
        <w:rPr>
          <w:rFonts w:eastAsia="仿宋_GB2312"/>
          <w:color w:val="auto"/>
          <w:kern w:val="2"/>
          <w:sz w:val="36"/>
          <w:szCs w:val="36"/>
          <w:highlight w:val="none"/>
        </w:rPr>
        <w:t>项目名称：</w:t>
      </w:r>
      <w:r>
        <w:rPr>
          <w:rFonts w:hint="eastAsia" w:eastAsia="仿宋_GB2312"/>
          <w:color w:val="auto"/>
          <w:kern w:val="2"/>
          <w:sz w:val="36"/>
          <w:szCs w:val="36"/>
          <w:highlight w:val="none"/>
          <w:u w:val="single"/>
          <w:lang w:eastAsia="zh-CN"/>
        </w:rPr>
        <w:t>福建凯航再生资源有限责任公司锈蚀废钢加工技改项目</w:t>
      </w:r>
    </w:p>
    <w:p>
      <w:pPr>
        <w:widowControl w:val="0"/>
        <w:adjustRightInd/>
        <w:snapToGrid/>
        <w:spacing w:line="360" w:lineRule="auto"/>
        <w:ind w:left="480" w:leftChars="200" w:firstLine="0" w:firstLineChars="0"/>
        <w:rPr>
          <w:rFonts w:hint="eastAsia" w:eastAsia="仿宋_GB2312"/>
          <w:color w:val="auto"/>
          <w:kern w:val="2"/>
          <w:sz w:val="36"/>
          <w:szCs w:val="36"/>
          <w:highlight w:val="none"/>
          <w:u w:val="single"/>
          <w:lang w:eastAsia="zh-CN"/>
        </w:rPr>
      </w:pPr>
      <w:r>
        <w:rPr>
          <w:rFonts w:eastAsia="仿宋_GB2312"/>
          <w:color w:val="auto"/>
          <w:kern w:val="2"/>
          <w:sz w:val="36"/>
          <w:szCs w:val="36"/>
          <w:highlight w:val="none"/>
        </w:rPr>
        <w:t>建设单位（盖章</w:t>
      </w:r>
      <w:r>
        <w:rPr>
          <w:rFonts w:hint="eastAsia" w:eastAsia="仿宋_GB2312"/>
          <w:color w:val="auto"/>
          <w:kern w:val="2"/>
          <w:sz w:val="36"/>
          <w:szCs w:val="36"/>
          <w:highlight w:val="none"/>
        </w:rPr>
        <w:t>）</w:t>
      </w:r>
      <w:r>
        <w:rPr>
          <w:rFonts w:eastAsia="仿宋_GB2312"/>
          <w:color w:val="auto"/>
          <w:kern w:val="2"/>
          <w:sz w:val="36"/>
          <w:szCs w:val="36"/>
          <w:highlight w:val="none"/>
        </w:rPr>
        <w:t>：</w:t>
      </w:r>
      <w:r>
        <w:rPr>
          <w:rFonts w:hint="eastAsia" w:eastAsia="仿宋_GB2312"/>
          <w:color w:val="auto"/>
          <w:kern w:val="2"/>
          <w:sz w:val="36"/>
          <w:szCs w:val="36"/>
          <w:highlight w:val="none"/>
          <w:u w:val="single"/>
          <w:lang w:eastAsia="zh-CN"/>
        </w:rPr>
        <w:t>福建凯航再生资源有限责任公司</w:t>
      </w:r>
    </w:p>
    <w:p>
      <w:pPr>
        <w:widowControl w:val="0"/>
        <w:adjustRightInd/>
        <w:snapToGrid/>
        <w:spacing w:line="360" w:lineRule="auto"/>
        <w:ind w:left="480" w:leftChars="200" w:firstLine="0" w:firstLineChars="0"/>
        <w:rPr>
          <w:rFonts w:hint="eastAsia" w:eastAsia="仿宋_GB2312"/>
          <w:color w:val="auto"/>
          <w:kern w:val="2"/>
          <w:sz w:val="36"/>
          <w:szCs w:val="36"/>
          <w:highlight w:val="none"/>
        </w:rPr>
      </w:pPr>
      <w:r>
        <w:rPr>
          <w:rFonts w:eastAsia="仿宋_GB2312"/>
          <w:color w:val="auto"/>
          <w:kern w:val="2"/>
          <w:sz w:val="36"/>
          <w:szCs w:val="36"/>
          <w:highlight w:val="none"/>
        </w:rPr>
        <w:t>编制日期：</w:t>
      </w:r>
      <w:r>
        <w:rPr>
          <w:rFonts w:hint="eastAsia" w:eastAsia="仿宋_GB2312"/>
          <w:color w:val="auto"/>
          <w:kern w:val="2"/>
          <w:sz w:val="36"/>
          <w:szCs w:val="36"/>
          <w:highlight w:val="none"/>
          <w:u w:val="single"/>
        </w:rPr>
        <w:t xml:space="preserve">   202</w:t>
      </w:r>
      <w:r>
        <w:rPr>
          <w:rFonts w:hint="eastAsia" w:eastAsia="仿宋_GB2312"/>
          <w:color w:val="auto"/>
          <w:kern w:val="2"/>
          <w:sz w:val="36"/>
          <w:szCs w:val="36"/>
          <w:highlight w:val="none"/>
          <w:u w:val="single"/>
          <w:lang w:val="en-US" w:eastAsia="zh-CN"/>
        </w:rPr>
        <w:t>6</w:t>
      </w:r>
      <w:r>
        <w:rPr>
          <w:rFonts w:hint="eastAsia" w:eastAsia="仿宋_GB2312"/>
          <w:color w:val="auto"/>
          <w:kern w:val="2"/>
          <w:sz w:val="36"/>
          <w:szCs w:val="36"/>
          <w:highlight w:val="none"/>
          <w:u w:val="single"/>
        </w:rPr>
        <w:t>年</w:t>
      </w:r>
      <w:r>
        <w:rPr>
          <w:rFonts w:hint="eastAsia" w:eastAsia="仿宋_GB2312"/>
          <w:color w:val="auto"/>
          <w:kern w:val="2"/>
          <w:sz w:val="36"/>
          <w:szCs w:val="36"/>
          <w:highlight w:val="none"/>
          <w:u w:val="single"/>
          <w:lang w:val="en-US" w:eastAsia="zh-CN"/>
        </w:rPr>
        <w:t>1</w:t>
      </w:r>
      <w:r>
        <w:rPr>
          <w:rFonts w:hint="eastAsia" w:eastAsia="仿宋_GB2312"/>
          <w:color w:val="auto"/>
          <w:kern w:val="2"/>
          <w:sz w:val="36"/>
          <w:szCs w:val="36"/>
          <w:highlight w:val="none"/>
          <w:u w:val="single"/>
        </w:rPr>
        <w:t xml:space="preserve">月                </w:t>
      </w:r>
    </w:p>
    <w:p>
      <w:pPr>
        <w:widowControl w:val="0"/>
        <w:adjustRightInd/>
        <w:snapToGrid/>
        <w:spacing w:line="360" w:lineRule="auto"/>
        <w:ind w:left="480" w:leftChars="200" w:firstLine="0" w:firstLineChars="0"/>
        <w:rPr>
          <w:rFonts w:eastAsia="仿宋_GB2312"/>
          <w:color w:val="auto"/>
          <w:kern w:val="2"/>
          <w:sz w:val="36"/>
          <w:szCs w:val="36"/>
          <w:highlight w:val="none"/>
        </w:rPr>
      </w:pPr>
    </w:p>
    <w:p>
      <w:pPr>
        <w:widowControl w:val="0"/>
        <w:adjustRightInd/>
        <w:snapToGrid/>
        <w:spacing w:line="240" w:lineRule="auto"/>
        <w:ind w:firstLine="0" w:firstLineChars="0"/>
        <w:rPr>
          <w:rFonts w:eastAsia="宋体"/>
          <w:color w:val="auto"/>
          <w:kern w:val="2"/>
          <w:szCs w:val="24"/>
          <w:highlight w:val="none"/>
        </w:rPr>
      </w:pPr>
      <w:bookmarkStart w:id="2" w:name="_Hlk57884087"/>
    </w:p>
    <w:p>
      <w:pPr>
        <w:widowControl w:val="0"/>
        <w:adjustRightInd/>
        <w:snapToGrid/>
        <w:spacing w:line="240" w:lineRule="auto"/>
        <w:ind w:firstLine="0" w:firstLineChars="0"/>
        <w:rPr>
          <w:rFonts w:eastAsia="宋体"/>
          <w:color w:val="auto"/>
          <w:kern w:val="2"/>
          <w:szCs w:val="24"/>
          <w:highlight w:val="none"/>
        </w:rPr>
      </w:pPr>
    </w:p>
    <w:p>
      <w:pPr>
        <w:widowControl w:val="0"/>
        <w:adjustRightInd/>
        <w:snapToGrid/>
        <w:spacing w:line="240" w:lineRule="auto"/>
        <w:ind w:firstLine="0" w:firstLineChars="0"/>
        <w:rPr>
          <w:rFonts w:eastAsia="宋体"/>
          <w:color w:val="auto"/>
          <w:kern w:val="2"/>
          <w:szCs w:val="24"/>
          <w:highlight w:val="none"/>
        </w:rPr>
      </w:pPr>
    </w:p>
    <w:p>
      <w:pPr>
        <w:widowControl w:val="0"/>
        <w:adjustRightInd/>
        <w:snapToGrid/>
        <w:spacing w:line="240" w:lineRule="auto"/>
        <w:ind w:firstLine="0" w:firstLineChars="0"/>
        <w:rPr>
          <w:rFonts w:eastAsia="宋体"/>
          <w:color w:val="auto"/>
          <w:kern w:val="2"/>
          <w:szCs w:val="24"/>
          <w:highlight w:val="none"/>
        </w:rPr>
      </w:pPr>
    </w:p>
    <w:bookmarkEnd w:id="2"/>
    <w:p>
      <w:pPr>
        <w:widowControl w:val="0"/>
        <w:adjustRightInd w:val="0"/>
        <w:snapToGrid w:val="0"/>
        <w:spacing w:line="288" w:lineRule="auto"/>
        <w:ind w:firstLine="0" w:firstLineChars="0"/>
        <w:jc w:val="center"/>
        <w:outlineLvl w:val="9"/>
        <w:rPr>
          <w:rFonts w:eastAsia="楷体_GB2312"/>
          <w:color w:val="auto"/>
          <w:kern w:val="2"/>
          <w:sz w:val="36"/>
          <w:szCs w:val="36"/>
          <w:highlight w:val="none"/>
        </w:rPr>
      </w:pPr>
      <w:bookmarkStart w:id="3" w:name="_Toc29079"/>
      <w:bookmarkStart w:id="4" w:name="_Toc16044"/>
      <w:r>
        <w:rPr>
          <w:rFonts w:eastAsia="楷体_GB2312"/>
          <w:color w:val="auto"/>
          <w:kern w:val="2"/>
          <w:sz w:val="36"/>
          <w:szCs w:val="36"/>
          <w:highlight w:val="none"/>
        </w:rPr>
        <w:t>中华人民共和国生态环境部制</w:t>
      </w:r>
      <w:bookmarkEnd w:id="3"/>
      <w:bookmarkEnd w:id="4"/>
    </w:p>
    <w:p>
      <w:pPr>
        <w:rPr>
          <w:snapToGrid w:val="0"/>
          <w:color w:val="auto"/>
          <w:highlight w:val="none"/>
        </w:rPr>
      </w:pPr>
      <w:r>
        <w:rPr>
          <w:snapToGrid w:val="0"/>
          <w:color w:val="auto"/>
          <w:highlight w:val="none"/>
        </w:rPr>
        <w:br w:type="page"/>
      </w:r>
    </w:p>
    <w:p>
      <w:pPr>
        <w:rPr>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418" w:right="1418" w:bottom="1418" w:left="1418" w:header="851" w:footer="851" w:gutter="0"/>
          <w:pgBorders>
            <w:top w:val="none" w:sz="0" w:space="0"/>
            <w:left w:val="none" w:sz="0" w:space="0"/>
            <w:bottom w:val="none" w:sz="0" w:space="0"/>
            <w:right w:val="none" w:sz="0" w:space="0"/>
          </w:pgBorders>
          <w:cols w:space="720" w:num="1"/>
          <w:docGrid w:linePitch="326" w:charSpace="0"/>
        </w:sectPr>
      </w:pPr>
    </w:p>
    <w:p>
      <w:pPr>
        <w:pStyle w:val="2"/>
        <w:ind w:left="0"/>
        <w:rPr>
          <w:snapToGrid w:val="0"/>
          <w:color w:val="auto"/>
          <w:highlight w:val="none"/>
        </w:rPr>
      </w:pPr>
      <w:r>
        <w:rPr>
          <w:snapToGrid w:val="0"/>
          <w:color w:val="auto"/>
          <w:highlight w:val="none"/>
        </w:rPr>
        <w:t>建设项目基本情况</w:t>
      </w:r>
    </w:p>
    <w:tbl>
      <w:tblPr>
        <w:tblStyle w:val="49"/>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103"/>
        <w:gridCol w:w="1916"/>
        <w:gridCol w:w="1925"/>
        <w:gridCol w:w="292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03" w:type="dxa"/>
            <w:tcMar>
              <w:top w:w="16" w:type="dxa"/>
              <w:left w:w="16" w:type="dxa"/>
              <w:right w:w="16" w:type="dxa"/>
            </w:tcMar>
            <w:vAlign w:val="center"/>
          </w:tcPr>
          <w:p>
            <w:pPr>
              <w:pStyle w:val="113"/>
              <w:rPr>
                <w:color w:val="auto"/>
                <w:sz w:val="24"/>
                <w:szCs w:val="24"/>
                <w:highlight w:val="none"/>
              </w:rPr>
            </w:pPr>
            <w:r>
              <w:rPr>
                <w:color w:val="auto"/>
                <w:sz w:val="24"/>
                <w:szCs w:val="24"/>
                <w:highlight w:val="none"/>
              </w:rPr>
              <w:t>建设项目名称</w:t>
            </w:r>
          </w:p>
        </w:tc>
        <w:tc>
          <w:tcPr>
            <w:tcW w:w="6767" w:type="dxa"/>
            <w:gridSpan w:val="3"/>
            <w:vAlign w:val="center"/>
          </w:tcPr>
          <w:p>
            <w:pPr>
              <w:pStyle w:val="113"/>
              <w:rPr>
                <w:color w:val="auto"/>
                <w:sz w:val="24"/>
                <w:szCs w:val="24"/>
                <w:highlight w:val="none"/>
              </w:rPr>
            </w:pPr>
            <w:r>
              <w:rPr>
                <w:rFonts w:hint="eastAsia"/>
                <w:color w:val="auto"/>
                <w:sz w:val="24"/>
                <w:szCs w:val="24"/>
                <w:highlight w:val="none"/>
              </w:rPr>
              <w:t>福建凯航再生资源有限责任公司</w:t>
            </w:r>
            <w:r>
              <w:rPr>
                <w:rFonts w:hint="eastAsia"/>
                <w:color w:val="auto"/>
                <w:sz w:val="24"/>
                <w:szCs w:val="24"/>
                <w:highlight w:val="none"/>
                <w:lang w:val="en-US" w:eastAsia="zh-CN"/>
              </w:rPr>
              <w:t>锈蚀废钢加工</w:t>
            </w:r>
            <w:r>
              <w:rPr>
                <w:rFonts w:hint="eastAsia"/>
                <w:color w:val="auto"/>
                <w:sz w:val="24"/>
                <w:szCs w:val="24"/>
                <w:highlight w:val="none"/>
              </w:rPr>
              <w:t>技改项目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03" w:type="dxa"/>
            <w:tcMar>
              <w:top w:w="16" w:type="dxa"/>
              <w:left w:w="16" w:type="dxa"/>
              <w:right w:w="16" w:type="dxa"/>
            </w:tcMar>
            <w:vAlign w:val="center"/>
          </w:tcPr>
          <w:p>
            <w:pPr>
              <w:pStyle w:val="113"/>
              <w:rPr>
                <w:color w:val="auto"/>
                <w:sz w:val="24"/>
                <w:szCs w:val="24"/>
                <w:highlight w:val="none"/>
              </w:rPr>
            </w:pPr>
            <w:r>
              <w:rPr>
                <w:color w:val="auto"/>
                <w:sz w:val="24"/>
                <w:szCs w:val="24"/>
                <w:highlight w:val="none"/>
              </w:rPr>
              <w:t>项目代码</w:t>
            </w:r>
          </w:p>
        </w:tc>
        <w:tc>
          <w:tcPr>
            <w:tcW w:w="6767" w:type="dxa"/>
            <w:gridSpan w:val="3"/>
            <w:vAlign w:val="center"/>
          </w:tcPr>
          <w:p>
            <w:pPr>
              <w:pStyle w:val="113"/>
              <w:rPr>
                <w:rFonts w:hint="default" w:eastAsia="宋体"/>
                <w:color w:val="auto"/>
                <w:sz w:val="24"/>
                <w:szCs w:val="24"/>
                <w:highlight w:val="none"/>
                <w:lang w:val="en-US" w:eastAsia="zh-CN"/>
              </w:rPr>
            </w:pPr>
            <w:r>
              <w:rPr>
                <w:rFonts w:hint="eastAsia"/>
                <w:color w:val="auto"/>
                <w:sz w:val="24"/>
                <w:szCs w:val="24"/>
                <w:highlight w:val="none"/>
              </w:rPr>
              <w:t>25</w:t>
            </w:r>
            <w:r>
              <w:rPr>
                <w:rFonts w:hint="eastAsia"/>
                <w:color w:val="auto"/>
                <w:sz w:val="24"/>
                <w:szCs w:val="24"/>
                <w:highlight w:val="none"/>
                <w:lang w:val="en-US" w:eastAsia="zh-CN"/>
              </w:rPr>
              <w:t>12</w:t>
            </w:r>
            <w:r>
              <w:rPr>
                <w:rFonts w:hint="eastAsia"/>
                <w:color w:val="auto"/>
                <w:sz w:val="24"/>
                <w:szCs w:val="24"/>
                <w:highlight w:val="none"/>
              </w:rPr>
              <w:t>-350112-07-02-3</w:t>
            </w:r>
            <w:r>
              <w:rPr>
                <w:rFonts w:hint="eastAsia"/>
                <w:color w:val="auto"/>
                <w:sz w:val="24"/>
                <w:szCs w:val="24"/>
                <w:highlight w:val="none"/>
                <w:lang w:val="en-US" w:eastAsia="zh-CN"/>
              </w:rPr>
              <w:t>09488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03" w:type="dxa"/>
            <w:tcMar>
              <w:top w:w="16" w:type="dxa"/>
              <w:left w:w="16" w:type="dxa"/>
              <w:right w:w="16" w:type="dxa"/>
            </w:tcMar>
            <w:vAlign w:val="center"/>
          </w:tcPr>
          <w:p>
            <w:pPr>
              <w:pStyle w:val="113"/>
              <w:rPr>
                <w:color w:val="auto"/>
                <w:sz w:val="24"/>
                <w:szCs w:val="24"/>
                <w:highlight w:val="none"/>
              </w:rPr>
            </w:pPr>
            <w:r>
              <w:rPr>
                <w:color w:val="auto"/>
                <w:sz w:val="24"/>
                <w:szCs w:val="24"/>
                <w:highlight w:val="none"/>
              </w:rPr>
              <w:t>建设单位联系人</w:t>
            </w:r>
          </w:p>
        </w:tc>
        <w:tc>
          <w:tcPr>
            <w:tcW w:w="1916" w:type="dxa"/>
            <w:vAlign w:val="center"/>
          </w:tcPr>
          <w:p>
            <w:pPr>
              <w:pStyle w:val="113"/>
              <w:rPr>
                <w:rFonts w:hint="default" w:eastAsia="宋体"/>
                <w:color w:val="auto"/>
                <w:sz w:val="24"/>
                <w:szCs w:val="24"/>
                <w:highlight w:val="none"/>
                <w:lang w:val="en-US" w:eastAsia="zh-CN"/>
              </w:rPr>
            </w:pPr>
            <w:r>
              <w:rPr>
                <w:rFonts w:hint="eastAsia"/>
                <w:color w:val="auto"/>
                <w:sz w:val="24"/>
                <w:szCs w:val="24"/>
                <w:highlight w:val="none"/>
                <w:lang w:val="en-US" w:eastAsia="zh-CN"/>
              </w:rPr>
              <w:t>***</w:t>
            </w:r>
          </w:p>
        </w:tc>
        <w:tc>
          <w:tcPr>
            <w:tcW w:w="1925" w:type="dxa"/>
            <w:vAlign w:val="center"/>
          </w:tcPr>
          <w:p>
            <w:pPr>
              <w:pStyle w:val="113"/>
              <w:rPr>
                <w:color w:val="auto"/>
                <w:sz w:val="24"/>
                <w:szCs w:val="24"/>
                <w:highlight w:val="none"/>
              </w:rPr>
            </w:pPr>
            <w:r>
              <w:rPr>
                <w:color w:val="auto"/>
                <w:sz w:val="24"/>
                <w:szCs w:val="24"/>
                <w:highlight w:val="none"/>
              </w:rPr>
              <w:t>联系方式</w:t>
            </w:r>
          </w:p>
        </w:tc>
        <w:tc>
          <w:tcPr>
            <w:tcW w:w="2926" w:type="dxa"/>
            <w:vAlign w:val="center"/>
          </w:tcPr>
          <w:p>
            <w:pPr>
              <w:pStyle w:val="113"/>
              <w:rPr>
                <w:rFonts w:hint="default" w:eastAsia="宋体"/>
                <w:color w:val="auto"/>
                <w:sz w:val="24"/>
                <w:szCs w:val="24"/>
                <w:highlight w:val="none"/>
                <w:lang w:val="en-US" w:eastAsia="zh-CN"/>
              </w:rPr>
            </w:pPr>
            <w:r>
              <w:rPr>
                <w:rFonts w:hint="eastAsia"/>
                <w:color w:val="auto"/>
                <w:sz w:val="24"/>
                <w:szCs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03" w:type="dxa"/>
            <w:tcMar>
              <w:top w:w="16" w:type="dxa"/>
              <w:left w:w="16" w:type="dxa"/>
              <w:right w:w="16" w:type="dxa"/>
            </w:tcMar>
            <w:vAlign w:val="center"/>
          </w:tcPr>
          <w:p>
            <w:pPr>
              <w:pStyle w:val="113"/>
              <w:rPr>
                <w:color w:val="auto"/>
                <w:sz w:val="24"/>
                <w:szCs w:val="24"/>
                <w:highlight w:val="none"/>
              </w:rPr>
            </w:pPr>
            <w:r>
              <w:rPr>
                <w:color w:val="auto"/>
                <w:sz w:val="24"/>
                <w:szCs w:val="24"/>
                <w:highlight w:val="none"/>
              </w:rPr>
              <w:t>建设地点</w:t>
            </w:r>
          </w:p>
        </w:tc>
        <w:tc>
          <w:tcPr>
            <w:tcW w:w="6767" w:type="dxa"/>
            <w:gridSpan w:val="3"/>
            <w:vAlign w:val="center"/>
          </w:tcPr>
          <w:p>
            <w:pPr>
              <w:pStyle w:val="113"/>
              <w:rPr>
                <w:color w:val="auto"/>
                <w:sz w:val="24"/>
                <w:szCs w:val="24"/>
                <w:highlight w:val="none"/>
              </w:rPr>
            </w:pPr>
            <w:r>
              <w:rPr>
                <w:rFonts w:hint="eastAsia"/>
                <w:color w:val="auto"/>
                <w:sz w:val="24"/>
                <w:szCs w:val="24"/>
                <w:highlight w:val="none"/>
              </w:rPr>
              <w:t>福建省福州市长乐区营前工商路110号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03" w:type="dxa"/>
            <w:tcMar>
              <w:top w:w="16" w:type="dxa"/>
              <w:left w:w="16" w:type="dxa"/>
              <w:right w:w="16" w:type="dxa"/>
            </w:tcMar>
            <w:vAlign w:val="center"/>
          </w:tcPr>
          <w:p>
            <w:pPr>
              <w:pStyle w:val="113"/>
              <w:rPr>
                <w:color w:val="auto"/>
                <w:sz w:val="24"/>
                <w:szCs w:val="24"/>
                <w:highlight w:val="none"/>
              </w:rPr>
            </w:pPr>
            <w:r>
              <w:rPr>
                <w:color w:val="auto"/>
                <w:sz w:val="24"/>
                <w:szCs w:val="24"/>
                <w:highlight w:val="none"/>
              </w:rPr>
              <w:t>地理坐标</w:t>
            </w:r>
          </w:p>
        </w:tc>
        <w:tc>
          <w:tcPr>
            <w:tcW w:w="6767" w:type="dxa"/>
            <w:gridSpan w:val="3"/>
            <w:vAlign w:val="center"/>
          </w:tcPr>
          <w:p>
            <w:pPr>
              <w:pStyle w:val="113"/>
              <w:rPr>
                <w:color w:val="auto"/>
                <w:sz w:val="24"/>
                <w:szCs w:val="24"/>
                <w:highlight w:val="none"/>
              </w:rPr>
            </w:pPr>
            <w:r>
              <w:rPr>
                <w:color w:val="auto"/>
                <w:spacing w:val="-5"/>
                <w:sz w:val="24"/>
                <w:szCs w:val="24"/>
                <w:highlight w:val="none"/>
              </w:rPr>
              <w:t>（</w:t>
            </w:r>
            <w:r>
              <w:rPr>
                <w:color w:val="auto"/>
                <w:spacing w:val="-5"/>
                <w:sz w:val="24"/>
                <w:szCs w:val="24"/>
                <w:highlight w:val="none"/>
                <w:u w:val="single"/>
              </w:rPr>
              <w:t>1</w:t>
            </w:r>
            <w:r>
              <w:rPr>
                <w:rFonts w:hint="eastAsia"/>
                <w:color w:val="auto"/>
                <w:spacing w:val="-5"/>
                <w:sz w:val="24"/>
                <w:szCs w:val="24"/>
                <w:highlight w:val="none"/>
                <w:u w:val="single"/>
              </w:rPr>
              <w:t>19</w:t>
            </w:r>
            <w:r>
              <w:rPr>
                <w:color w:val="auto"/>
                <w:spacing w:val="-5"/>
                <w:sz w:val="24"/>
                <w:szCs w:val="24"/>
                <w:highlight w:val="none"/>
              </w:rPr>
              <w:t>度</w:t>
            </w:r>
            <w:r>
              <w:rPr>
                <w:rFonts w:hint="eastAsia"/>
                <w:color w:val="auto"/>
                <w:spacing w:val="-5"/>
                <w:sz w:val="24"/>
                <w:szCs w:val="24"/>
                <w:highlight w:val="none"/>
                <w:u w:val="single"/>
              </w:rPr>
              <w:t>27</w:t>
            </w:r>
            <w:r>
              <w:rPr>
                <w:color w:val="auto"/>
                <w:spacing w:val="-5"/>
                <w:sz w:val="24"/>
                <w:szCs w:val="24"/>
                <w:highlight w:val="none"/>
              </w:rPr>
              <w:t>分</w:t>
            </w:r>
            <w:r>
              <w:rPr>
                <w:rFonts w:hint="eastAsia"/>
                <w:color w:val="auto"/>
                <w:spacing w:val="-5"/>
                <w:sz w:val="24"/>
                <w:szCs w:val="24"/>
                <w:highlight w:val="none"/>
                <w:u w:val="single"/>
                <w:lang w:val="en-US" w:eastAsia="zh-CN"/>
              </w:rPr>
              <w:t>3</w:t>
            </w:r>
            <w:r>
              <w:rPr>
                <w:rFonts w:hint="eastAsia"/>
                <w:color w:val="auto"/>
                <w:spacing w:val="-5"/>
                <w:sz w:val="24"/>
                <w:szCs w:val="24"/>
                <w:highlight w:val="none"/>
                <w:u w:val="single"/>
              </w:rPr>
              <w:t>7</w:t>
            </w:r>
            <w:r>
              <w:rPr>
                <w:rFonts w:hint="eastAsia"/>
                <w:color w:val="auto"/>
                <w:spacing w:val="-5"/>
                <w:sz w:val="24"/>
                <w:szCs w:val="24"/>
                <w:highlight w:val="none"/>
                <w:u w:val="single"/>
                <w:lang w:val="en-US" w:eastAsia="zh-CN"/>
              </w:rPr>
              <w:t>.79</w:t>
            </w:r>
            <w:r>
              <w:rPr>
                <w:color w:val="auto"/>
                <w:spacing w:val="-5"/>
                <w:sz w:val="24"/>
                <w:szCs w:val="24"/>
                <w:highlight w:val="none"/>
              </w:rPr>
              <w:t>秒，</w:t>
            </w:r>
            <w:r>
              <w:rPr>
                <w:color w:val="auto"/>
                <w:spacing w:val="-5"/>
                <w:sz w:val="24"/>
                <w:szCs w:val="24"/>
                <w:highlight w:val="none"/>
                <w:u w:val="single"/>
              </w:rPr>
              <w:t>2</w:t>
            </w:r>
            <w:r>
              <w:rPr>
                <w:rFonts w:hint="eastAsia"/>
                <w:color w:val="auto"/>
                <w:spacing w:val="-5"/>
                <w:sz w:val="24"/>
                <w:szCs w:val="24"/>
                <w:highlight w:val="none"/>
                <w:u w:val="single"/>
              </w:rPr>
              <w:t>5</w:t>
            </w:r>
            <w:r>
              <w:rPr>
                <w:color w:val="auto"/>
                <w:spacing w:val="-5"/>
                <w:sz w:val="24"/>
                <w:szCs w:val="24"/>
                <w:highlight w:val="none"/>
              </w:rPr>
              <w:t>度</w:t>
            </w:r>
            <w:r>
              <w:rPr>
                <w:rFonts w:hint="eastAsia"/>
                <w:color w:val="auto"/>
                <w:spacing w:val="-5"/>
                <w:sz w:val="24"/>
                <w:szCs w:val="24"/>
                <w:highlight w:val="none"/>
                <w:u w:val="single"/>
              </w:rPr>
              <w:t>57</w:t>
            </w:r>
            <w:r>
              <w:rPr>
                <w:color w:val="auto"/>
                <w:spacing w:val="-5"/>
                <w:sz w:val="24"/>
                <w:szCs w:val="24"/>
                <w:highlight w:val="none"/>
              </w:rPr>
              <w:t>分</w:t>
            </w:r>
            <w:r>
              <w:rPr>
                <w:rFonts w:hint="eastAsia"/>
                <w:color w:val="auto"/>
                <w:spacing w:val="-5"/>
                <w:sz w:val="24"/>
                <w:szCs w:val="24"/>
                <w:highlight w:val="none"/>
                <w:u w:val="single"/>
                <w:lang w:val="en-US" w:eastAsia="zh-CN"/>
              </w:rPr>
              <w:t>26.61</w:t>
            </w:r>
            <w:r>
              <w:rPr>
                <w:color w:val="auto"/>
                <w:spacing w:val="-5"/>
                <w:sz w:val="24"/>
                <w:szCs w:val="24"/>
                <w:highlight w:val="none"/>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2103" w:type="dxa"/>
            <w:tcMar>
              <w:top w:w="16" w:type="dxa"/>
              <w:left w:w="16" w:type="dxa"/>
              <w:right w:w="16" w:type="dxa"/>
            </w:tcMar>
            <w:vAlign w:val="center"/>
          </w:tcPr>
          <w:p>
            <w:pPr>
              <w:pStyle w:val="113"/>
              <w:rPr>
                <w:color w:val="auto"/>
                <w:sz w:val="24"/>
                <w:szCs w:val="24"/>
                <w:highlight w:val="none"/>
              </w:rPr>
            </w:pPr>
            <w:r>
              <w:rPr>
                <w:color w:val="auto"/>
                <w:sz w:val="24"/>
                <w:szCs w:val="24"/>
                <w:highlight w:val="none"/>
              </w:rPr>
              <w:t>国民经济</w:t>
            </w:r>
          </w:p>
          <w:p>
            <w:pPr>
              <w:pStyle w:val="113"/>
              <w:rPr>
                <w:color w:val="auto"/>
                <w:sz w:val="24"/>
                <w:szCs w:val="24"/>
                <w:highlight w:val="none"/>
              </w:rPr>
            </w:pPr>
            <w:r>
              <w:rPr>
                <w:color w:val="auto"/>
                <w:sz w:val="24"/>
                <w:szCs w:val="24"/>
                <w:highlight w:val="none"/>
              </w:rPr>
              <w:t>行业类别</w:t>
            </w:r>
          </w:p>
        </w:tc>
        <w:tc>
          <w:tcPr>
            <w:tcW w:w="1916" w:type="dxa"/>
            <w:vAlign w:val="center"/>
          </w:tcPr>
          <w:p>
            <w:pPr>
              <w:pStyle w:val="113"/>
              <w:rPr>
                <w:color w:val="auto"/>
                <w:sz w:val="24"/>
                <w:szCs w:val="24"/>
                <w:highlight w:val="none"/>
              </w:rPr>
            </w:pPr>
            <w:r>
              <w:rPr>
                <w:rFonts w:hint="eastAsia"/>
                <w:color w:val="auto"/>
                <w:sz w:val="24"/>
                <w:szCs w:val="24"/>
                <w:highlight w:val="none"/>
              </w:rPr>
              <w:t>C4210金属废料和碎屑加工处理</w:t>
            </w:r>
          </w:p>
        </w:tc>
        <w:tc>
          <w:tcPr>
            <w:tcW w:w="1925" w:type="dxa"/>
            <w:vAlign w:val="center"/>
          </w:tcPr>
          <w:p>
            <w:pPr>
              <w:pStyle w:val="113"/>
              <w:rPr>
                <w:color w:val="auto"/>
                <w:sz w:val="24"/>
                <w:szCs w:val="24"/>
                <w:highlight w:val="none"/>
              </w:rPr>
            </w:pPr>
            <w:bookmarkStart w:id="5" w:name="_Hlk49843745"/>
            <w:r>
              <w:rPr>
                <w:color w:val="auto"/>
                <w:sz w:val="24"/>
                <w:szCs w:val="24"/>
                <w:highlight w:val="none"/>
              </w:rPr>
              <w:t>建设项目</w:t>
            </w:r>
          </w:p>
          <w:p>
            <w:pPr>
              <w:pStyle w:val="113"/>
              <w:rPr>
                <w:color w:val="auto"/>
                <w:sz w:val="24"/>
                <w:szCs w:val="24"/>
                <w:highlight w:val="none"/>
              </w:rPr>
            </w:pPr>
            <w:r>
              <w:rPr>
                <w:color w:val="auto"/>
                <w:sz w:val="24"/>
                <w:szCs w:val="24"/>
                <w:highlight w:val="none"/>
              </w:rPr>
              <w:t>行业类别</w:t>
            </w:r>
            <w:bookmarkEnd w:id="5"/>
          </w:p>
        </w:tc>
        <w:tc>
          <w:tcPr>
            <w:tcW w:w="2926" w:type="dxa"/>
            <w:vAlign w:val="center"/>
          </w:tcPr>
          <w:p>
            <w:pPr>
              <w:pStyle w:val="113"/>
              <w:rPr>
                <w:color w:val="auto"/>
                <w:sz w:val="24"/>
                <w:szCs w:val="24"/>
                <w:highlight w:val="none"/>
              </w:rPr>
            </w:pPr>
            <w:r>
              <w:rPr>
                <w:rFonts w:hint="eastAsia"/>
                <w:color w:val="auto"/>
                <w:sz w:val="24"/>
                <w:szCs w:val="24"/>
                <w:highlight w:val="none"/>
              </w:rPr>
              <w:t>三</w:t>
            </w:r>
            <w:r>
              <w:rPr>
                <w:color w:val="auto"/>
                <w:sz w:val="24"/>
                <w:szCs w:val="24"/>
                <w:highlight w:val="none"/>
              </w:rPr>
              <w:t>十</w:t>
            </w:r>
            <w:r>
              <w:rPr>
                <w:rFonts w:hint="eastAsia"/>
                <w:color w:val="auto"/>
                <w:sz w:val="24"/>
                <w:szCs w:val="24"/>
                <w:highlight w:val="none"/>
              </w:rPr>
              <w:t>九</w:t>
            </w:r>
            <w:r>
              <w:rPr>
                <w:color w:val="auto"/>
                <w:sz w:val="24"/>
                <w:szCs w:val="24"/>
                <w:highlight w:val="none"/>
              </w:rPr>
              <w:t>、</w:t>
            </w:r>
            <w:r>
              <w:rPr>
                <w:rFonts w:hint="eastAsia"/>
                <w:color w:val="auto"/>
                <w:sz w:val="24"/>
                <w:szCs w:val="24"/>
                <w:highlight w:val="none"/>
              </w:rPr>
              <w:t>废弃资源综合利用业42</w:t>
            </w:r>
            <w:r>
              <w:rPr>
                <w:color w:val="auto"/>
                <w:sz w:val="24"/>
                <w:szCs w:val="24"/>
                <w:highlight w:val="none"/>
              </w:rPr>
              <w:t>—</w:t>
            </w:r>
            <w:r>
              <w:rPr>
                <w:rFonts w:hint="eastAsia"/>
                <w:color w:val="auto"/>
                <w:sz w:val="24"/>
                <w:szCs w:val="24"/>
                <w:highlight w:val="none"/>
              </w:rPr>
              <w:t>85、金属废料和碎屑加工处理421（不含仅分拣、破碎的）中“废弃电器电子产品、废机动车、废电机、废电线电缆、废钢、废铁、金属和金属化合物矿灰及残渣、有色金属废料与碎屑、废塑料、废轮胎、废船、含水洗工艺的其他废料和碎屑加工处理（农业生产产生的废旧秧盘、薄膜破碎和清洗工艺的除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2103" w:type="dxa"/>
            <w:tcMar>
              <w:top w:w="16" w:type="dxa"/>
              <w:left w:w="16" w:type="dxa"/>
              <w:right w:w="16" w:type="dxa"/>
            </w:tcMar>
            <w:vAlign w:val="center"/>
          </w:tcPr>
          <w:p>
            <w:pPr>
              <w:pStyle w:val="113"/>
              <w:rPr>
                <w:color w:val="auto"/>
                <w:sz w:val="24"/>
                <w:szCs w:val="24"/>
                <w:highlight w:val="none"/>
              </w:rPr>
            </w:pPr>
            <w:r>
              <w:rPr>
                <w:color w:val="auto"/>
                <w:sz w:val="24"/>
                <w:szCs w:val="24"/>
                <w:highlight w:val="none"/>
              </w:rPr>
              <w:t>建设性质</w:t>
            </w:r>
          </w:p>
        </w:tc>
        <w:tc>
          <w:tcPr>
            <w:tcW w:w="1916" w:type="dxa"/>
            <w:vAlign w:val="center"/>
          </w:tcPr>
          <w:p>
            <w:pPr>
              <w:pStyle w:val="113"/>
              <w:jc w:val="both"/>
              <w:rPr>
                <w:color w:val="auto"/>
                <w:sz w:val="24"/>
                <w:szCs w:val="24"/>
                <w:highlight w:val="none"/>
              </w:rPr>
            </w:pPr>
            <w:r>
              <w:rPr>
                <w:rFonts w:hint="eastAsia"/>
                <w:color w:val="auto"/>
                <w:sz w:val="24"/>
                <w:szCs w:val="24"/>
                <w:highlight w:val="none"/>
              </w:rPr>
              <w:t>□</w:t>
            </w:r>
            <w:r>
              <w:rPr>
                <w:color w:val="auto"/>
                <w:sz w:val="24"/>
                <w:szCs w:val="24"/>
                <w:highlight w:val="none"/>
              </w:rPr>
              <w:t>新建（迁建）</w:t>
            </w:r>
          </w:p>
          <w:p>
            <w:pPr>
              <w:pStyle w:val="113"/>
              <w:jc w:val="both"/>
              <w:rPr>
                <w:color w:val="auto"/>
                <w:sz w:val="24"/>
                <w:szCs w:val="24"/>
                <w:highlight w:val="none"/>
              </w:rPr>
            </w:pPr>
            <w:r>
              <w:rPr>
                <w:rFonts w:hint="eastAsia"/>
                <w:color w:val="auto"/>
                <w:sz w:val="24"/>
                <w:szCs w:val="24"/>
                <w:highlight w:val="none"/>
                <w:lang w:eastAsia="zh-CN"/>
              </w:rPr>
              <w:t>□</w:t>
            </w:r>
            <w:r>
              <w:rPr>
                <w:color w:val="auto"/>
                <w:sz w:val="24"/>
                <w:szCs w:val="24"/>
                <w:highlight w:val="none"/>
              </w:rPr>
              <w:t>改建</w:t>
            </w:r>
          </w:p>
          <w:p>
            <w:pPr>
              <w:pStyle w:val="113"/>
              <w:jc w:val="both"/>
              <w:rPr>
                <w:color w:val="auto"/>
                <w:sz w:val="24"/>
                <w:szCs w:val="24"/>
                <w:highlight w:val="none"/>
              </w:rPr>
            </w:pPr>
            <w:r>
              <w:rPr>
                <w:rFonts w:hint="eastAsia"/>
                <w:color w:val="auto"/>
                <w:sz w:val="24"/>
                <w:szCs w:val="24"/>
                <w:highlight w:val="none"/>
                <w:lang w:eastAsia="zh-CN"/>
              </w:rPr>
              <w:t>□</w:t>
            </w:r>
            <w:r>
              <w:rPr>
                <w:color w:val="auto"/>
                <w:sz w:val="24"/>
                <w:szCs w:val="24"/>
                <w:highlight w:val="none"/>
              </w:rPr>
              <w:t>扩建</w:t>
            </w:r>
          </w:p>
          <w:p>
            <w:pPr>
              <w:pStyle w:val="113"/>
              <w:jc w:val="both"/>
              <w:rPr>
                <w:color w:val="auto"/>
                <w:sz w:val="24"/>
                <w:szCs w:val="24"/>
                <w:highlight w:val="none"/>
              </w:rPr>
            </w:pPr>
            <w:r>
              <w:rPr>
                <w:rFonts w:hint="eastAsia"/>
                <w:color w:val="auto"/>
                <w:sz w:val="24"/>
                <w:szCs w:val="24"/>
                <w:highlight w:val="none"/>
                <w:lang w:eastAsia="zh-CN"/>
              </w:rPr>
              <w:t>☑</w:t>
            </w:r>
            <w:r>
              <w:rPr>
                <w:color w:val="auto"/>
                <w:sz w:val="24"/>
                <w:szCs w:val="24"/>
                <w:highlight w:val="none"/>
              </w:rPr>
              <w:t>技术改造</w:t>
            </w:r>
          </w:p>
        </w:tc>
        <w:tc>
          <w:tcPr>
            <w:tcW w:w="1925" w:type="dxa"/>
            <w:vAlign w:val="center"/>
          </w:tcPr>
          <w:p>
            <w:pPr>
              <w:pStyle w:val="113"/>
              <w:rPr>
                <w:color w:val="auto"/>
                <w:sz w:val="24"/>
                <w:szCs w:val="24"/>
                <w:highlight w:val="none"/>
              </w:rPr>
            </w:pPr>
            <w:r>
              <w:rPr>
                <w:color w:val="auto"/>
                <w:sz w:val="24"/>
                <w:szCs w:val="24"/>
                <w:highlight w:val="none"/>
              </w:rPr>
              <w:t>建设项目</w:t>
            </w:r>
          </w:p>
          <w:p>
            <w:pPr>
              <w:pStyle w:val="113"/>
              <w:rPr>
                <w:color w:val="auto"/>
                <w:sz w:val="24"/>
                <w:szCs w:val="24"/>
                <w:highlight w:val="none"/>
              </w:rPr>
            </w:pPr>
            <w:r>
              <w:rPr>
                <w:color w:val="auto"/>
                <w:sz w:val="24"/>
                <w:szCs w:val="24"/>
                <w:highlight w:val="none"/>
              </w:rPr>
              <w:t>申报情形</w:t>
            </w:r>
          </w:p>
        </w:tc>
        <w:tc>
          <w:tcPr>
            <w:tcW w:w="2926" w:type="dxa"/>
            <w:vAlign w:val="center"/>
          </w:tcPr>
          <w:p>
            <w:pPr>
              <w:pStyle w:val="113"/>
              <w:jc w:val="both"/>
              <w:rPr>
                <w:color w:val="auto"/>
                <w:sz w:val="24"/>
                <w:szCs w:val="24"/>
                <w:highlight w:val="none"/>
              </w:rPr>
            </w:pPr>
            <w:r>
              <w:rPr>
                <w:color w:val="auto"/>
                <w:sz w:val="24"/>
                <w:szCs w:val="24"/>
                <w:highlight w:val="none"/>
              </w:rPr>
              <w:t>☑首次申报项目</w:t>
            </w:r>
          </w:p>
          <w:p>
            <w:pPr>
              <w:pStyle w:val="113"/>
              <w:jc w:val="both"/>
              <w:rPr>
                <w:color w:val="auto"/>
                <w:sz w:val="24"/>
                <w:szCs w:val="24"/>
                <w:highlight w:val="none"/>
              </w:rPr>
            </w:pPr>
            <w:r>
              <w:rPr>
                <w:color w:val="auto"/>
                <w:sz w:val="24"/>
                <w:szCs w:val="24"/>
                <w:highlight w:val="none"/>
              </w:rPr>
              <w:t>□不予批准后再次申报项目</w:t>
            </w:r>
          </w:p>
          <w:p>
            <w:pPr>
              <w:pStyle w:val="113"/>
              <w:jc w:val="both"/>
              <w:rPr>
                <w:color w:val="auto"/>
                <w:sz w:val="24"/>
                <w:szCs w:val="24"/>
                <w:highlight w:val="none"/>
              </w:rPr>
            </w:pPr>
            <w:r>
              <w:rPr>
                <w:color w:val="auto"/>
                <w:sz w:val="24"/>
                <w:szCs w:val="24"/>
                <w:highlight w:val="none"/>
              </w:rPr>
              <w:t>□超五年重新审核项目</w:t>
            </w:r>
          </w:p>
          <w:p>
            <w:pPr>
              <w:pStyle w:val="113"/>
              <w:jc w:val="both"/>
              <w:rPr>
                <w:color w:val="auto"/>
                <w:sz w:val="24"/>
                <w:szCs w:val="24"/>
                <w:highlight w:val="none"/>
              </w:rPr>
            </w:pPr>
            <w:r>
              <w:rPr>
                <w:color w:val="auto"/>
                <w:sz w:val="24"/>
                <w:szCs w:val="24"/>
                <w:highlight w:val="none"/>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2103" w:type="dxa"/>
            <w:tcMar>
              <w:top w:w="16" w:type="dxa"/>
              <w:left w:w="16" w:type="dxa"/>
              <w:right w:w="16" w:type="dxa"/>
            </w:tcMar>
            <w:vAlign w:val="center"/>
          </w:tcPr>
          <w:p>
            <w:pPr>
              <w:pStyle w:val="113"/>
              <w:rPr>
                <w:color w:val="auto"/>
                <w:sz w:val="24"/>
                <w:szCs w:val="24"/>
                <w:highlight w:val="none"/>
              </w:rPr>
            </w:pPr>
            <w:r>
              <w:rPr>
                <w:color w:val="auto"/>
                <w:sz w:val="24"/>
                <w:szCs w:val="24"/>
                <w:highlight w:val="none"/>
              </w:rPr>
              <w:t>项目审批（核准/</w:t>
            </w:r>
          </w:p>
          <w:p>
            <w:pPr>
              <w:pStyle w:val="113"/>
              <w:rPr>
                <w:color w:val="auto"/>
                <w:sz w:val="24"/>
                <w:szCs w:val="24"/>
                <w:highlight w:val="none"/>
              </w:rPr>
            </w:pPr>
            <w:r>
              <w:rPr>
                <w:color w:val="auto"/>
                <w:sz w:val="24"/>
                <w:szCs w:val="24"/>
                <w:highlight w:val="none"/>
              </w:rPr>
              <w:t>备案）部门（选填）</w:t>
            </w:r>
          </w:p>
        </w:tc>
        <w:tc>
          <w:tcPr>
            <w:tcW w:w="1916" w:type="dxa"/>
            <w:vAlign w:val="center"/>
          </w:tcPr>
          <w:p>
            <w:pPr>
              <w:pStyle w:val="113"/>
              <w:rPr>
                <w:color w:val="auto"/>
                <w:sz w:val="24"/>
                <w:szCs w:val="24"/>
                <w:highlight w:val="none"/>
              </w:rPr>
            </w:pPr>
            <w:r>
              <w:rPr>
                <w:rFonts w:hint="eastAsia"/>
                <w:color w:val="auto"/>
                <w:sz w:val="24"/>
                <w:szCs w:val="24"/>
                <w:highlight w:val="none"/>
              </w:rPr>
              <w:t>福州市长乐区工业和信息化局</w:t>
            </w:r>
          </w:p>
        </w:tc>
        <w:tc>
          <w:tcPr>
            <w:tcW w:w="1925" w:type="dxa"/>
            <w:vAlign w:val="center"/>
          </w:tcPr>
          <w:p>
            <w:pPr>
              <w:pStyle w:val="113"/>
              <w:rPr>
                <w:color w:val="auto"/>
                <w:sz w:val="24"/>
                <w:szCs w:val="24"/>
                <w:highlight w:val="none"/>
              </w:rPr>
            </w:pPr>
            <w:r>
              <w:rPr>
                <w:color w:val="auto"/>
                <w:sz w:val="24"/>
                <w:szCs w:val="24"/>
                <w:highlight w:val="none"/>
              </w:rPr>
              <w:t>项目审批（核准/</w:t>
            </w:r>
          </w:p>
          <w:p>
            <w:pPr>
              <w:pStyle w:val="113"/>
              <w:rPr>
                <w:color w:val="auto"/>
                <w:sz w:val="24"/>
                <w:szCs w:val="24"/>
                <w:highlight w:val="none"/>
              </w:rPr>
            </w:pPr>
            <w:r>
              <w:rPr>
                <w:color w:val="auto"/>
                <w:sz w:val="24"/>
                <w:szCs w:val="24"/>
                <w:highlight w:val="none"/>
              </w:rPr>
              <w:t>备案）文号（选填）</w:t>
            </w:r>
          </w:p>
        </w:tc>
        <w:tc>
          <w:tcPr>
            <w:tcW w:w="2926" w:type="dxa"/>
            <w:vAlign w:val="center"/>
          </w:tcPr>
          <w:p>
            <w:pPr>
              <w:pStyle w:val="113"/>
              <w:rPr>
                <w:color w:val="auto"/>
                <w:sz w:val="24"/>
                <w:szCs w:val="24"/>
                <w:highlight w:val="none"/>
              </w:rPr>
            </w:pPr>
            <w:r>
              <w:rPr>
                <w:color w:val="auto"/>
                <w:sz w:val="24"/>
                <w:szCs w:val="24"/>
                <w:highlight w:val="none"/>
              </w:rPr>
              <w:t>闽</w:t>
            </w:r>
            <w:r>
              <w:rPr>
                <w:rFonts w:hint="eastAsia"/>
                <w:color w:val="auto"/>
                <w:sz w:val="24"/>
                <w:szCs w:val="24"/>
                <w:highlight w:val="none"/>
              </w:rPr>
              <w:t>工信</w:t>
            </w:r>
            <w:r>
              <w:rPr>
                <w:color w:val="auto"/>
                <w:sz w:val="24"/>
                <w:szCs w:val="24"/>
                <w:highlight w:val="none"/>
              </w:rPr>
              <w:t>备</w:t>
            </w:r>
            <w:r>
              <w:rPr>
                <w:rFonts w:hint="eastAsia"/>
                <w:color w:val="auto"/>
                <w:sz w:val="24"/>
                <w:szCs w:val="24"/>
                <w:highlight w:val="none"/>
                <w:lang w:val="en-US" w:eastAsia="zh-CN"/>
              </w:rPr>
              <w:t>[</w:t>
            </w:r>
            <w:r>
              <w:rPr>
                <w:color w:val="auto"/>
                <w:sz w:val="24"/>
                <w:szCs w:val="24"/>
                <w:highlight w:val="none"/>
              </w:rPr>
              <w:t>2025</w:t>
            </w:r>
            <w:r>
              <w:rPr>
                <w:rFonts w:hint="eastAsia"/>
                <w:color w:val="auto"/>
                <w:sz w:val="24"/>
                <w:szCs w:val="24"/>
                <w:highlight w:val="none"/>
                <w:lang w:val="en-US" w:eastAsia="zh-CN"/>
              </w:rPr>
              <w:t>]</w:t>
            </w:r>
            <w:r>
              <w:rPr>
                <w:rFonts w:hint="eastAsia"/>
                <w:color w:val="auto"/>
                <w:sz w:val="24"/>
                <w:szCs w:val="24"/>
                <w:highlight w:val="none"/>
              </w:rPr>
              <w:t>0</w:t>
            </w:r>
            <w:r>
              <w:rPr>
                <w:rFonts w:hint="eastAsia"/>
                <w:color w:val="auto"/>
                <w:sz w:val="24"/>
                <w:szCs w:val="24"/>
                <w:highlight w:val="none"/>
                <w:lang w:val="en-US" w:eastAsia="zh-CN"/>
              </w:rPr>
              <w:t>148</w:t>
            </w:r>
            <w:r>
              <w:rPr>
                <w:color w:val="auto"/>
                <w:sz w:val="24"/>
                <w:szCs w:val="24"/>
                <w:highlight w:val="none"/>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03" w:type="dxa"/>
            <w:tcMar>
              <w:top w:w="16" w:type="dxa"/>
              <w:left w:w="16" w:type="dxa"/>
              <w:right w:w="16" w:type="dxa"/>
            </w:tcMar>
            <w:vAlign w:val="center"/>
          </w:tcPr>
          <w:p>
            <w:pPr>
              <w:pStyle w:val="113"/>
              <w:rPr>
                <w:color w:val="auto"/>
                <w:sz w:val="24"/>
                <w:szCs w:val="24"/>
                <w:highlight w:val="none"/>
              </w:rPr>
            </w:pPr>
            <w:r>
              <w:rPr>
                <w:color w:val="auto"/>
                <w:sz w:val="24"/>
                <w:szCs w:val="24"/>
                <w:highlight w:val="none"/>
              </w:rPr>
              <w:t>总投资（万元）</w:t>
            </w:r>
          </w:p>
        </w:tc>
        <w:tc>
          <w:tcPr>
            <w:tcW w:w="1916" w:type="dxa"/>
            <w:vAlign w:val="center"/>
          </w:tcPr>
          <w:p>
            <w:pPr>
              <w:pStyle w:val="113"/>
              <w:rPr>
                <w:color w:val="auto"/>
                <w:sz w:val="24"/>
                <w:szCs w:val="24"/>
                <w:highlight w:val="none"/>
              </w:rPr>
            </w:pPr>
            <w:r>
              <w:rPr>
                <w:rFonts w:hint="eastAsia"/>
                <w:color w:val="auto"/>
                <w:sz w:val="24"/>
                <w:szCs w:val="24"/>
                <w:highlight w:val="none"/>
              </w:rPr>
              <w:t>300</w:t>
            </w:r>
          </w:p>
        </w:tc>
        <w:tc>
          <w:tcPr>
            <w:tcW w:w="1925" w:type="dxa"/>
            <w:tcMar>
              <w:top w:w="16" w:type="dxa"/>
              <w:left w:w="16" w:type="dxa"/>
              <w:right w:w="16" w:type="dxa"/>
            </w:tcMar>
            <w:vAlign w:val="center"/>
          </w:tcPr>
          <w:p>
            <w:pPr>
              <w:pStyle w:val="113"/>
              <w:rPr>
                <w:color w:val="auto"/>
                <w:sz w:val="24"/>
                <w:szCs w:val="24"/>
                <w:highlight w:val="none"/>
              </w:rPr>
            </w:pPr>
            <w:r>
              <w:rPr>
                <w:color w:val="auto"/>
                <w:sz w:val="24"/>
                <w:szCs w:val="24"/>
                <w:highlight w:val="none"/>
              </w:rPr>
              <w:t>环保投资（万元）</w:t>
            </w:r>
          </w:p>
        </w:tc>
        <w:tc>
          <w:tcPr>
            <w:tcW w:w="2926" w:type="dxa"/>
            <w:vAlign w:val="center"/>
          </w:tcPr>
          <w:p>
            <w:pPr>
              <w:pStyle w:val="113"/>
              <w:rPr>
                <w:rFonts w:hint="default" w:eastAsia="宋体"/>
                <w:color w:val="auto"/>
                <w:sz w:val="24"/>
                <w:szCs w:val="24"/>
                <w:highlight w:val="none"/>
                <w:lang w:val="en-US" w:eastAsia="zh-CN"/>
              </w:rPr>
            </w:pPr>
            <w:r>
              <w:rPr>
                <w:rFonts w:hint="eastAsia"/>
                <w:color w:val="auto"/>
                <w:sz w:val="24"/>
                <w:szCs w:val="24"/>
                <w:highlight w:val="none"/>
                <w:lang w:val="en-US" w:eastAsia="zh-CN"/>
              </w:rPr>
              <w:t>79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2103" w:type="dxa"/>
            <w:tcMar>
              <w:top w:w="16" w:type="dxa"/>
              <w:left w:w="16" w:type="dxa"/>
              <w:right w:w="16" w:type="dxa"/>
            </w:tcMar>
            <w:vAlign w:val="center"/>
          </w:tcPr>
          <w:p>
            <w:pPr>
              <w:pStyle w:val="113"/>
              <w:rPr>
                <w:color w:val="auto"/>
                <w:sz w:val="24"/>
                <w:szCs w:val="24"/>
                <w:highlight w:val="none"/>
              </w:rPr>
            </w:pPr>
            <w:r>
              <w:rPr>
                <w:color w:val="auto"/>
                <w:sz w:val="24"/>
                <w:szCs w:val="24"/>
                <w:highlight w:val="none"/>
              </w:rPr>
              <w:t>环保投资占比（%）</w:t>
            </w:r>
          </w:p>
        </w:tc>
        <w:tc>
          <w:tcPr>
            <w:tcW w:w="1916" w:type="dxa"/>
            <w:vAlign w:val="center"/>
          </w:tcPr>
          <w:p>
            <w:pPr>
              <w:pStyle w:val="113"/>
              <w:rPr>
                <w:rFonts w:hint="default" w:eastAsia="宋体"/>
                <w:color w:val="auto"/>
                <w:sz w:val="24"/>
                <w:szCs w:val="24"/>
                <w:highlight w:val="none"/>
                <w:lang w:val="en-US" w:eastAsia="zh-CN"/>
              </w:rPr>
            </w:pPr>
            <w:r>
              <w:rPr>
                <w:rFonts w:hint="eastAsia"/>
                <w:color w:val="auto"/>
                <w:sz w:val="24"/>
                <w:szCs w:val="24"/>
                <w:highlight w:val="none"/>
                <w:lang w:val="en-US" w:eastAsia="zh-CN"/>
              </w:rPr>
              <w:t>26.33</w:t>
            </w:r>
          </w:p>
        </w:tc>
        <w:tc>
          <w:tcPr>
            <w:tcW w:w="1925" w:type="dxa"/>
            <w:tcMar>
              <w:top w:w="16" w:type="dxa"/>
              <w:left w:w="16" w:type="dxa"/>
              <w:right w:w="16" w:type="dxa"/>
            </w:tcMar>
            <w:vAlign w:val="center"/>
          </w:tcPr>
          <w:p>
            <w:pPr>
              <w:pStyle w:val="113"/>
              <w:rPr>
                <w:color w:val="auto"/>
                <w:sz w:val="24"/>
                <w:szCs w:val="24"/>
                <w:highlight w:val="none"/>
              </w:rPr>
            </w:pPr>
            <w:r>
              <w:rPr>
                <w:color w:val="auto"/>
                <w:sz w:val="24"/>
                <w:szCs w:val="24"/>
                <w:highlight w:val="none"/>
              </w:rPr>
              <w:t>施工工期</w:t>
            </w:r>
          </w:p>
        </w:tc>
        <w:tc>
          <w:tcPr>
            <w:tcW w:w="2926" w:type="dxa"/>
            <w:vAlign w:val="center"/>
          </w:tcPr>
          <w:p>
            <w:pPr>
              <w:pStyle w:val="113"/>
              <w:rPr>
                <w:color w:val="auto"/>
                <w:sz w:val="24"/>
                <w:szCs w:val="24"/>
                <w:highlight w:val="none"/>
              </w:rPr>
            </w:pPr>
            <w:r>
              <w:rPr>
                <w:rFonts w:hint="eastAsia"/>
                <w:color w:val="auto"/>
                <w:sz w:val="24"/>
                <w:szCs w:val="24"/>
                <w:highlight w:val="none"/>
              </w:rPr>
              <w:t>3</w:t>
            </w:r>
            <w:r>
              <w:rPr>
                <w:color w:val="auto"/>
                <w:sz w:val="24"/>
                <w:szCs w:val="24"/>
                <w:highlight w:val="none"/>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03" w:type="dxa"/>
            <w:tcMar>
              <w:top w:w="16" w:type="dxa"/>
              <w:left w:w="16" w:type="dxa"/>
              <w:right w:w="16" w:type="dxa"/>
            </w:tcMar>
            <w:vAlign w:val="center"/>
          </w:tcPr>
          <w:p>
            <w:pPr>
              <w:pStyle w:val="113"/>
              <w:rPr>
                <w:color w:val="auto"/>
                <w:sz w:val="24"/>
                <w:szCs w:val="24"/>
                <w:highlight w:val="none"/>
              </w:rPr>
            </w:pPr>
            <w:r>
              <w:rPr>
                <w:color w:val="auto"/>
                <w:sz w:val="24"/>
                <w:szCs w:val="24"/>
                <w:highlight w:val="none"/>
              </w:rPr>
              <w:t>是否开工建设</w:t>
            </w:r>
          </w:p>
        </w:tc>
        <w:tc>
          <w:tcPr>
            <w:tcW w:w="1916" w:type="dxa"/>
            <w:vAlign w:val="center"/>
          </w:tcPr>
          <w:p>
            <w:pPr>
              <w:pStyle w:val="113"/>
              <w:jc w:val="both"/>
              <w:rPr>
                <w:color w:val="auto"/>
                <w:sz w:val="24"/>
                <w:szCs w:val="24"/>
                <w:highlight w:val="none"/>
              </w:rPr>
            </w:pPr>
            <w:r>
              <w:rPr>
                <w:rFonts w:hint="eastAsia"/>
                <w:color w:val="auto"/>
                <w:sz w:val="24"/>
                <w:szCs w:val="24"/>
                <w:highlight w:val="none"/>
              </w:rPr>
              <w:t>☑</w:t>
            </w:r>
            <w:r>
              <w:rPr>
                <w:color w:val="auto"/>
                <w:sz w:val="24"/>
                <w:szCs w:val="24"/>
                <w:highlight w:val="none"/>
              </w:rPr>
              <w:t>否</w:t>
            </w:r>
          </w:p>
          <w:p>
            <w:pPr>
              <w:pStyle w:val="113"/>
              <w:jc w:val="both"/>
              <w:rPr>
                <w:color w:val="auto"/>
                <w:sz w:val="24"/>
                <w:szCs w:val="24"/>
                <w:highlight w:val="none"/>
              </w:rPr>
            </w:pPr>
            <w:r>
              <w:rPr>
                <w:color w:val="auto"/>
                <w:sz w:val="24"/>
                <w:szCs w:val="24"/>
                <w:highlight w:val="none"/>
              </w:rPr>
              <w:sym w:font="Wingdings 2" w:char="00A3"/>
            </w:r>
            <w:r>
              <w:rPr>
                <w:color w:val="auto"/>
                <w:sz w:val="24"/>
                <w:szCs w:val="24"/>
                <w:highlight w:val="none"/>
              </w:rPr>
              <w:t>是：</w:t>
            </w:r>
          </w:p>
        </w:tc>
        <w:tc>
          <w:tcPr>
            <w:tcW w:w="1925" w:type="dxa"/>
            <w:tcMar>
              <w:top w:w="16" w:type="dxa"/>
              <w:left w:w="16" w:type="dxa"/>
              <w:right w:w="16" w:type="dxa"/>
            </w:tcMar>
            <w:vAlign w:val="center"/>
          </w:tcPr>
          <w:p>
            <w:pPr>
              <w:pStyle w:val="113"/>
              <w:rPr>
                <w:color w:val="auto"/>
                <w:spacing w:val="-6"/>
                <w:sz w:val="24"/>
                <w:szCs w:val="24"/>
                <w:highlight w:val="none"/>
              </w:rPr>
            </w:pPr>
            <w:r>
              <w:rPr>
                <w:color w:val="auto"/>
                <w:spacing w:val="-6"/>
                <w:sz w:val="24"/>
                <w:szCs w:val="24"/>
                <w:highlight w:val="none"/>
              </w:rPr>
              <w:t>用地（用海）面积（m</w:t>
            </w:r>
            <w:r>
              <w:rPr>
                <w:color w:val="auto"/>
                <w:spacing w:val="-6"/>
                <w:sz w:val="24"/>
                <w:szCs w:val="24"/>
                <w:highlight w:val="none"/>
                <w:vertAlign w:val="superscript"/>
              </w:rPr>
              <w:t>2</w:t>
            </w:r>
            <w:r>
              <w:rPr>
                <w:color w:val="auto"/>
                <w:spacing w:val="-6"/>
                <w:sz w:val="24"/>
                <w:szCs w:val="24"/>
                <w:highlight w:val="none"/>
              </w:rPr>
              <w:t>）</w:t>
            </w:r>
          </w:p>
        </w:tc>
        <w:tc>
          <w:tcPr>
            <w:tcW w:w="2926" w:type="dxa"/>
            <w:vAlign w:val="center"/>
          </w:tcPr>
          <w:p>
            <w:pPr>
              <w:pStyle w:val="113"/>
              <w:rPr>
                <w:color w:val="auto"/>
                <w:sz w:val="24"/>
                <w:szCs w:val="24"/>
                <w:highlight w:val="none"/>
              </w:rPr>
            </w:pPr>
            <w:r>
              <w:rPr>
                <w:rFonts w:hint="eastAsia"/>
                <w:color w:val="auto"/>
                <w:sz w:val="24"/>
                <w:szCs w:val="24"/>
                <w:highlight w:val="none"/>
              </w:rPr>
              <w:t>49781.84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2103" w:type="dxa"/>
            <w:vAlign w:val="center"/>
          </w:tcPr>
          <w:p>
            <w:pPr>
              <w:pStyle w:val="113"/>
              <w:rPr>
                <w:color w:val="auto"/>
                <w:kern w:val="0"/>
                <w:sz w:val="24"/>
                <w:szCs w:val="24"/>
                <w:highlight w:val="none"/>
              </w:rPr>
            </w:pPr>
            <w:r>
              <w:rPr>
                <w:color w:val="auto"/>
                <w:kern w:val="0"/>
                <w:sz w:val="24"/>
                <w:szCs w:val="24"/>
                <w:highlight w:val="none"/>
              </w:rPr>
              <w:t>专项评价设置情况</w:t>
            </w:r>
          </w:p>
        </w:tc>
        <w:tc>
          <w:tcPr>
            <w:tcW w:w="6767" w:type="dxa"/>
            <w:gridSpan w:val="3"/>
            <w:vAlign w:val="center"/>
          </w:tcPr>
          <w:p>
            <w:pPr>
              <w:ind w:firstLine="480"/>
              <w:rPr>
                <w:color w:val="auto"/>
                <w:highlight w:val="none"/>
              </w:rPr>
            </w:pPr>
            <w:r>
              <w:rPr>
                <w:color w:val="auto"/>
                <w:highlight w:val="none"/>
              </w:rPr>
              <w:t>根据《建设项目环境影响报告表编制技术指南（污染影响类）（试行）》中的专项评价设置原则，专项评价设置表见下表</w:t>
            </w:r>
            <w:r>
              <w:rPr>
                <w:rFonts w:hint="eastAsia"/>
                <w:color w:val="auto"/>
                <w:highlight w:val="none"/>
              </w:rPr>
              <w:t>。</w:t>
            </w:r>
          </w:p>
          <w:p>
            <w:pPr>
              <w:pStyle w:val="15"/>
              <w:ind w:firstLine="482"/>
              <w:rPr>
                <w:bCs/>
                <w:color w:val="auto"/>
                <w:sz w:val="24"/>
                <w:szCs w:val="32"/>
                <w:highlight w:val="none"/>
              </w:rPr>
            </w:pPr>
            <w:r>
              <w:rPr>
                <w:color w:val="auto"/>
                <w:sz w:val="24"/>
                <w:szCs w:val="22"/>
                <w:highlight w:val="none"/>
              </w:rPr>
              <w:t>表1-</w:t>
            </w:r>
            <w:r>
              <w:rPr>
                <w:color w:val="auto"/>
                <w:sz w:val="24"/>
                <w:szCs w:val="22"/>
                <w:highlight w:val="none"/>
              </w:rPr>
              <w:fldChar w:fldCharType="begin"/>
            </w:r>
            <w:r>
              <w:rPr>
                <w:color w:val="auto"/>
                <w:sz w:val="24"/>
                <w:szCs w:val="22"/>
                <w:highlight w:val="none"/>
              </w:rPr>
              <w:instrText xml:space="preserve"> SEQ 表1- \* ARABIC </w:instrText>
            </w:r>
            <w:r>
              <w:rPr>
                <w:color w:val="auto"/>
                <w:sz w:val="24"/>
                <w:szCs w:val="22"/>
                <w:highlight w:val="none"/>
              </w:rPr>
              <w:fldChar w:fldCharType="separate"/>
            </w:r>
            <w:r>
              <w:rPr>
                <w:color w:val="auto"/>
                <w:sz w:val="24"/>
                <w:szCs w:val="22"/>
                <w:highlight w:val="none"/>
              </w:rPr>
              <w:t>1</w:t>
            </w:r>
            <w:r>
              <w:rPr>
                <w:color w:val="auto"/>
                <w:sz w:val="24"/>
                <w:szCs w:val="22"/>
                <w:highlight w:val="none"/>
              </w:rPr>
              <w:fldChar w:fldCharType="end"/>
            </w:r>
            <w:r>
              <w:rPr>
                <w:rFonts w:hint="eastAsia"/>
                <w:bCs/>
                <w:color w:val="auto"/>
                <w:sz w:val="24"/>
                <w:szCs w:val="32"/>
                <w:highlight w:val="none"/>
              </w:rPr>
              <w:t>项目专项评价设置表</w:t>
            </w:r>
          </w:p>
          <w:tbl>
            <w:tblPr>
              <w:tblStyle w:val="49"/>
              <w:tblW w:w="654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604"/>
              <w:gridCol w:w="1969"/>
              <w:gridCol w:w="3270"/>
              <w:gridCol w:w="70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04" w:type="dxa"/>
                  <w:vAlign w:val="center"/>
                </w:tcPr>
                <w:p>
                  <w:pPr>
                    <w:spacing w:line="240" w:lineRule="auto"/>
                    <w:ind w:firstLine="0" w:firstLineChars="0"/>
                    <w:jc w:val="center"/>
                    <w:rPr>
                      <w:color w:val="auto"/>
                      <w:sz w:val="21"/>
                      <w:szCs w:val="21"/>
                      <w:highlight w:val="none"/>
                    </w:rPr>
                  </w:pPr>
                  <w:r>
                    <w:rPr>
                      <w:color w:val="auto"/>
                      <w:sz w:val="21"/>
                      <w:szCs w:val="21"/>
                      <w:highlight w:val="none"/>
                    </w:rPr>
                    <w:t>专项评价的类别</w:t>
                  </w:r>
                </w:p>
              </w:tc>
              <w:tc>
                <w:tcPr>
                  <w:tcW w:w="1969" w:type="dxa"/>
                  <w:vAlign w:val="center"/>
                </w:tcPr>
                <w:p>
                  <w:pPr>
                    <w:spacing w:line="240" w:lineRule="auto"/>
                    <w:ind w:firstLine="0" w:firstLineChars="0"/>
                    <w:jc w:val="center"/>
                    <w:rPr>
                      <w:color w:val="auto"/>
                      <w:sz w:val="21"/>
                      <w:szCs w:val="21"/>
                      <w:highlight w:val="none"/>
                    </w:rPr>
                  </w:pPr>
                  <w:r>
                    <w:rPr>
                      <w:color w:val="auto"/>
                      <w:sz w:val="21"/>
                      <w:szCs w:val="21"/>
                      <w:highlight w:val="none"/>
                    </w:rPr>
                    <w:t>设置原则</w:t>
                  </w:r>
                </w:p>
              </w:tc>
              <w:tc>
                <w:tcPr>
                  <w:tcW w:w="3270" w:type="dxa"/>
                  <w:vAlign w:val="center"/>
                </w:tcPr>
                <w:p>
                  <w:pPr>
                    <w:autoSpaceDE w:val="0"/>
                    <w:autoSpaceDN w:val="0"/>
                    <w:adjustRightInd w:val="0"/>
                    <w:snapToGrid w:val="0"/>
                    <w:spacing w:line="240" w:lineRule="auto"/>
                    <w:ind w:firstLine="0" w:firstLineChars="0"/>
                    <w:jc w:val="center"/>
                    <w:rPr>
                      <w:color w:val="auto"/>
                      <w:sz w:val="21"/>
                      <w:szCs w:val="21"/>
                      <w:highlight w:val="none"/>
                    </w:rPr>
                  </w:pPr>
                  <w:r>
                    <w:rPr>
                      <w:bCs/>
                      <w:color w:val="auto"/>
                      <w:kern w:val="0"/>
                      <w:sz w:val="21"/>
                      <w:szCs w:val="21"/>
                      <w:highlight w:val="none"/>
                    </w:rPr>
                    <w:t>项目情况</w:t>
                  </w:r>
                </w:p>
              </w:tc>
              <w:tc>
                <w:tcPr>
                  <w:tcW w:w="703" w:type="dxa"/>
                  <w:vAlign w:val="center"/>
                </w:tcPr>
                <w:p>
                  <w:pPr>
                    <w:autoSpaceDE w:val="0"/>
                    <w:autoSpaceDN w:val="0"/>
                    <w:adjustRightInd w:val="0"/>
                    <w:snapToGrid w:val="0"/>
                    <w:spacing w:line="240" w:lineRule="auto"/>
                    <w:ind w:firstLine="0" w:firstLineChars="0"/>
                    <w:jc w:val="center"/>
                    <w:rPr>
                      <w:color w:val="auto"/>
                      <w:sz w:val="21"/>
                      <w:szCs w:val="21"/>
                      <w:highlight w:val="none"/>
                    </w:rPr>
                  </w:pPr>
                  <w:r>
                    <w:rPr>
                      <w:rFonts w:hint="eastAsia"/>
                      <w:bCs/>
                      <w:color w:val="auto"/>
                      <w:kern w:val="0"/>
                      <w:sz w:val="21"/>
                      <w:szCs w:val="21"/>
                      <w:highlight w:val="none"/>
                    </w:rPr>
                    <w:t>是否设置专项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04" w:type="dxa"/>
                  <w:vAlign w:val="center"/>
                </w:tcPr>
                <w:p>
                  <w:pPr>
                    <w:spacing w:line="240" w:lineRule="auto"/>
                    <w:ind w:firstLine="0" w:firstLineChars="0"/>
                    <w:jc w:val="center"/>
                    <w:rPr>
                      <w:color w:val="auto"/>
                      <w:sz w:val="21"/>
                      <w:szCs w:val="21"/>
                      <w:highlight w:val="none"/>
                    </w:rPr>
                  </w:pPr>
                  <w:r>
                    <w:rPr>
                      <w:color w:val="auto"/>
                      <w:sz w:val="21"/>
                      <w:szCs w:val="21"/>
                      <w:highlight w:val="none"/>
                    </w:rPr>
                    <w:t>大气</w:t>
                  </w:r>
                </w:p>
              </w:tc>
              <w:tc>
                <w:tcPr>
                  <w:tcW w:w="1969" w:type="dxa"/>
                  <w:vAlign w:val="center"/>
                </w:tcPr>
                <w:p>
                  <w:pPr>
                    <w:spacing w:line="240" w:lineRule="auto"/>
                    <w:ind w:firstLine="0" w:firstLineChars="0"/>
                    <w:rPr>
                      <w:color w:val="auto"/>
                      <w:sz w:val="21"/>
                      <w:szCs w:val="21"/>
                      <w:highlight w:val="none"/>
                    </w:rPr>
                  </w:pPr>
                  <w:r>
                    <w:rPr>
                      <w:color w:val="auto"/>
                      <w:sz w:val="21"/>
                      <w:szCs w:val="21"/>
                      <w:highlight w:val="none"/>
                    </w:rPr>
                    <w:t>排放废气含有毒有害污染物、二噁英、苯并芘、氰化物、氯气且厂界外500m内有环境空气保护目标的建设项目</w:t>
                  </w:r>
                </w:p>
              </w:tc>
              <w:tc>
                <w:tcPr>
                  <w:tcW w:w="3270" w:type="dxa"/>
                  <w:vAlign w:val="center"/>
                </w:tcPr>
                <w:p>
                  <w:pPr>
                    <w:autoSpaceDE w:val="0"/>
                    <w:autoSpaceDN w:val="0"/>
                    <w:adjustRightInd w:val="0"/>
                    <w:snapToGrid w:val="0"/>
                    <w:spacing w:line="240" w:lineRule="auto"/>
                    <w:ind w:firstLine="0" w:firstLineChars="0"/>
                    <w:jc w:val="center"/>
                    <w:rPr>
                      <w:color w:val="auto"/>
                      <w:sz w:val="21"/>
                      <w:szCs w:val="21"/>
                      <w:highlight w:val="none"/>
                    </w:rPr>
                  </w:pPr>
                  <w:r>
                    <w:rPr>
                      <w:color w:val="auto"/>
                      <w:sz w:val="21"/>
                      <w:szCs w:val="21"/>
                      <w:highlight w:val="none"/>
                    </w:rPr>
                    <w:t>项目排放废气主要是颗粒物</w:t>
                  </w:r>
                  <w:r>
                    <w:rPr>
                      <w:rFonts w:hint="eastAsia"/>
                      <w:color w:val="auto"/>
                      <w:sz w:val="21"/>
                      <w:szCs w:val="21"/>
                      <w:highlight w:val="none"/>
                    </w:rPr>
                    <w:t>。</w:t>
                  </w:r>
                </w:p>
              </w:tc>
              <w:tc>
                <w:tcPr>
                  <w:tcW w:w="703" w:type="dxa"/>
                  <w:vAlign w:val="center"/>
                </w:tcPr>
                <w:p>
                  <w:pPr>
                    <w:autoSpaceDE w:val="0"/>
                    <w:autoSpaceDN w:val="0"/>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04" w:type="dxa"/>
                  <w:vAlign w:val="center"/>
                </w:tcPr>
                <w:p>
                  <w:pPr>
                    <w:spacing w:line="240" w:lineRule="auto"/>
                    <w:ind w:firstLine="0" w:firstLineChars="0"/>
                    <w:jc w:val="center"/>
                    <w:rPr>
                      <w:color w:val="auto"/>
                      <w:sz w:val="21"/>
                      <w:szCs w:val="21"/>
                      <w:highlight w:val="none"/>
                    </w:rPr>
                  </w:pPr>
                  <w:r>
                    <w:rPr>
                      <w:color w:val="auto"/>
                      <w:sz w:val="21"/>
                      <w:szCs w:val="21"/>
                      <w:highlight w:val="none"/>
                    </w:rPr>
                    <w:t>地表水</w:t>
                  </w:r>
                </w:p>
              </w:tc>
              <w:tc>
                <w:tcPr>
                  <w:tcW w:w="1969" w:type="dxa"/>
                  <w:vAlign w:val="center"/>
                </w:tcPr>
                <w:p>
                  <w:pPr>
                    <w:pStyle w:val="46"/>
                    <w:keepNext w:val="0"/>
                    <w:spacing w:before="0" w:beforeAutospacing="0" w:after="0" w:afterAutospacing="0"/>
                    <w:ind w:firstLine="0" w:firstLineChars="0"/>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新增工业废水直排建设项目（槽罐车外送污水处理厂的除外）；新增废水直排的污水集中处理厂</w:t>
                  </w:r>
                </w:p>
              </w:tc>
              <w:tc>
                <w:tcPr>
                  <w:tcW w:w="3270" w:type="dxa"/>
                  <w:vAlign w:val="center"/>
                </w:tcPr>
                <w:p>
                  <w:pPr>
                    <w:autoSpaceDE w:val="0"/>
                    <w:autoSpaceDN w:val="0"/>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生活污水依托福州吴航厂区现有生活污水处理设施（化粪池）处理后排入市政管网，纳入长乐污水处理厂处理</w:t>
                  </w:r>
                  <w:r>
                    <w:rPr>
                      <w:color w:val="auto"/>
                      <w:sz w:val="21"/>
                      <w:szCs w:val="21"/>
                      <w:highlight w:val="none"/>
                    </w:rPr>
                    <w:t>。</w:t>
                  </w:r>
                  <w:r>
                    <w:rPr>
                      <w:rFonts w:hint="eastAsia"/>
                      <w:color w:val="auto"/>
                      <w:sz w:val="21"/>
                      <w:szCs w:val="21"/>
                      <w:highlight w:val="none"/>
                    </w:rPr>
                    <w:t>生产废水循环使用不外排</w:t>
                  </w:r>
                  <w:r>
                    <w:rPr>
                      <w:color w:val="auto"/>
                      <w:sz w:val="21"/>
                      <w:szCs w:val="21"/>
                      <w:highlight w:val="none"/>
                    </w:rPr>
                    <w:t>。</w:t>
                  </w:r>
                </w:p>
              </w:tc>
              <w:tc>
                <w:tcPr>
                  <w:tcW w:w="703" w:type="dxa"/>
                  <w:vAlign w:val="center"/>
                </w:tcPr>
                <w:p>
                  <w:pPr>
                    <w:autoSpaceDE w:val="0"/>
                    <w:autoSpaceDN w:val="0"/>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04" w:type="dxa"/>
                  <w:vAlign w:val="center"/>
                </w:tcPr>
                <w:p>
                  <w:pPr>
                    <w:spacing w:line="240" w:lineRule="auto"/>
                    <w:ind w:firstLine="0" w:firstLineChars="0"/>
                    <w:jc w:val="center"/>
                    <w:rPr>
                      <w:color w:val="auto"/>
                      <w:sz w:val="21"/>
                      <w:szCs w:val="21"/>
                      <w:highlight w:val="none"/>
                    </w:rPr>
                  </w:pPr>
                  <w:r>
                    <w:rPr>
                      <w:color w:val="auto"/>
                      <w:sz w:val="21"/>
                      <w:szCs w:val="21"/>
                      <w:highlight w:val="none"/>
                    </w:rPr>
                    <w:t>环境风险</w:t>
                  </w:r>
                </w:p>
              </w:tc>
              <w:tc>
                <w:tcPr>
                  <w:tcW w:w="1969" w:type="dxa"/>
                  <w:vAlign w:val="center"/>
                </w:tcPr>
                <w:p>
                  <w:pPr>
                    <w:pStyle w:val="46"/>
                    <w:keepNext w:val="0"/>
                    <w:spacing w:before="0" w:beforeAutospacing="0" w:after="0" w:afterAutospacing="0"/>
                    <w:ind w:firstLine="0" w:firstLineChars="0"/>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有毒有害和易燃易爆危险物质存储量超过临界量的建设项目</w:t>
                  </w:r>
                </w:p>
              </w:tc>
              <w:tc>
                <w:tcPr>
                  <w:tcW w:w="3270" w:type="dxa"/>
                  <w:vAlign w:val="center"/>
                </w:tcPr>
                <w:p>
                  <w:pPr>
                    <w:autoSpaceDE w:val="0"/>
                    <w:autoSpaceDN w:val="0"/>
                    <w:adjustRightInd w:val="0"/>
                    <w:snapToGrid w:val="0"/>
                    <w:spacing w:line="240" w:lineRule="auto"/>
                    <w:ind w:firstLine="0" w:firstLineChars="0"/>
                    <w:jc w:val="center"/>
                    <w:rPr>
                      <w:color w:val="auto"/>
                      <w:sz w:val="21"/>
                      <w:szCs w:val="21"/>
                      <w:highlight w:val="none"/>
                    </w:rPr>
                  </w:pPr>
                  <w:r>
                    <w:rPr>
                      <w:color w:val="auto"/>
                      <w:kern w:val="0"/>
                      <w:sz w:val="21"/>
                      <w:szCs w:val="21"/>
                      <w:highlight w:val="none"/>
                    </w:rPr>
                    <w:t>项目涉及</w:t>
                  </w:r>
                  <w:r>
                    <w:rPr>
                      <w:rFonts w:hint="eastAsia"/>
                      <w:color w:val="auto"/>
                      <w:highlight w:val="none"/>
                    </w:rPr>
                    <w:t>的</w:t>
                  </w:r>
                  <w:r>
                    <w:rPr>
                      <w:color w:val="auto"/>
                      <w:kern w:val="0"/>
                      <w:sz w:val="21"/>
                      <w:szCs w:val="21"/>
                      <w:highlight w:val="none"/>
                    </w:rPr>
                    <w:t>危险物质</w:t>
                  </w:r>
                  <w:r>
                    <w:rPr>
                      <w:rFonts w:hint="eastAsia"/>
                      <w:color w:val="auto"/>
                      <w:kern w:val="0"/>
                      <w:sz w:val="21"/>
                      <w:szCs w:val="21"/>
                      <w:highlight w:val="none"/>
                    </w:rPr>
                    <w:t>为废机油、机油，最大存储量均为0.2t，均</w:t>
                  </w:r>
                  <w:r>
                    <w:rPr>
                      <w:color w:val="auto"/>
                      <w:kern w:val="0"/>
                      <w:sz w:val="21"/>
                      <w:szCs w:val="21"/>
                      <w:highlight w:val="none"/>
                    </w:rPr>
                    <w:t>未超过临界量</w:t>
                  </w:r>
                  <w:r>
                    <w:rPr>
                      <w:rFonts w:hint="eastAsia"/>
                      <w:color w:val="auto"/>
                      <w:kern w:val="0"/>
                      <w:sz w:val="21"/>
                      <w:szCs w:val="21"/>
                      <w:highlight w:val="none"/>
                    </w:rPr>
                    <w:t>，最大</w:t>
                  </w:r>
                  <w:r>
                    <w:rPr>
                      <w:color w:val="auto"/>
                      <w:kern w:val="0"/>
                      <w:sz w:val="21"/>
                      <w:szCs w:val="21"/>
                      <w:highlight w:val="none"/>
                    </w:rPr>
                    <w:t>存储量</w:t>
                  </w:r>
                  <w:r>
                    <w:rPr>
                      <w:rFonts w:hint="eastAsia"/>
                      <w:color w:val="auto"/>
                      <w:kern w:val="0"/>
                      <w:sz w:val="21"/>
                      <w:szCs w:val="21"/>
                      <w:highlight w:val="none"/>
                    </w:rPr>
                    <w:t>与其临界量比值（Q）合计为</w:t>
                  </w:r>
                  <w:r>
                    <w:rPr>
                      <w:rFonts w:hint="default" w:ascii="Times New Roman" w:hAnsi="Times New Roman" w:eastAsia="宋体" w:cs="Times New Roman"/>
                      <w:color w:val="auto"/>
                      <w:kern w:val="0"/>
                      <w:sz w:val="21"/>
                      <w:szCs w:val="21"/>
                      <w:highlight w:val="none"/>
                    </w:rPr>
                    <w:t>0.00</w:t>
                  </w:r>
                  <w:r>
                    <w:rPr>
                      <w:rFonts w:hint="eastAsia" w:cs="Times New Roman"/>
                      <w:color w:val="auto"/>
                      <w:kern w:val="0"/>
                      <w:sz w:val="21"/>
                      <w:szCs w:val="21"/>
                      <w:highlight w:val="none"/>
                      <w:lang w:val="en-US" w:eastAsia="zh-CN"/>
                    </w:rPr>
                    <w:t>1</w:t>
                  </w:r>
                  <w:r>
                    <w:rPr>
                      <w:rFonts w:hint="eastAsia"/>
                      <w:color w:val="auto"/>
                      <w:kern w:val="0"/>
                      <w:sz w:val="21"/>
                      <w:szCs w:val="21"/>
                      <w:highlight w:val="none"/>
                    </w:rPr>
                    <w:t>。</w:t>
                  </w:r>
                </w:p>
              </w:tc>
              <w:tc>
                <w:tcPr>
                  <w:tcW w:w="703" w:type="dxa"/>
                  <w:vAlign w:val="center"/>
                </w:tcPr>
                <w:p>
                  <w:pPr>
                    <w:autoSpaceDE w:val="0"/>
                    <w:autoSpaceDN w:val="0"/>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04" w:type="dxa"/>
                  <w:vAlign w:val="center"/>
                </w:tcPr>
                <w:p>
                  <w:pPr>
                    <w:spacing w:line="240" w:lineRule="auto"/>
                    <w:ind w:firstLine="0" w:firstLineChars="0"/>
                    <w:jc w:val="center"/>
                    <w:rPr>
                      <w:color w:val="auto"/>
                      <w:sz w:val="21"/>
                      <w:szCs w:val="21"/>
                      <w:highlight w:val="none"/>
                    </w:rPr>
                  </w:pPr>
                  <w:r>
                    <w:rPr>
                      <w:color w:val="auto"/>
                      <w:sz w:val="21"/>
                      <w:szCs w:val="21"/>
                      <w:highlight w:val="none"/>
                    </w:rPr>
                    <w:t>生态</w:t>
                  </w:r>
                </w:p>
              </w:tc>
              <w:tc>
                <w:tcPr>
                  <w:tcW w:w="1969" w:type="dxa"/>
                  <w:vAlign w:val="center"/>
                </w:tcPr>
                <w:p>
                  <w:pPr>
                    <w:pStyle w:val="46"/>
                    <w:keepNext w:val="0"/>
                    <w:spacing w:before="0" w:beforeAutospacing="0" w:after="0" w:afterAutospacing="0"/>
                    <w:ind w:firstLine="0" w:firstLineChars="0"/>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取水口下游500米范围内有重要水生生物的自然产卵场、索饵场、越冬场和</w:t>
                  </w:r>
                  <w:r>
                    <w:rPr>
                      <w:rFonts w:hint="eastAsia" w:ascii="Times New Roman" w:hAnsi="Times New Roman" w:cs="Times New Roman"/>
                      <w:color w:val="auto"/>
                      <w:sz w:val="21"/>
                      <w:szCs w:val="21"/>
                      <w:highlight w:val="none"/>
                      <w:lang w:eastAsia="zh-CN"/>
                    </w:rPr>
                    <w:t>洄游</w:t>
                  </w:r>
                  <w:r>
                    <w:rPr>
                      <w:rFonts w:ascii="Times New Roman" w:hAnsi="Times New Roman" w:cs="Times New Roman"/>
                      <w:color w:val="auto"/>
                      <w:sz w:val="21"/>
                      <w:szCs w:val="21"/>
                      <w:highlight w:val="none"/>
                    </w:rPr>
                    <w:t>通道的新增河道取水的污染类建设项目</w:t>
                  </w:r>
                </w:p>
              </w:tc>
              <w:tc>
                <w:tcPr>
                  <w:tcW w:w="3270" w:type="dxa"/>
                  <w:vAlign w:val="center"/>
                </w:tcPr>
                <w:p>
                  <w:pPr>
                    <w:autoSpaceDE w:val="0"/>
                    <w:autoSpaceDN w:val="0"/>
                    <w:adjustRightInd w:val="0"/>
                    <w:snapToGrid w:val="0"/>
                    <w:spacing w:line="240" w:lineRule="auto"/>
                    <w:ind w:firstLine="0" w:firstLineChars="0"/>
                    <w:jc w:val="center"/>
                    <w:rPr>
                      <w:color w:val="auto"/>
                      <w:sz w:val="21"/>
                      <w:szCs w:val="21"/>
                      <w:highlight w:val="none"/>
                    </w:rPr>
                  </w:pPr>
                  <w:r>
                    <w:rPr>
                      <w:color w:val="auto"/>
                      <w:sz w:val="21"/>
                      <w:szCs w:val="21"/>
                      <w:highlight w:val="none"/>
                    </w:rPr>
                    <w:t>本项目不涉及特殊生态敏感区</w:t>
                  </w:r>
                </w:p>
              </w:tc>
              <w:tc>
                <w:tcPr>
                  <w:tcW w:w="703" w:type="dxa"/>
                  <w:vAlign w:val="center"/>
                </w:tcPr>
                <w:p>
                  <w:pPr>
                    <w:autoSpaceDE w:val="0"/>
                    <w:autoSpaceDN w:val="0"/>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04" w:type="dxa"/>
                  <w:vAlign w:val="center"/>
                </w:tcPr>
                <w:p>
                  <w:pPr>
                    <w:spacing w:line="240" w:lineRule="auto"/>
                    <w:ind w:firstLine="0" w:firstLineChars="0"/>
                    <w:jc w:val="center"/>
                    <w:rPr>
                      <w:color w:val="auto"/>
                      <w:sz w:val="21"/>
                      <w:szCs w:val="21"/>
                      <w:highlight w:val="none"/>
                    </w:rPr>
                  </w:pPr>
                  <w:r>
                    <w:rPr>
                      <w:color w:val="auto"/>
                      <w:sz w:val="21"/>
                      <w:szCs w:val="21"/>
                      <w:highlight w:val="none"/>
                    </w:rPr>
                    <w:t>海洋</w:t>
                  </w:r>
                </w:p>
              </w:tc>
              <w:tc>
                <w:tcPr>
                  <w:tcW w:w="1969" w:type="dxa"/>
                  <w:vAlign w:val="center"/>
                </w:tcPr>
                <w:p>
                  <w:pPr>
                    <w:pStyle w:val="46"/>
                    <w:keepNext w:val="0"/>
                    <w:spacing w:before="0" w:beforeAutospacing="0" w:after="0" w:afterAutospacing="0"/>
                    <w:ind w:firstLine="0" w:firstLineChars="0"/>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直接向海排放污染物的海洋工程建设项目</w:t>
                  </w:r>
                </w:p>
              </w:tc>
              <w:tc>
                <w:tcPr>
                  <w:tcW w:w="3270" w:type="dxa"/>
                  <w:vAlign w:val="center"/>
                </w:tcPr>
                <w:p>
                  <w:pPr>
                    <w:autoSpaceDE w:val="0"/>
                    <w:autoSpaceDN w:val="0"/>
                    <w:adjustRightInd w:val="0"/>
                    <w:snapToGrid w:val="0"/>
                    <w:spacing w:line="240" w:lineRule="auto"/>
                    <w:ind w:firstLine="0" w:firstLineChars="0"/>
                    <w:jc w:val="center"/>
                    <w:rPr>
                      <w:color w:val="auto"/>
                      <w:sz w:val="21"/>
                      <w:szCs w:val="21"/>
                      <w:highlight w:val="none"/>
                    </w:rPr>
                  </w:pPr>
                  <w:r>
                    <w:rPr>
                      <w:color w:val="auto"/>
                      <w:kern w:val="0"/>
                      <w:sz w:val="21"/>
                      <w:szCs w:val="21"/>
                      <w:highlight w:val="none"/>
                    </w:rPr>
                    <w:t>项目不属于海洋工程</w:t>
                  </w:r>
                  <w:r>
                    <w:rPr>
                      <w:color w:val="auto"/>
                      <w:sz w:val="21"/>
                      <w:szCs w:val="21"/>
                      <w:highlight w:val="none"/>
                    </w:rPr>
                    <w:t>建设</w:t>
                  </w:r>
                  <w:r>
                    <w:rPr>
                      <w:color w:val="auto"/>
                      <w:kern w:val="0"/>
                      <w:sz w:val="21"/>
                      <w:szCs w:val="21"/>
                      <w:highlight w:val="none"/>
                    </w:rPr>
                    <w:t>项目</w:t>
                  </w:r>
                  <w:r>
                    <w:rPr>
                      <w:rFonts w:hint="eastAsia"/>
                      <w:color w:val="auto"/>
                      <w:kern w:val="0"/>
                      <w:sz w:val="21"/>
                      <w:szCs w:val="21"/>
                      <w:highlight w:val="none"/>
                    </w:rPr>
                    <w:t>。</w:t>
                  </w:r>
                </w:p>
              </w:tc>
              <w:tc>
                <w:tcPr>
                  <w:tcW w:w="703" w:type="dxa"/>
                  <w:vAlign w:val="center"/>
                </w:tcPr>
                <w:p>
                  <w:pPr>
                    <w:autoSpaceDE w:val="0"/>
                    <w:autoSpaceDN w:val="0"/>
                    <w:adjustRightInd w:val="0"/>
                    <w:snapToGrid w:val="0"/>
                    <w:spacing w:line="240" w:lineRule="auto"/>
                    <w:ind w:firstLine="0" w:firstLineChars="0"/>
                    <w:jc w:val="center"/>
                    <w:rPr>
                      <w:color w:val="auto"/>
                      <w:sz w:val="21"/>
                      <w:szCs w:val="21"/>
                      <w:highlight w:val="none"/>
                    </w:rPr>
                  </w:pPr>
                  <w:r>
                    <w:rPr>
                      <w:rFonts w:hint="eastAsia"/>
                      <w:color w:val="auto"/>
                      <w:sz w:val="21"/>
                      <w:szCs w:val="21"/>
                      <w:highlight w:val="none"/>
                    </w:rPr>
                    <w:t>否</w:t>
                  </w:r>
                </w:p>
              </w:tc>
            </w:tr>
          </w:tbl>
          <w:p>
            <w:pPr>
              <w:autoSpaceDE w:val="0"/>
              <w:autoSpaceDN w:val="0"/>
              <w:spacing w:line="240" w:lineRule="auto"/>
              <w:ind w:firstLine="0" w:firstLineChars="0"/>
              <w:jc w:val="left"/>
              <w:rPr>
                <w:color w:val="auto"/>
                <w:kern w:val="0"/>
                <w:sz w:val="21"/>
                <w:szCs w:val="21"/>
                <w:highlight w:val="none"/>
              </w:rPr>
            </w:pPr>
            <w:r>
              <w:rPr>
                <w:color w:val="auto"/>
                <w:kern w:val="0"/>
                <w:sz w:val="21"/>
                <w:szCs w:val="21"/>
                <w:highlight w:val="none"/>
              </w:rPr>
              <w:t>注：1</w:t>
            </w:r>
            <w:r>
              <w:rPr>
                <w:rFonts w:hint="eastAsia"/>
                <w:color w:val="auto"/>
                <w:kern w:val="0"/>
                <w:sz w:val="21"/>
                <w:szCs w:val="21"/>
                <w:highlight w:val="none"/>
                <w:lang w:val="en-US" w:eastAsia="zh-CN"/>
              </w:rPr>
              <w:t>.</w:t>
            </w:r>
            <w:r>
              <w:rPr>
                <w:color w:val="auto"/>
                <w:kern w:val="0"/>
                <w:sz w:val="21"/>
                <w:szCs w:val="21"/>
                <w:highlight w:val="none"/>
              </w:rPr>
              <w:t>废气中有毒有害污染物指纳入《有毒有害大气污染物名录》的污染物（不包括无排放标准的污染物）。</w:t>
            </w:r>
          </w:p>
          <w:p>
            <w:pPr>
              <w:autoSpaceDE w:val="0"/>
              <w:autoSpaceDN w:val="0"/>
              <w:spacing w:line="240" w:lineRule="auto"/>
              <w:ind w:firstLine="0" w:firstLineChars="0"/>
              <w:jc w:val="left"/>
              <w:rPr>
                <w:color w:val="auto"/>
                <w:kern w:val="0"/>
                <w:sz w:val="21"/>
                <w:szCs w:val="21"/>
                <w:highlight w:val="none"/>
              </w:rPr>
            </w:pPr>
            <w:r>
              <w:rPr>
                <w:rFonts w:hint="eastAsia"/>
                <w:color w:val="auto"/>
                <w:kern w:val="0"/>
                <w:sz w:val="21"/>
                <w:szCs w:val="21"/>
                <w:highlight w:val="none"/>
                <w:lang w:eastAsia="zh-CN"/>
              </w:rPr>
              <w:t>2.</w:t>
            </w:r>
            <w:r>
              <w:rPr>
                <w:color w:val="auto"/>
                <w:kern w:val="0"/>
                <w:sz w:val="21"/>
                <w:szCs w:val="21"/>
                <w:highlight w:val="none"/>
              </w:rPr>
              <w:t>环境空气保护目标指自然保护区、风景名胜区、居住区、文化区和农村地区中人群较集中的区域。</w:t>
            </w:r>
          </w:p>
          <w:p>
            <w:pPr>
              <w:autoSpaceDE w:val="0"/>
              <w:autoSpaceDN w:val="0"/>
              <w:spacing w:line="240" w:lineRule="auto"/>
              <w:ind w:firstLine="0" w:firstLineChars="0"/>
              <w:jc w:val="left"/>
              <w:rPr>
                <w:color w:val="auto"/>
                <w:kern w:val="0"/>
                <w:szCs w:val="24"/>
                <w:highlight w:val="none"/>
              </w:rPr>
            </w:pPr>
            <w:r>
              <w:rPr>
                <w:rFonts w:hint="eastAsia"/>
                <w:color w:val="auto"/>
                <w:kern w:val="0"/>
                <w:sz w:val="21"/>
                <w:szCs w:val="21"/>
                <w:highlight w:val="none"/>
                <w:lang w:eastAsia="zh-CN"/>
              </w:rPr>
              <w:t>3.</w:t>
            </w:r>
            <w:r>
              <w:rPr>
                <w:color w:val="auto"/>
                <w:kern w:val="0"/>
                <w:sz w:val="21"/>
                <w:szCs w:val="21"/>
                <w:highlight w:val="none"/>
              </w:rPr>
              <w:t>临界量及其计算方法可参考《建设项目环境风险评价技术导则》（HJ169）附录B、附录C</w:t>
            </w:r>
            <w:r>
              <w:rPr>
                <w:rFonts w:hint="eastAsia"/>
                <w:color w:val="auto"/>
                <w:kern w:val="0"/>
                <w:sz w:val="21"/>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2103" w:type="dxa"/>
            <w:vAlign w:val="center"/>
          </w:tcPr>
          <w:p>
            <w:pPr>
              <w:pStyle w:val="113"/>
              <w:rPr>
                <w:color w:val="auto"/>
                <w:kern w:val="0"/>
                <w:sz w:val="24"/>
                <w:szCs w:val="24"/>
                <w:highlight w:val="none"/>
              </w:rPr>
            </w:pPr>
            <w:r>
              <w:rPr>
                <w:color w:val="auto"/>
                <w:sz w:val="24"/>
                <w:szCs w:val="24"/>
                <w:highlight w:val="none"/>
              </w:rPr>
              <w:t>规划情况</w:t>
            </w:r>
          </w:p>
        </w:tc>
        <w:tc>
          <w:tcPr>
            <w:tcW w:w="6767" w:type="dxa"/>
            <w:gridSpan w:val="3"/>
            <w:vAlign w:val="center"/>
          </w:tcPr>
          <w:p>
            <w:pPr>
              <w:ind w:firstLine="0" w:firstLineChars="0"/>
              <w:rPr>
                <w:color w:val="auto"/>
                <w:kern w:val="0"/>
                <w:szCs w:val="24"/>
                <w:highlight w:val="none"/>
              </w:rPr>
            </w:pPr>
            <w:r>
              <w:rPr>
                <w:rFonts w:hint="eastAsia"/>
                <w:color w:val="auto"/>
                <w:kern w:val="0"/>
                <w:szCs w:val="24"/>
                <w:highlight w:val="none"/>
              </w:rPr>
              <w:t>规划名称：《长乐市城市总体规划修编纲要》（2014-2030）</w:t>
            </w:r>
          </w:p>
          <w:p>
            <w:pPr>
              <w:ind w:firstLine="0" w:firstLineChars="0"/>
              <w:rPr>
                <w:rFonts w:hint="default"/>
                <w:color w:val="auto"/>
                <w:kern w:val="0"/>
                <w:szCs w:val="24"/>
                <w:highlight w:val="none"/>
                <w:lang w:val="en-US"/>
              </w:rPr>
            </w:pPr>
            <w:r>
              <w:rPr>
                <w:rFonts w:hint="eastAsia"/>
                <w:color w:val="auto"/>
                <w:kern w:val="0"/>
                <w:szCs w:val="24"/>
                <w:highlight w:val="none"/>
              </w:rPr>
              <w:t>审批机关</w:t>
            </w:r>
            <w:r>
              <w:rPr>
                <w:rFonts w:hint="eastAsia"/>
                <w:color w:val="auto"/>
                <w:kern w:val="0"/>
                <w:szCs w:val="24"/>
                <w:highlight w:val="none"/>
                <w:lang w:eastAsia="zh-CN"/>
              </w:rPr>
              <w:t>：</w:t>
            </w:r>
          </w:p>
          <w:p>
            <w:pPr>
              <w:ind w:firstLine="0" w:firstLineChars="0"/>
              <w:rPr>
                <w:color w:val="auto"/>
                <w:highlight w:val="none"/>
              </w:rPr>
            </w:pPr>
            <w:r>
              <w:rPr>
                <w:rFonts w:hint="eastAsia"/>
                <w:color w:val="auto"/>
                <w:kern w:val="0"/>
                <w:szCs w:val="24"/>
                <w:highlight w:val="none"/>
              </w:rPr>
              <w:t>审批文件名称及文号：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2103" w:type="dxa"/>
            <w:vAlign w:val="center"/>
          </w:tcPr>
          <w:p>
            <w:pPr>
              <w:pStyle w:val="113"/>
              <w:rPr>
                <w:color w:val="auto"/>
                <w:sz w:val="24"/>
                <w:szCs w:val="24"/>
                <w:highlight w:val="none"/>
              </w:rPr>
            </w:pPr>
            <w:r>
              <w:rPr>
                <w:color w:val="auto"/>
                <w:sz w:val="24"/>
                <w:szCs w:val="24"/>
                <w:highlight w:val="none"/>
              </w:rPr>
              <w:t>规划环境影响</w:t>
            </w:r>
          </w:p>
          <w:p>
            <w:pPr>
              <w:pStyle w:val="113"/>
              <w:rPr>
                <w:color w:val="auto"/>
                <w:kern w:val="0"/>
                <w:sz w:val="24"/>
                <w:szCs w:val="24"/>
                <w:highlight w:val="none"/>
              </w:rPr>
            </w:pPr>
            <w:r>
              <w:rPr>
                <w:color w:val="auto"/>
                <w:sz w:val="24"/>
                <w:szCs w:val="24"/>
                <w:highlight w:val="none"/>
              </w:rPr>
              <w:t>评价情况</w:t>
            </w:r>
          </w:p>
        </w:tc>
        <w:tc>
          <w:tcPr>
            <w:tcW w:w="6767" w:type="dxa"/>
            <w:gridSpan w:val="3"/>
            <w:vAlign w:val="center"/>
          </w:tcPr>
          <w:p>
            <w:pPr>
              <w:pStyle w:val="113"/>
              <w:spacing w:line="360" w:lineRule="auto"/>
              <w:rPr>
                <w:color w:val="auto"/>
                <w:kern w:val="0"/>
                <w:sz w:val="24"/>
                <w:szCs w:val="24"/>
                <w:highlight w:val="none"/>
              </w:rPr>
            </w:pPr>
            <w:r>
              <w:rPr>
                <w:rFonts w:hint="eastAsia"/>
                <w:color w:val="auto"/>
                <w:kern w:val="0"/>
                <w:sz w:val="24"/>
                <w:szCs w:val="24"/>
                <w:highlight w:val="none"/>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103" w:type="dxa"/>
            <w:vAlign w:val="center"/>
          </w:tcPr>
          <w:p>
            <w:pPr>
              <w:pStyle w:val="113"/>
              <w:rPr>
                <w:color w:val="auto"/>
                <w:kern w:val="0"/>
                <w:sz w:val="24"/>
                <w:szCs w:val="24"/>
                <w:highlight w:val="none"/>
              </w:rPr>
            </w:pPr>
            <w:r>
              <w:rPr>
                <w:color w:val="auto"/>
                <w:kern w:val="0"/>
                <w:sz w:val="24"/>
                <w:szCs w:val="24"/>
                <w:highlight w:val="none"/>
              </w:rPr>
              <w:t>规划及规划环境</w:t>
            </w:r>
          </w:p>
          <w:p>
            <w:pPr>
              <w:pStyle w:val="113"/>
              <w:rPr>
                <w:color w:val="auto"/>
                <w:kern w:val="0"/>
                <w:sz w:val="24"/>
                <w:szCs w:val="24"/>
                <w:highlight w:val="none"/>
              </w:rPr>
            </w:pPr>
            <w:r>
              <w:rPr>
                <w:color w:val="auto"/>
                <w:kern w:val="0"/>
                <w:sz w:val="24"/>
                <w:szCs w:val="24"/>
                <w:highlight w:val="none"/>
              </w:rPr>
              <w:t>影响评价符合性分析</w:t>
            </w:r>
          </w:p>
        </w:tc>
        <w:tc>
          <w:tcPr>
            <w:tcW w:w="6767" w:type="dxa"/>
            <w:gridSpan w:val="3"/>
            <w:vAlign w:val="center"/>
          </w:tcPr>
          <w:p>
            <w:pPr>
              <w:ind w:firstLine="0" w:firstLineChars="0"/>
              <w:rPr>
                <w:color w:val="auto"/>
                <w:kern w:val="0"/>
                <w:szCs w:val="24"/>
                <w:highlight w:val="none"/>
              </w:rPr>
            </w:pPr>
            <w:r>
              <w:rPr>
                <w:rFonts w:hint="default"/>
                <w:color w:val="auto"/>
                <w:kern w:val="0"/>
                <w:szCs w:val="24"/>
                <w:highlight w:val="none"/>
                <w:lang w:val="en-US" w:eastAsia="zh-CN"/>
              </w:rPr>
              <w:t>1、</w:t>
            </w:r>
            <w:r>
              <w:rPr>
                <w:rFonts w:hint="default"/>
                <w:color w:val="auto"/>
                <w:kern w:val="0"/>
                <w:szCs w:val="24"/>
                <w:highlight w:val="none"/>
              </w:rPr>
              <w:t>与《长乐市城市总体规划修编纲要》（2014-2030）规划符合性分析</w:t>
            </w:r>
          </w:p>
          <w:p>
            <w:pPr>
              <w:ind w:firstLine="0"/>
              <w:rPr>
                <w:color w:val="auto"/>
                <w:kern w:val="0"/>
                <w:szCs w:val="24"/>
                <w:highlight w:val="none"/>
              </w:rPr>
            </w:pPr>
            <w:r>
              <w:rPr>
                <w:rFonts w:hint="eastAsia"/>
                <w:color w:val="auto"/>
                <w:kern w:val="0"/>
                <w:szCs w:val="24"/>
                <w:highlight w:val="none"/>
              </w:rPr>
              <w:t>根据《长乐市城市总体规划修编纲要(2014-2030)》，长乐区域内发展的空间结构为“一轴一带、两核两翼”。一轴为沿江向海发展轴；一带为沿海发展带；两核为滨江城、滨海城；两翼为空港产业集聚区、海港产业集聚区。本</w:t>
            </w:r>
            <w:r>
              <w:rPr>
                <w:rFonts w:hint="eastAsia"/>
                <w:color w:val="auto"/>
                <w:kern w:val="0"/>
                <w:szCs w:val="24"/>
                <w:highlight w:val="none"/>
                <w:lang w:val="en-US" w:eastAsia="zh-CN"/>
              </w:rPr>
              <w:t>次技改</w:t>
            </w:r>
            <w:r>
              <w:rPr>
                <w:rFonts w:hint="eastAsia"/>
                <w:color w:val="auto"/>
                <w:kern w:val="0"/>
                <w:szCs w:val="24"/>
                <w:highlight w:val="none"/>
              </w:rPr>
              <w:t>项目选址位于</w:t>
            </w:r>
            <w:r>
              <w:rPr>
                <w:rFonts w:hint="eastAsia"/>
                <w:color w:val="auto"/>
                <w:szCs w:val="24"/>
                <w:highlight w:val="none"/>
              </w:rPr>
              <w:t>福建省福州市长乐区营前工商路110号福建吴航不锈钢制品有限公司南生产区拉丝区域东侧现有闲置车间（原拉丝车间二）</w:t>
            </w:r>
            <w:r>
              <w:rPr>
                <w:rFonts w:hint="eastAsia"/>
                <w:color w:val="auto"/>
                <w:kern w:val="0"/>
                <w:szCs w:val="24"/>
                <w:highlight w:val="none"/>
              </w:rPr>
              <w:t>，位于福建吴航不锈钢制品有限公司现有厂区内，为已批项目</w:t>
            </w:r>
            <w:r>
              <w:rPr>
                <w:rFonts w:hint="eastAsia"/>
                <w:color w:val="auto"/>
                <w:highlight w:val="none"/>
              </w:rPr>
              <w:t>福建吴航不锈钢制品有限公司南生产区拉丝区域东侧现有闲置车间（原拉丝车间）</w:t>
            </w:r>
            <w:r>
              <w:rPr>
                <w:rFonts w:hint="eastAsia"/>
                <w:color w:val="auto"/>
                <w:kern w:val="0"/>
                <w:szCs w:val="24"/>
                <w:highlight w:val="none"/>
              </w:rPr>
              <w:t>主要从事废钢回收利用，不新征用地，项目建设用地为工业用地，不涉及生态环境敏感区，项目用地性质合理，对照《长乐市城市总体规划修编纲要（2014-2030）》，符合产业定位及土地利用规划项目符合《长乐市城市总体规划修编纲要(2014-2030)》要求。</w:t>
            </w:r>
          </w:p>
          <w:p>
            <w:pPr>
              <w:ind w:firstLine="0" w:firstLineChars="0"/>
              <w:rPr>
                <w:rFonts w:hint="eastAsia"/>
                <w:color w:val="auto"/>
                <w:highlight w:val="none"/>
              </w:rPr>
            </w:pPr>
            <w:r>
              <w:rPr>
                <w:rFonts w:hint="eastAsia"/>
                <w:color w:val="auto"/>
                <w:highlight w:val="none"/>
                <w:lang w:val="en-US" w:eastAsia="zh-CN"/>
              </w:rPr>
              <w:t>2、</w:t>
            </w:r>
            <w:r>
              <w:rPr>
                <w:rFonts w:hint="eastAsia"/>
                <w:color w:val="auto"/>
                <w:highlight w:val="none"/>
              </w:rPr>
              <w:t>与《长乐区国土空间规划（2021-2035年）（分区层面）》相符性分析</w:t>
            </w:r>
          </w:p>
          <w:p>
            <w:pPr>
              <w:ind w:firstLine="0"/>
              <w:rPr>
                <w:rFonts w:hint="eastAsia"/>
                <w:color w:val="auto"/>
                <w:highlight w:val="none"/>
              </w:rPr>
            </w:pPr>
            <w:r>
              <w:rPr>
                <w:rFonts w:hint="eastAsia"/>
                <w:color w:val="auto"/>
                <w:highlight w:val="none"/>
              </w:rPr>
              <w:t>根据项目所在的福州市长乐区的《长乐区国土空间规划（2021-2035年）（分区层面）》该规划相关内容如下：</w:t>
            </w:r>
          </w:p>
          <w:p>
            <w:pPr>
              <w:ind w:firstLine="0"/>
              <w:rPr>
                <w:rFonts w:hint="eastAsia"/>
                <w:color w:val="auto"/>
                <w:highlight w:val="none"/>
              </w:rPr>
            </w:pPr>
            <w:r>
              <w:rPr>
                <w:rFonts w:hint="eastAsia"/>
                <w:color w:val="auto"/>
                <w:highlight w:val="none"/>
              </w:rPr>
              <w:t>（1）相关内容</w:t>
            </w:r>
          </w:p>
          <w:p>
            <w:pPr>
              <w:ind w:firstLine="0"/>
              <w:rPr>
                <w:rFonts w:hint="eastAsia"/>
                <w:color w:val="auto"/>
                <w:highlight w:val="none"/>
              </w:rPr>
            </w:pPr>
            <w:r>
              <w:rPr>
                <w:rFonts w:hint="eastAsia"/>
                <w:color w:val="auto"/>
                <w:highlight w:val="none"/>
              </w:rPr>
              <w:t>重点打造五大产业片区，引导高端产业集聚：持续建设数字经济产业片区，提升临空经济产业片区，培育临港经济产业片区、国际医疗健康产业片区、滨江滨海文旅产业片区。</w:t>
            </w:r>
          </w:p>
          <w:p>
            <w:pPr>
              <w:ind w:firstLine="0"/>
              <w:rPr>
                <w:rFonts w:hint="eastAsia"/>
                <w:color w:val="auto"/>
                <w:highlight w:val="none"/>
              </w:rPr>
            </w:pPr>
            <w:r>
              <w:rPr>
                <w:rFonts w:hint="eastAsia"/>
                <w:color w:val="auto"/>
                <w:highlight w:val="none"/>
              </w:rPr>
              <w:t>依托现有良好的山水和人文基底，规划整体构建“一带一轴，两心多节点”的保护结构。一带即沿江沿海文化带。一轴即从吴航老城-海滨新城的沿江向海发展轴。两心为吴航老城文化核心与海滨新城文化核心。九聚区包括潭头海丝文化聚集区、梅花海防文化聚集区、漳港海洋文化聚集区、南阳红色文化聚集区、营前闽都文化聚集区、董奉医学文化聚集区、琴江满族文化聚集区、三溪耕读文化聚集区、下沙休闲文化聚集区等九大节点。</w:t>
            </w:r>
          </w:p>
          <w:p>
            <w:pPr>
              <w:ind w:firstLine="0"/>
              <w:rPr>
                <w:rFonts w:hint="eastAsia"/>
                <w:color w:val="auto"/>
                <w:highlight w:val="none"/>
              </w:rPr>
            </w:pPr>
            <w:r>
              <w:rPr>
                <w:rFonts w:hint="eastAsia"/>
                <w:color w:val="auto"/>
                <w:highlight w:val="none"/>
              </w:rPr>
              <w:t>（2）符合性分析</w:t>
            </w:r>
          </w:p>
          <w:p>
            <w:pPr>
              <w:ind w:firstLine="0"/>
              <w:rPr>
                <w:rFonts w:hint="eastAsia"/>
                <w:color w:val="auto"/>
                <w:highlight w:val="none"/>
                <w:lang w:eastAsia="zh-CN"/>
              </w:rPr>
            </w:pPr>
            <w:r>
              <w:rPr>
                <w:rFonts w:hint="eastAsia"/>
                <w:color w:val="auto"/>
                <w:highlight w:val="none"/>
                <w:lang w:val="en-US" w:eastAsia="zh-CN"/>
              </w:rPr>
              <w:t>技改</w:t>
            </w:r>
            <w:r>
              <w:rPr>
                <w:rFonts w:hint="eastAsia"/>
                <w:color w:val="auto"/>
                <w:highlight w:val="none"/>
              </w:rPr>
              <w:t>项目位于福建吴航不锈钢制品有限公司现有车间内，为已批项目《福建吴航不锈钢制品有限公司不锈钢拉丝深加工项目》（长环评〔2020〕90号）中拉丝车间二，不涉及永久基本农田、生态保护红线，经叠图分析后符合长乐区国土空间规划（分区层面）管控要求。项目用地与企业周边用地现状基本一致，无新增环境敏感目标，符合《长乐区国土空间规划（2021-2035年）（分区层面）》发展目标，见附图6</w:t>
            </w:r>
            <w:r>
              <w:rPr>
                <w:rFonts w:hint="eastAsia"/>
                <w:color w:val="auto"/>
                <w:highlight w:val="none"/>
                <w:lang w:eastAsia="zh-CN"/>
              </w:rPr>
              <w:t>。</w:t>
            </w:r>
          </w:p>
          <w:p>
            <w:pPr>
              <w:ind w:firstLine="0" w:firstLineChars="0"/>
              <w:rPr>
                <w:rFonts w:hint="eastAsia"/>
                <w:color w:val="auto"/>
                <w:highlight w:val="none"/>
              </w:rPr>
            </w:pPr>
            <w:r>
              <w:rPr>
                <w:rFonts w:hint="eastAsia"/>
                <w:color w:val="auto"/>
                <w:highlight w:val="none"/>
                <w:lang w:val="en-US" w:eastAsia="zh-CN"/>
              </w:rPr>
              <w:t>3、</w:t>
            </w:r>
            <w:r>
              <w:rPr>
                <w:rFonts w:hint="eastAsia"/>
                <w:color w:val="auto"/>
                <w:highlight w:val="none"/>
              </w:rPr>
              <w:t>与《福州市国土空间总体规划（2021─2035年）》相符性分析</w:t>
            </w:r>
          </w:p>
          <w:p>
            <w:pPr>
              <w:ind w:firstLine="0"/>
              <w:rPr>
                <w:rFonts w:hint="default"/>
                <w:color w:val="auto"/>
                <w:highlight w:val="none"/>
                <w:lang w:val="en-US" w:eastAsia="zh-CN"/>
              </w:rPr>
            </w:pPr>
            <w:r>
              <w:rPr>
                <w:rFonts w:hint="default"/>
                <w:color w:val="auto"/>
                <w:highlight w:val="none"/>
                <w:lang w:val="en-US" w:eastAsia="zh-CN"/>
              </w:rPr>
              <w:t>根据《福州市国土空间总体规划》（2021-2035），福州市国土空间开发保护总体格局为“衔接落实国家和福建省农业、生态、城镇格局，坚持“东进南下、沿江向海”空间发展方向，统筹开发与保护，构建“一主一副、双轴两翼、五廊一区”的国土空间开发保护总体格局。“一主一副”即市域主中心（福州中心城区）和市域副中心（福清市区）；“双轴两翼”即沿江发展轴和滨海发展轴，以及北翼（罗源湾地区）和南翼（江阴湾、福清湾地区），“五廊一区”即五条山海生态廊道，以及西部山地生态涵养和绿色发展区。</w:t>
            </w:r>
          </w:p>
          <w:p>
            <w:pPr>
              <w:ind w:firstLine="0"/>
              <w:rPr>
                <w:rFonts w:hint="default"/>
                <w:color w:val="auto"/>
                <w:highlight w:val="none"/>
                <w:lang w:val="en-US" w:eastAsia="zh-CN"/>
              </w:rPr>
            </w:pPr>
            <w:r>
              <w:rPr>
                <w:rFonts w:hint="default"/>
                <w:color w:val="auto"/>
                <w:highlight w:val="none"/>
                <w:lang w:val="en-US" w:eastAsia="zh-CN"/>
              </w:rPr>
              <w:t>推进福州主城与滨海新城一体化发展，引导中心城区空间格局从单中心向多中心、组团式、网络化转变，打造“一环两带两轴、双核两心七组团”的空间结构。“一环”为环城山体公园带，“两带”为闽江城市活力景观带、乌龙江生态景观带，“两轴”为传统城市发展轴、新兴东进发展轴；“双核”为福州主城核心区、滨海新城核心区，“两心”为三江口副中心、科学城副中心，“七组团”为福州主城外围的荆溪组团、旗山山前组团、青口组团、吴航组团、闽江口组团、航空城组团和松下港城组团。</w:t>
            </w:r>
          </w:p>
          <w:p>
            <w:pPr>
              <w:ind w:firstLine="0"/>
              <w:rPr>
                <w:rFonts w:hint="default"/>
                <w:color w:val="auto"/>
                <w:highlight w:val="none"/>
                <w:lang w:val="en-US" w:eastAsia="zh-CN"/>
              </w:rPr>
            </w:pPr>
            <w:r>
              <w:rPr>
                <w:rFonts w:hint="default"/>
                <w:color w:val="auto"/>
                <w:highlight w:val="none"/>
                <w:lang w:val="en-US" w:eastAsia="zh-CN"/>
              </w:rPr>
              <w:t>本项目选址位于福建省福州市长乐区营前工商路110号福建吴航不锈钢制品有限公司现有闲置厂房内，属于工业用地，不触及各类禁止和限制开发区域，则符合规划要求。主要从事废钢回收利用，属于工业企业，项目建立后有助于当地就业环境及经济发展，因此，项目符合《福州市国土空间总体规划》（2021-2035）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103" w:type="dxa"/>
            <w:vAlign w:val="center"/>
          </w:tcPr>
          <w:p>
            <w:pPr>
              <w:pStyle w:val="113"/>
              <w:rPr>
                <w:color w:val="auto"/>
                <w:kern w:val="0"/>
                <w:sz w:val="24"/>
                <w:szCs w:val="24"/>
                <w:highlight w:val="none"/>
              </w:rPr>
            </w:pPr>
            <w:r>
              <w:rPr>
                <w:color w:val="auto"/>
                <w:kern w:val="0"/>
                <w:sz w:val="24"/>
                <w:szCs w:val="24"/>
                <w:highlight w:val="none"/>
              </w:rPr>
              <w:t>其他符合性分析</w:t>
            </w:r>
          </w:p>
        </w:tc>
        <w:tc>
          <w:tcPr>
            <w:tcW w:w="6767" w:type="dxa"/>
            <w:gridSpan w:val="3"/>
            <w:vAlign w:val="center"/>
          </w:tcPr>
          <w:p>
            <w:pPr>
              <w:pStyle w:val="3"/>
              <w:rPr>
                <w:color w:val="auto"/>
                <w:highlight w:val="none"/>
              </w:rPr>
            </w:pPr>
            <w:r>
              <w:rPr>
                <w:color w:val="auto"/>
                <w:highlight w:val="none"/>
              </w:rPr>
              <w:t>1.</w:t>
            </w:r>
            <w:r>
              <w:rPr>
                <w:rFonts w:hint="eastAsia"/>
                <w:color w:val="auto"/>
                <w:highlight w:val="none"/>
                <w:lang w:val="en-US" w:eastAsia="zh-CN"/>
              </w:rPr>
              <w:t>1</w:t>
            </w:r>
            <w:r>
              <w:rPr>
                <w:color w:val="auto"/>
                <w:highlight w:val="none"/>
              </w:rPr>
              <w:t>产业政策符合性分析</w:t>
            </w:r>
          </w:p>
          <w:p>
            <w:pPr>
              <w:pStyle w:val="113"/>
              <w:spacing w:line="360" w:lineRule="auto"/>
              <w:ind w:firstLine="480" w:firstLineChars="200"/>
              <w:jc w:val="both"/>
              <w:rPr>
                <w:color w:val="auto"/>
                <w:kern w:val="0"/>
                <w:sz w:val="24"/>
                <w:szCs w:val="24"/>
                <w:highlight w:val="none"/>
              </w:rPr>
            </w:pPr>
            <w:r>
              <w:rPr>
                <w:rFonts w:hint="eastAsia"/>
                <w:color w:val="auto"/>
                <w:kern w:val="0"/>
                <w:sz w:val="24"/>
                <w:szCs w:val="24"/>
                <w:highlight w:val="none"/>
              </w:rPr>
              <w:t>项目为废钢加工项目，对照</w:t>
            </w:r>
            <w:r>
              <w:rPr>
                <w:color w:val="auto"/>
                <w:kern w:val="0"/>
                <w:sz w:val="24"/>
                <w:szCs w:val="24"/>
                <w:highlight w:val="none"/>
              </w:rPr>
              <w:t>《产业结构调整指导目录（2024年本）》</w:t>
            </w:r>
            <w:r>
              <w:rPr>
                <w:rFonts w:hint="eastAsia"/>
                <w:color w:val="auto"/>
                <w:kern w:val="0"/>
                <w:sz w:val="24"/>
                <w:szCs w:val="24"/>
                <w:highlight w:val="none"/>
              </w:rPr>
              <w:t>，本项目属于鼓励类“四十二、环境保护与资源节约综合利用”中“8.废弃物循环利用”。项目符合国家产业政策。本项目的建设可以充分利用资源，发展地方经济，不仅具有良好的经济效益，还具有良好的社会效益，符合地方经济发展的要求，本项目已</w:t>
            </w:r>
            <w:r>
              <w:rPr>
                <w:rFonts w:hint="eastAsia"/>
                <w:color w:val="auto"/>
                <w:kern w:val="0"/>
                <w:sz w:val="24"/>
                <w:szCs w:val="24"/>
                <w:highlight w:val="none"/>
                <w:lang w:val="en-US" w:eastAsia="zh-CN"/>
              </w:rPr>
              <w:t>于</w:t>
            </w:r>
            <w:r>
              <w:rPr>
                <w:rFonts w:hint="eastAsia"/>
                <w:color w:val="auto"/>
                <w:kern w:val="0"/>
                <w:sz w:val="24"/>
                <w:szCs w:val="24"/>
                <w:highlight w:val="none"/>
              </w:rPr>
              <w:t>2025年</w:t>
            </w:r>
            <w:r>
              <w:rPr>
                <w:rFonts w:hint="eastAsia"/>
                <w:color w:val="auto"/>
                <w:kern w:val="0"/>
                <w:sz w:val="24"/>
                <w:szCs w:val="24"/>
                <w:highlight w:val="none"/>
                <w:lang w:val="en-US" w:eastAsia="zh-CN"/>
              </w:rPr>
              <w:t>12</w:t>
            </w:r>
            <w:r>
              <w:rPr>
                <w:rFonts w:hint="eastAsia"/>
                <w:color w:val="auto"/>
                <w:kern w:val="0"/>
                <w:sz w:val="24"/>
                <w:szCs w:val="24"/>
                <w:highlight w:val="none"/>
              </w:rPr>
              <w:t>月</w:t>
            </w:r>
            <w:r>
              <w:rPr>
                <w:rFonts w:hint="eastAsia"/>
                <w:color w:val="auto"/>
                <w:kern w:val="0"/>
                <w:sz w:val="24"/>
                <w:szCs w:val="24"/>
                <w:highlight w:val="none"/>
                <w:lang w:val="en-US" w:eastAsia="zh-CN"/>
              </w:rPr>
              <w:t>19</w:t>
            </w:r>
            <w:r>
              <w:rPr>
                <w:rFonts w:hint="eastAsia"/>
                <w:color w:val="auto"/>
                <w:kern w:val="0"/>
                <w:sz w:val="24"/>
                <w:szCs w:val="24"/>
                <w:highlight w:val="none"/>
              </w:rPr>
              <w:t>日</w:t>
            </w:r>
            <w:r>
              <w:rPr>
                <w:rFonts w:hint="eastAsia"/>
                <w:color w:val="auto"/>
                <w:kern w:val="0"/>
                <w:sz w:val="24"/>
                <w:szCs w:val="24"/>
                <w:highlight w:val="none"/>
                <w:lang w:val="en-US" w:eastAsia="zh-CN"/>
              </w:rPr>
              <w:t>在</w:t>
            </w:r>
            <w:r>
              <w:rPr>
                <w:rFonts w:hint="eastAsia"/>
                <w:color w:val="auto"/>
                <w:kern w:val="0"/>
                <w:sz w:val="24"/>
                <w:szCs w:val="24"/>
                <w:highlight w:val="none"/>
              </w:rPr>
              <w:t>福州市长乐区工业和信息化局进行了备案。</w:t>
            </w:r>
          </w:p>
          <w:p>
            <w:pPr>
              <w:pStyle w:val="113"/>
              <w:spacing w:line="360" w:lineRule="auto"/>
              <w:ind w:firstLine="480" w:firstLineChars="200"/>
              <w:jc w:val="both"/>
              <w:rPr>
                <w:color w:val="auto"/>
                <w:kern w:val="0"/>
                <w:sz w:val="24"/>
                <w:szCs w:val="24"/>
                <w:highlight w:val="none"/>
              </w:rPr>
            </w:pPr>
            <w:r>
              <w:rPr>
                <w:rFonts w:hint="eastAsia"/>
                <w:color w:val="auto"/>
                <w:kern w:val="0"/>
                <w:sz w:val="24"/>
                <w:szCs w:val="24"/>
                <w:highlight w:val="none"/>
              </w:rPr>
              <w:t>因此，项目的建设符合国家产业政策</w:t>
            </w:r>
            <w:r>
              <w:rPr>
                <w:color w:val="auto"/>
                <w:kern w:val="0"/>
                <w:sz w:val="24"/>
                <w:szCs w:val="24"/>
                <w:highlight w:val="none"/>
              </w:rPr>
              <w:t>。</w:t>
            </w:r>
          </w:p>
          <w:p>
            <w:pPr>
              <w:pStyle w:val="3"/>
              <w:rPr>
                <w:color w:val="auto"/>
                <w:highlight w:val="none"/>
              </w:rPr>
            </w:pPr>
            <w:r>
              <w:rPr>
                <w:color w:val="auto"/>
                <w:highlight w:val="none"/>
              </w:rPr>
              <w:t>1.</w:t>
            </w:r>
            <w:r>
              <w:rPr>
                <w:rFonts w:hint="eastAsia"/>
                <w:color w:val="auto"/>
                <w:highlight w:val="none"/>
              </w:rPr>
              <w:t>3准入条件符合性</w:t>
            </w:r>
            <w:r>
              <w:rPr>
                <w:color w:val="auto"/>
                <w:highlight w:val="none"/>
              </w:rPr>
              <w:t>分析</w:t>
            </w:r>
          </w:p>
          <w:p>
            <w:pPr>
              <w:pStyle w:val="113"/>
              <w:spacing w:line="360" w:lineRule="auto"/>
              <w:ind w:firstLine="480" w:firstLineChars="200"/>
              <w:jc w:val="both"/>
              <w:rPr>
                <w:color w:val="auto"/>
                <w:kern w:val="0"/>
                <w:sz w:val="24"/>
                <w:szCs w:val="24"/>
                <w:highlight w:val="none"/>
              </w:rPr>
            </w:pPr>
            <w:r>
              <w:rPr>
                <w:rFonts w:hint="eastAsia"/>
                <w:color w:val="auto"/>
                <w:kern w:val="0"/>
                <w:sz w:val="24"/>
                <w:szCs w:val="24"/>
                <w:highlight w:val="none"/>
              </w:rPr>
              <w:t>本项目属于废钢加工行业，项目与《废钢铁加工行业准入条件》（2016年第74号）符合性对比分析见表1-3。</w:t>
            </w:r>
          </w:p>
          <w:p>
            <w:pPr>
              <w:pStyle w:val="561"/>
              <w:spacing w:before="1" w:line="220" w:lineRule="auto"/>
              <w:ind w:firstLine="0" w:firstLineChars="0"/>
              <w:jc w:val="center"/>
              <w:rPr>
                <w:rFonts w:ascii="Times New Roman" w:hAnsi="Times New Roman" w:cs="Times New Roman"/>
                <w:b/>
                <w:bCs/>
                <w:color w:val="auto"/>
                <w:spacing w:val="-4"/>
                <w:highlight w:val="none"/>
                <w:lang w:eastAsia="zh-CN"/>
              </w:rPr>
            </w:pPr>
            <w:r>
              <w:rPr>
                <w:rFonts w:hint="eastAsia" w:ascii="Times New Roman" w:hAnsi="Times New Roman" w:cs="Times New Roman"/>
                <w:b/>
                <w:bCs/>
                <w:color w:val="auto"/>
                <w:spacing w:val="-4"/>
                <w:highlight w:val="none"/>
                <w:lang w:eastAsia="zh-CN"/>
              </w:rPr>
              <w:t>表1-3与《废钢铁加工行业准入条件》符合性对比分析表</w:t>
            </w:r>
          </w:p>
          <w:tbl>
            <w:tblPr>
              <w:tblStyle w:val="50"/>
              <w:tblW w:w="6551" w:type="dxa"/>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48"/>
              <w:gridCol w:w="493"/>
              <w:gridCol w:w="2889"/>
              <w:gridCol w:w="2082"/>
              <w:gridCol w:w="539"/>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8"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auto"/>
                    <w:rPr>
                      <w:rFonts w:hint="default" w:ascii="Times New Roman" w:hAnsi="Times New Roman" w:eastAsia="宋体" w:cs="Times New Roman"/>
                      <w:color w:val="auto"/>
                      <w:sz w:val="21"/>
                      <w:szCs w:val="21"/>
                      <w:highlight w:val="none"/>
                    </w:rPr>
                  </w:pPr>
                </w:p>
              </w:tc>
              <w:tc>
                <w:tcPr>
                  <w:tcW w:w="3382" w:type="dxa"/>
                  <w:gridSpan w:val="2"/>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auto"/>
                    <w:rPr>
                      <w:rFonts w:hint="default" w:ascii="Times New Roman" w:hAnsi="Times New Roman" w:eastAsia="宋体" w:cs="Times New Roman"/>
                      <w:color w:val="auto"/>
                      <w:sz w:val="21"/>
                      <w:szCs w:val="21"/>
                      <w:highlight w:val="none"/>
                    </w:rPr>
                  </w:pPr>
                </w:p>
              </w:tc>
              <w:tc>
                <w:tcPr>
                  <w:tcW w:w="2082"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auto"/>
                    <w:rPr>
                      <w:rFonts w:hint="default" w:ascii="Times New Roman" w:hAnsi="Times New Roman" w:eastAsia="宋体" w:cs="Times New Roman"/>
                      <w:color w:val="auto"/>
                      <w:sz w:val="21"/>
                      <w:szCs w:val="21"/>
                      <w:highlight w:val="none"/>
                    </w:rPr>
                  </w:pPr>
                </w:p>
              </w:tc>
              <w:tc>
                <w:tcPr>
                  <w:tcW w:w="539"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8"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auto"/>
                    <w:rPr>
                      <w:rFonts w:hint="default" w:ascii="Times New Roman" w:hAnsi="Times New Roman" w:eastAsia="宋体" w:cs="Times New Roman"/>
                      <w:color w:val="auto"/>
                      <w:sz w:val="21"/>
                      <w:szCs w:val="21"/>
                      <w:highlight w:val="none"/>
                    </w:rPr>
                  </w:pPr>
                </w:p>
              </w:tc>
              <w:tc>
                <w:tcPr>
                  <w:tcW w:w="493" w:type="dxa"/>
                  <w:vMerge w:val="restart"/>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auto"/>
                    <w:rPr>
                      <w:rFonts w:hint="default" w:ascii="Times New Roman" w:hAnsi="Times New Roman" w:eastAsia="宋体" w:cs="Times New Roman"/>
                      <w:color w:val="auto"/>
                      <w:sz w:val="21"/>
                      <w:szCs w:val="21"/>
                      <w:highlight w:val="none"/>
                    </w:rPr>
                  </w:pPr>
                </w:p>
              </w:tc>
              <w:tc>
                <w:tcPr>
                  <w:tcW w:w="2889"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auto"/>
                    <w:rPr>
                      <w:rFonts w:hint="default" w:ascii="Times New Roman" w:hAnsi="Times New Roman" w:eastAsia="宋体" w:cs="Times New Roman"/>
                      <w:color w:val="auto"/>
                      <w:sz w:val="21"/>
                      <w:szCs w:val="21"/>
                      <w:highlight w:val="none"/>
                    </w:rPr>
                  </w:pPr>
                </w:p>
              </w:tc>
              <w:tc>
                <w:tcPr>
                  <w:tcW w:w="2082"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auto"/>
                    <w:rPr>
                      <w:rFonts w:hint="default" w:ascii="Times New Roman" w:hAnsi="Times New Roman" w:eastAsia="宋体" w:cs="Times New Roman"/>
                      <w:color w:val="auto"/>
                      <w:sz w:val="21"/>
                      <w:szCs w:val="21"/>
                      <w:highlight w:val="none"/>
                    </w:rPr>
                  </w:pPr>
                </w:p>
              </w:tc>
              <w:tc>
                <w:tcPr>
                  <w:tcW w:w="539"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8"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auto"/>
                    <w:rPr>
                      <w:rFonts w:hint="default" w:ascii="Times New Roman" w:hAnsi="Times New Roman" w:eastAsia="宋体" w:cs="Times New Roman"/>
                      <w:color w:val="auto"/>
                      <w:sz w:val="21"/>
                      <w:szCs w:val="21"/>
                      <w:highlight w:val="none"/>
                    </w:rPr>
                  </w:pPr>
                </w:p>
              </w:tc>
              <w:tc>
                <w:tcPr>
                  <w:tcW w:w="493" w:type="dxa"/>
                  <w:vMerge w:val="continue"/>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auto"/>
                    <w:rPr>
                      <w:rFonts w:hint="default" w:ascii="Times New Roman" w:hAnsi="Times New Roman" w:eastAsia="宋体" w:cs="Times New Roman"/>
                      <w:color w:val="auto"/>
                      <w:sz w:val="21"/>
                      <w:szCs w:val="21"/>
                      <w:highlight w:val="none"/>
                    </w:rPr>
                  </w:pPr>
                </w:p>
              </w:tc>
              <w:tc>
                <w:tcPr>
                  <w:tcW w:w="2889"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auto"/>
                    <w:rPr>
                      <w:rFonts w:hint="default" w:ascii="Times New Roman" w:hAnsi="Times New Roman" w:eastAsia="宋体" w:cs="Times New Roman"/>
                      <w:color w:val="auto"/>
                      <w:sz w:val="21"/>
                      <w:szCs w:val="21"/>
                      <w:highlight w:val="none"/>
                    </w:rPr>
                  </w:pPr>
                </w:p>
              </w:tc>
              <w:tc>
                <w:tcPr>
                  <w:tcW w:w="2082"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auto"/>
                    <w:rPr>
                      <w:rFonts w:hint="default" w:ascii="Times New Roman" w:hAnsi="Times New Roman" w:eastAsia="宋体" w:cs="Times New Roman"/>
                      <w:color w:val="auto"/>
                      <w:sz w:val="21"/>
                      <w:szCs w:val="21"/>
                      <w:highlight w:val="none"/>
                    </w:rPr>
                  </w:pPr>
                </w:p>
              </w:tc>
              <w:tc>
                <w:tcPr>
                  <w:tcW w:w="539"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8"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auto"/>
                    <w:rPr>
                      <w:rFonts w:hint="default" w:ascii="Times New Roman" w:hAnsi="Times New Roman" w:eastAsia="宋体" w:cs="Times New Roman"/>
                      <w:color w:val="auto"/>
                      <w:sz w:val="21"/>
                      <w:szCs w:val="21"/>
                      <w:highlight w:val="none"/>
                    </w:rPr>
                  </w:pPr>
                </w:p>
              </w:tc>
              <w:tc>
                <w:tcPr>
                  <w:tcW w:w="493" w:type="dxa"/>
                  <w:vMerge w:val="continue"/>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auto"/>
                    <w:rPr>
                      <w:rFonts w:hint="default" w:ascii="Times New Roman" w:hAnsi="Times New Roman" w:eastAsia="宋体" w:cs="Times New Roman"/>
                      <w:color w:val="auto"/>
                      <w:sz w:val="21"/>
                      <w:szCs w:val="21"/>
                      <w:highlight w:val="none"/>
                    </w:rPr>
                  </w:pPr>
                </w:p>
              </w:tc>
              <w:tc>
                <w:tcPr>
                  <w:tcW w:w="2889"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auto"/>
                    <w:rPr>
                      <w:rFonts w:hint="default" w:ascii="Times New Roman" w:hAnsi="Times New Roman" w:eastAsia="宋体" w:cs="Times New Roman"/>
                      <w:color w:val="auto"/>
                      <w:sz w:val="21"/>
                      <w:szCs w:val="21"/>
                      <w:highlight w:val="none"/>
                    </w:rPr>
                  </w:pPr>
                </w:p>
              </w:tc>
              <w:tc>
                <w:tcPr>
                  <w:tcW w:w="2082"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auto"/>
                    <w:rPr>
                      <w:rFonts w:hint="default" w:ascii="Times New Roman" w:hAnsi="Times New Roman" w:eastAsia="宋体" w:cs="Times New Roman"/>
                      <w:color w:val="auto"/>
                      <w:sz w:val="21"/>
                      <w:szCs w:val="21"/>
                      <w:highlight w:val="none"/>
                    </w:rPr>
                  </w:pPr>
                </w:p>
              </w:tc>
              <w:tc>
                <w:tcPr>
                  <w:tcW w:w="539"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8"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auto"/>
                    <w:rPr>
                      <w:rFonts w:hint="default" w:ascii="Times New Roman" w:hAnsi="Times New Roman" w:eastAsia="宋体" w:cs="Times New Roman"/>
                      <w:color w:val="auto"/>
                      <w:sz w:val="21"/>
                      <w:szCs w:val="21"/>
                      <w:highlight w:val="none"/>
                    </w:rPr>
                  </w:pPr>
                </w:p>
              </w:tc>
              <w:tc>
                <w:tcPr>
                  <w:tcW w:w="493" w:type="dxa"/>
                  <w:vMerge w:val="restart"/>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auto"/>
                    <w:rPr>
                      <w:rFonts w:hint="default" w:ascii="Times New Roman" w:hAnsi="Times New Roman" w:eastAsia="宋体" w:cs="Times New Roman"/>
                      <w:color w:val="auto"/>
                      <w:sz w:val="21"/>
                      <w:szCs w:val="21"/>
                      <w:highlight w:val="none"/>
                    </w:rPr>
                  </w:pPr>
                </w:p>
              </w:tc>
              <w:tc>
                <w:tcPr>
                  <w:tcW w:w="2889"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auto"/>
                    <w:rPr>
                      <w:rFonts w:hint="default" w:ascii="Times New Roman" w:hAnsi="Times New Roman" w:eastAsia="宋体" w:cs="Times New Roman"/>
                      <w:color w:val="auto"/>
                      <w:sz w:val="21"/>
                      <w:szCs w:val="21"/>
                      <w:highlight w:val="none"/>
                    </w:rPr>
                  </w:pPr>
                </w:p>
              </w:tc>
              <w:tc>
                <w:tcPr>
                  <w:tcW w:w="2082"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auto"/>
                    <w:rPr>
                      <w:rFonts w:hint="default" w:ascii="Times New Roman" w:hAnsi="Times New Roman" w:eastAsia="宋体" w:cs="Times New Roman"/>
                      <w:color w:val="auto"/>
                      <w:sz w:val="21"/>
                      <w:szCs w:val="21"/>
                      <w:highlight w:val="none"/>
                    </w:rPr>
                  </w:pPr>
                </w:p>
              </w:tc>
              <w:tc>
                <w:tcPr>
                  <w:tcW w:w="539"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8"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auto"/>
                    <w:rPr>
                      <w:rFonts w:hint="default" w:ascii="Times New Roman" w:hAnsi="Times New Roman" w:eastAsia="宋体" w:cs="Times New Roman"/>
                      <w:color w:val="auto"/>
                      <w:sz w:val="21"/>
                      <w:szCs w:val="21"/>
                      <w:highlight w:val="none"/>
                    </w:rPr>
                  </w:pPr>
                </w:p>
              </w:tc>
              <w:tc>
                <w:tcPr>
                  <w:tcW w:w="493" w:type="dxa"/>
                  <w:vMerge w:val="continue"/>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auto"/>
                    <w:rPr>
                      <w:rFonts w:hint="default" w:ascii="Times New Roman" w:hAnsi="Times New Roman" w:eastAsia="宋体" w:cs="Times New Roman"/>
                      <w:color w:val="auto"/>
                      <w:sz w:val="21"/>
                      <w:szCs w:val="21"/>
                      <w:highlight w:val="none"/>
                    </w:rPr>
                  </w:pPr>
                </w:p>
              </w:tc>
              <w:tc>
                <w:tcPr>
                  <w:tcW w:w="2889"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auto"/>
                    <w:rPr>
                      <w:rFonts w:hint="default" w:ascii="Times New Roman" w:hAnsi="Times New Roman" w:eastAsia="宋体" w:cs="Times New Roman"/>
                      <w:color w:val="auto"/>
                      <w:sz w:val="21"/>
                      <w:szCs w:val="21"/>
                      <w:highlight w:val="none"/>
                    </w:rPr>
                  </w:pPr>
                </w:p>
              </w:tc>
              <w:tc>
                <w:tcPr>
                  <w:tcW w:w="2082"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auto"/>
                    <w:rPr>
                      <w:rFonts w:hint="default" w:ascii="Times New Roman" w:hAnsi="Times New Roman" w:eastAsia="宋体" w:cs="Times New Roman"/>
                      <w:color w:val="auto"/>
                      <w:sz w:val="21"/>
                      <w:szCs w:val="21"/>
                      <w:highlight w:val="none"/>
                    </w:rPr>
                  </w:pPr>
                </w:p>
              </w:tc>
              <w:tc>
                <w:tcPr>
                  <w:tcW w:w="539"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8"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auto"/>
                    <w:rPr>
                      <w:rFonts w:hint="default" w:ascii="Times New Roman" w:hAnsi="Times New Roman" w:eastAsia="宋体" w:cs="Times New Roman"/>
                      <w:color w:val="auto"/>
                      <w:sz w:val="21"/>
                      <w:szCs w:val="21"/>
                      <w:highlight w:val="none"/>
                    </w:rPr>
                  </w:pPr>
                </w:p>
              </w:tc>
              <w:tc>
                <w:tcPr>
                  <w:tcW w:w="493" w:type="dxa"/>
                  <w:vMerge w:val="continue"/>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auto"/>
                    <w:rPr>
                      <w:rFonts w:hint="default" w:ascii="Times New Roman" w:hAnsi="Times New Roman" w:eastAsia="宋体" w:cs="Times New Roman"/>
                      <w:color w:val="auto"/>
                      <w:sz w:val="21"/>
                      <w:szCs w:val="21"/>
                      <w:highlight w:val="none"/>
                    </w:rPr>
                  </w:pPr>
                </w:p>
              </w:tc>
              <w:tc>
                <w:tcPr>
                  <w:tcW w:w="2889"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auto"/>
                    <w:rPr>
                      <w:rFonts w:hint="default" w:ascii="Times New Roman" w:hAnsi="Times New Roman" w:eastAsia="宋体" w:cs="Times New Roman"/>
                      <w:color w:val="auto"/>
                      <w:sz w:val="21"/>
                      <w:szCs w:val="21"/>
                      <w:highlight w:val="none"/>
                    </w:rPr>
                  </w:pPr>
                </w:p>
              </w:tc>
              <w:tc>
                <w:tcPr>
                  <w:tcW w:w="2082"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auto"/>
                    <w:rPr>
                      <w:rFonts w:hint="default" w:ascii="Times New Roman" w:hAnsi="Times New Roman" w:eastAsia="宋体" w:cs="Times New Roman"/>
                      <w:color w:val="auto"/>
                      <w:sz w:val="21"/>
                      <w:szCs w:val="21"/>
                      <w:highlight w:val="none"/>
                    </w:rPr>
                  </w:pPr>
                </w:p>
              </w:tc>
              <w:tc>
                <w:tcPr>
                  <w:tcW w:w="539"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8"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auto"/>
                    <w:rPr>
                      <w:rFonts w:hint="default" w:ascii="Times New Roman" w:hAnsi="Times New Roman" w:eastAsia="宋体" w:cs="Times New Roman"/>
                      <w:color w:val="auto"/>
                      <w:sz w:val="21"/>
                      <w:szCs w:val="21"/>
                      <w:highlight w:val="none"/>
                    </w:rPr>
                  </w:pPr>
                </w:p>
              </w:tc>
              <w:tc>
                <w:tcPr>
                  <w:tcW w:w="493" w:type="dxa"/>
                  <w:vMerge w:val="continue"/>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auto"/>
                    <w:rPr>
                      <w:rFonts w:hint="default" w:ascii="Times New Roman" w:hAnsi="Times New Roman" w:eastAsia="宋体" w:cs="Times New Roman"/>
                      <w:color w:val="auto"/>
                      <w:sz w:val="21"/>
                      <w:szCs w:val="21"/>
                      <w:highlight w:val="none"/>
                    </w:rPr>
                  </w:pPr>
                </w:p>
              </w:tc>
              <w:tc>
                <w:tcPr>
                  <w:tcW w:w="2889"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auto"/>
                    <w:rPr>
                      <w:rFonts w:hint="default" w:ascii="Times New Roman" w:hAnsi="Times New Roman" w:eastAsia="宋体" w:cs="Times New Roman"/>
                      <w:color w:val="auto"/>
                      <w:sz w:val="21"/>
                      <w:szCs w:val="21"/>
                      <w:highlight w:val="none"/>
                    </w:rPr>
                  </w:pPr>
                </w:p>
              </w:tc>
              <w:tc>
                <w:tcPr>
                  <w:tcW w:w="2082"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auto"/>
                    <w:rPr>
                      <w:rFonts w:hint="default" w:ascii="Times New Roman" w:hAnsi="Times New Roman" w:eastAsia="宋体" w:cs="Times New Roman"/>
                      <w:color w:val="auto"/>
                      <w:sz w:val="21"/>
                      <w:szCs w:val="21"/>
                      <w:highlight w:val="none"/>
                    </w:rPr>
                  </w:pPr>
                </w:p>
              </w:tc>
              <w:tc>
                <w:tcPr>
                  <w:tcW w:w="539"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8"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auto"/>
                    <w:rPr>
                      <w:rFonts w:hint="default" w:ascii="Times New Roman" w:hAnsi="Times New Roman" w:eastAsia="宋体" w:cs="Times New Roman"/>
                      <w:color w:val="auto"/>
                      <w:sz w:val="21"/>
                      <w:szCs w:val="21"/>
                      <w:highlight w:val="none"/>
                    </w:rPr>
                  </w:pPr>
                </w:p>
              </w:tc>
              <w:tc>
                <w:tcPr>
                  <w:tcW w:w="493" w:type="dxa"/>
                  <w:vMerge w:val="continue"/>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auto"/>
                    <w:rPr>
                      <w:rFonts w:hint="default" w:ascii="Times New Roman" w:hAnsi="Times New Roman" w:eastAsia="宋体" w:cs="Times New Roman"/>
                      <w:color w:val="auto"/>
                      <w:sz w:val="21"/>
                      <w:szCs w:val="21"/>
                      <w:highlight w:val="none"/>
                    </w:rPr>
                  </w:pPr>
                </w:p>
              </w:tc>
              <w:tc>
                <w:tcPr>
                  <w:tcW w:w="2889"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auto"/>
                    <w:rPr>
                      <w:rFonts w:hint="default" w:ascii="Times New Roman" w:hAnsi="Times New Roman" w:eastAsia="宋体" w:cs="Times New Roman"/>
                      <w:color w:val="auto"/>
                      <w:sz w:val="21"/>
                      <w:szCs w:val="21"/>
                      <w:highlight w:val="none"/>
                    </w:rPr>
                  </w:pPr>
                </w:p>
              </w:tc>
              <w:tc>
                <w:tcPr>
                  <w:tcW w:w="2082"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auto"/>
                    <w:rPr>
                      <w:rFonts w:hint="default" w:ascii="Times New Roman" w:hAnsi="Times New Roman" w:eastAsia="宋体" w:cs="Times New Roman"/>
                      <w:color w:val="auto"/>
                      <w:sz w:val="21"/>
                      <w:szCs w:val="21"/>
                      <w:highlight w:val="none"/>
                    </w:rPr>
                  </w:pPr>
                </w:p>
              </w:tc>
              <w:tc>
                <w:tcPr>
                  <w:tcW w:w="539"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8"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auto"/>
                    <w:rPr>
                      <w:rFonts w:hint="default" w:ascii="Times New Roman" w:hAnsi="Times New Roman" w:eastAsia="宋体" w:cs="Times New Roman"/>
                      <w:color w:val="auto"/>
                      <w:sz w:val="21"/>
                      <w:szCs w:val="21"/>
                      <w:highlight w:val="none"/>
                    </w:rPr>
                  </w:pPr>
                </w:p>
              </w:tc>
              <w:tc>
                <w:tcPr>
                  <w:tcW w:w="493" w:type="dxa"/>
                  <w:vMerge w:val="restart"/>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auto"/>
                    <w:rPr>
                      <w:rFonts w:hint="default" w:ascii="Times New Roman" w:hAnsi="Times New Roman" w:eastAsia="宋体" w:cs="Times New Roman"/>
                      <w:color w:val="auto"/>
                      <w:sz w:val="21"/>
                      <w:szCs w:val="21"/>
                      <w:highlight w:val="none"/>
                    </w:rPr>
                  </w:pPr>
                </w:p>
              </w:tc>
              <w:tc>
                <w:tcPr>
                  <w:tcW w:w="2889"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auto"/>
                    <w:rPr>
                      <w:rFonts w:hint="default" w:ascii="Times New Roman" w:hAnsi="Times New Roman" w:eastAsia="宋体" w:cs="Times New Roman"/>
                      <w:color w:val="auto"/>
                      <w:sz w:val="21"/>
                      <w:szCs w:val="21"/>
                      <w:highlight w:val="none"/>
                    </w:rPr>
                  </w:pPr>
                </w:p>
              </w:tc>
              <w:tc>
                <w:tcPr>
                  <w:tcW w:w="2082"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auto"/>
                    <w:rPr>
                      <w:rFonts w:hint="default" w:ascii="Times New Roman" w:hAnsi="Times New Roman" w:eastAsia="宋体" w:cs="Times New Roman"/>
                      <w:color w:val="auto"/>
                      <w:sz w:val="21"/>
                      <w:szCs w:val="21"/>
                      <w:highlight w:val="none"/>
                    </w:rPr>
                  </w:pPr>
                </w:p>
              </w:tc>
              <w:tc>
                <w:tcPr>
                  <w:tcW w:w="539"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8"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auto"/>
                    <w:rPr>
                      <w:rFonts w:hint="default" w:ascii="Times New Roman" w:hAnsi="Times New Roman" w:eastAsia="宋体" w:cs="Times New Roman"/>
                      <w:color w:val="auto"/>
                      <w:sz w:val="21"/>
                      <w:szCs w:val="21"/>
                      <w:highlight w:val="none"/>
                    </w:rPr>
                  </w:pPr>
                </w:p>
              </w:tc>
              <w:tc>
                <w:tcPr>
                  <w:tcW w:w="493" w:type="dxa"/>
                  <w:vMerge w:val="continue"/>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auto"/>
                    <w:rPr>
                      <w:rFonts w:hint="default" w:ascii="Times New Roman" w:hAnsi="Times New Roman" w:eastAsia="宋体" w:cs="Times New Roman"/>
                      <w:color w:val="auto"/>
                      <w:sz w:val="21"/>
                      <w:szCs w:val="21"/>
                      <w:highlight w:val="none"/>
                    </w:rPr>
                  </w:pPr>
                </w:p>
              </w:tc>
              <w:tc>
                <w:tcPr>
                  <w:tcW w:w="2889"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auto"/>
                    <w:rPr>
                      <w:rFonts w:hint="default" w:ascii="Times New Roman" w:hAnsi="Times New Roman" w:eastAsia="宋体" w:cs="Times New Roman"/>
                      <w:color w:val="auto"/>
                      <w:sz w:val="21"/>
                      <w:szCs w:val="21"/>
                      <w:highlight w:val="none"/>
                    </w:rPr>
                  </w:pPr>
                </w:p>
              </w:tc>
              <w:tc>
                <w:tcPr>
                  <w:tcW w:w="2082"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auto"/>
                    <w:rPr>
                      <w:rFonts w:hint="default" w:ascii="Times New Roman" w:hAnsi="Times New Roman" w:eastAsia="宋体" w:cs="Times New Roman"/>
                      <w:color w:val="auto"/>
                      <w:sz w:val="21"/>
                      <w:szCs w:val="21"/>
                      <w:highlight w:val="none"/>
                    </w:rPr>
                  </w:pPr>
                </w:p>
              </w:tc>
              <w:tc>
                <w:tcPr>
                  <w:tcW w:w="539"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8"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auto"/>
                    <w:rPr>
                      <w:rFonts w:hint="default" w:ascii="Times New Roman" w:hAnsi="Times New Roman" w:eastAsia="宋体" w:cs="Times New Roman"/>
                      <w:color w:val="auto"/>
                      <w:sz w:val="21"/>
                      <w:szCs w:val="21"/>
                      <w:highlight w:val="none"/>
                    </w:rPr>
                  </w:pPr>
                </w:p>
              </w:tc>
              <w:tc>
                <w:tcPr>
                  <w:tcW w:w="493" w:type="dxa"/>
                  <w:vMerge w:val="restart"/>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auto"/>
                    <w:rPr>
                      <w:rFonts w:hint="default" w:ascii="Times New Roman" w:hAnsi="Times New Roman" w:eastAsia="宋体" w:cs="Times New Roman"/>
                      <w:color w:val="auto"/>
                      <w:sz w:val="21"/>
                      <w:szCs w:val="21"/>
                      <w:highlight w:val="none"/>
                    </w:rPr>
                  </w:pPr>
                </w:p>
              </w:tc>
              <w:tc>
                <w:tcPr>
                  <w:tcW w:w="2889"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auto"/>
                    <w:rPr>
                      <w:rFonts w:hint="default" w:ascii="Times New Roman" w:hAnsi="Times New Roman" w:eastAsia="宋体" w:cs="Times New Roman"/>
                      <w:color w:val="auto"/>
                      <w:sz w:val="21"/>
                      <w:szCs w:val="21"/>
                      <w:highlight w:val="none"/>
                    </w:rPr>
                  </w:pPr>
                </w:p>
              </w:tc>
              <w:tc>
                <w:tcPr>
                  <w:tcW w:w="2082"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auto"/>
                    <w:rPr>
                      <w:rFonts w:hint="default" w:ascii="Times New Roman" w:hAnsi="Times New Roman" w:eastAsia="宋体" w:cs="Times New Roman"/>
                      <w:color w:val="auto"/>
                      <w:sz w:val="21"/>
                      <w:szCs w:val="21"/>
                      <w:highlight w:val="none"/>
                    </w:rPr>
                  </w:pPr>
                </w:p>
              </w:tc>
              <w:tc>
                <w:tcPr>
                  <w:tcW w:w="539"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8"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auto"/>
                    <w:rPr>
                      <w:rFonts w:hint="default" w:ascii="Times New Roman" w:hAnsi="Times New Roman" w:eastAsia="宋体" w:cs="Times New Roman"/>
                      <w:color w:val="auto"/>
                      <w:sz w:val="21"/>
                      <w:szCs w:val="21"/>
                      <w:highlight w:val="none"/>
                    </w:rPr>
                  </w:pPr>
                </w:p>
              </w:tc>
              <w:tc>
                <w:tcPr>
                  <w:tcW w:w="493" w:type="dxa"/>
                  <w:vMerge w:val="continue"/>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auto"/>
                    <w:rPr>
                      <w:rFonts w:hint="default" w:ascii="Times New Roman" w:hAnsi="Times New Roman" w:eastAsia="宋体" w:cs="Times New Roman"/>
                      <w:color w:val="auto"/>
                      <w:sz w:val="21"/>
                      <w:szCs w:val="21"/>
                      <w:highlight w:val="none"/>
                    </w:rPr>
                  </w:pPr>
                </w:p>
              </w:tc>
              <w:tc>
                <w:tcPr>
                  <w:tcW w:w="2889"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auto"/>
                    <w:rPr>
                      <w:rFonts w:hint="default" w:ascii="Times New Roman" w:hAnsi="Times New Roman" w:eastAsia="宋体" w:cs="Times New Roman"/>
                      <w:color w:val="auto"/>
                      <w:sz w:val="21"/>
                      <w:szCs w:val="21"/>
                      <w:highlight w:val="none"/>
                    </w:rPr>
                  </w:pPr>
                </w:p>
              </w:tc>
              <w:tc>
                <w:tcPr>
                  <w:tcW w:w="2082"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auto"/>
                    <w:rPr>
                      <w:rFonts w:hint="default" w:ascii="Times New Roman" w:hAnsi="Times New Roman" w:eastAsia="宋体" w:cs="Times New Roman"/>
                      <w:color w:val="auto"/>
                      <w:sz w:val="21"/>
                      <w:szCs w:val="21"/>
                      <w:highlight w:val="none"/>
                    </w:rPr>
                  </w:pPr>
                </w:p>
              </w:tc>
              <w:tc>
                <w:tcPr>
                  <w:tcW w:w="539"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8"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auto"/>
                    <w:rPr>
                      <w:rFonts w:hint="default" w:ascii="Times New Roman" w:hAnsi="Times New Roman" w:eastAsia="宋体" w:cs="Times New Roman"/>
                      <w:color w:val="auto"/>
                      <w:sz w:val="21"/>
                      <w:szCs w:val="21"/>
                      <w:highlight w:val="none"/>
                    </w:rPr>
                  </w:pPr>
                </w:p>
              </w:tc>
              <w:tc>
                <w:tcPr>
                  <w:tcW w:w="493" w:type="dxa"/>
                  <w:vMerge w:val="restart"/>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auto"/>
                    <w:rPr>
                      <w:rFonts w:hint="default" w:ascii="Times New Roman" w:hAnsi="Times New Roman" w:eastAsia="宋体" w:cs="Times New Roman"/>
                      <w:color w:val="auto"/>
                      <w:sz w:val="21"/>
                      <w:szCs w:val="21"/>
                      <w:highlight w:val="none"/>
                    </w:rPr>
                  </w:pPr>
                </w:p>
              </w:tc>
              <w:tc>
                <w:tcPr>
                  <w:tcW w:w="2889"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auto"/>
                    <w:rPr>
                      <w:rFonts w:hint="default" w:ascii="Times New Roman" w:hAnsi="Times New Roman" w:eastAsia="宋体" w:cs="Times New Roman"/>
                      <w:color w:val="auto"/>
                      <w:sz w:val="21"/>
                      <w:szCs w:val="21"/>
                      <w:highlight w:val="none"/>
                    </w:rPr>
                  </w:pPr>
                </w:p>
              </w:tc>
              <w:tc>
                <w:tcPr>
                  <w:tcW w:w="2082"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auto"/>
                    <w:rPr>
                      <w:rFonts w:hint="default" w:ascii="Times New Roman" w:hAnsi="Times New Roman" w:eastAsia="宋体" w:cs="Times New Roman"/>
                      <w:color w:val="auto"/>
                      <w:sz w:val="21"/>
                      <w:szCs w:val="21"/>
                      <w:highlight w:val="none"/>
                    </w:rPr>
                  </w:pPr>
                </w:p>
              </w:tc>
              <w:tc>
                <w:tcPr>
                  <w:tcW w:w="539"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8"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auto"/>
                    <w:rPr>
                      <w:rFonts w:hint="default" w:ascii="Times New Roman" w:hAnsi="Times New Roman" w:eastAsia="宋体" w:cs="Times New Roman"/>
                      <w:color w:val="auto"/>
                      <w:sz w:val="21"/>
                      <w:szCs w:val="21"/>
                      <w:highlight w:val="none"/>
                    </w:rPr>
                  </w:pPr>
                </w:p>
              </w:tc>
              <w:tc>
                <w:tcPr>
                  <w:tcW w:w="493" w:type="dxa"/>
                  <w:vMerge w:val="continue"/>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auto"/>
                    <w:rPr>
                      <w:rFonts w:hint="default" w:ascii="Times New Roman" w:hAnsi="Times New Roman" w:eastAsia="宋体" w:cs="Times New Roman"/>
                      <w:color w:val="auto"/>
                      <w:sz w:val="21"/>
                      <w:szCs w:val="21"/>
                      <w:highlight w:val="none"/>
                    </w:rPr>
                  </w:pPr>
                </w:p>
              </w:tc>
              <w:tc>
                <w:tcPr>
                  <w:tcW w:w="2889"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auto"/>
                    <w:rPr>
                      <w:rFonts w:hint="default" w:ascii="Times New Roman" w:hAnsi="Times New Roman" w:eastAsia="宋体" w:cs="Times New Roman"/>
                      <w:color w:val="auto"/>
                      <w:sz w:val="21"/>
                      <w:szCs w:val="21"/>
                      <w:highlight w:val="none"/>
                    </w:rPr>
                  </w:pPr>
                </w:p>
              </w:tc>
              <w:tc>
                <w:tcPr>
                  <w:tcW w:w="2082"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auto"/>
                    <w:rPr>
                      <w:rFonts w:hint="default" w:ascii="Times New Roman" w:hAnsi="Times New Roman" w:eastAsia="宋体" w:cs="Times New Roman"/>
                      <w:color w:val="auto"/>
                      <w:sz w:val="21"/>
                      <w:szCs w:val="21"/>
                      <w:highlight w:val="none"/>
                    </w:rPr>
                  </w:pPr>
                </w:p>
              </w:tc>
              <w:tc>
                <w:tcPr>
                  <w:tcW w:w="539" w:type="dxa"/>
                  <w:tcBorders>
                    <w:tl2br w:val="nil"/>
                    <w:tr2bl w:val="nil"/>
                  </w:tcBorders>
                  <w:vAlign w:val="center"/>
                </w:tcPr>
                <w:p>
                  <w:pPr>
                    <w:pStyle w:val="46"/>
                    <w:keepNext w:val="0"/>
                    <w:keepLines w:val="0"/>
                    <w:pageBreakBefore w:val="0"/>
                    <w:widowControl w:val="0"/>
                    <w:kinsoku/>
                    <w:wordWrap/>
                    <w:overflowPunct/>
                    <w:topLinePunct w:val="0"/>
                    <w:autoSpaceDE/>
                    <w:autoSpaceDN/>
                    <w:bidi w:val="0"/>
                    <w:adjustRightInd/>
                    <w:snapToGrid/>
                    <w:spacing w:before="0" w:beforeAutospacing="0" w:after="0" w:afterAutospacing="0"/>
                    <w:ind w:firstLine="0" w:firstLineChars="0"/>
                    <w:jc w:val="center"/>
                    <w:textAlignment w:val="auto"/>
                    <w:rPr>
                      <w:rFonts w:hint="default" w:ascii="Times New Roman" w:hAnsi="Times New Roman" w:eastAsia="宋体" w:cs="Times New Roman"/>
                      <w:color w:val="auto"/>
                      <w:sz w:val="21"/>
                      <w:szCs w:val="21"/>
                      <w:highlight w:val="none"/>
                    </w:rPr>
                  </w:pPr>
                </w:p>
              </w:tc>
            </w:tr>
          </w:tbl>
          <w:p>
            <w:pPr>
              <w:pStyle w:val="113"/>
              <w:spacing w:line="360" w:lineRule="auto"/>
              <w:ind w:firstLine="480" w:firstLineChars="200"/>
              <w:jc w:val="both"/>
              <w:rPr>
                <w:color w:val="auto"/>
                <w:kern w:val="0"/>
                <w:sz w:val="24"/>
                <w:szCs w:val="24"/>
                <w:highlight w:val="none"/>
              </w:rPr>
            </w:pPr>
            <w:r>
              <w:rPr>
                <w:rFonts w:hint="eastAsia"/>
                <w:color w:val="auto"/>
                <w:kern w:val="0"/>
                <w:sz w:val="24"/>
                <w:szCs w:val="24"/>
                <w:highlight w:val="none"/>
              </w:rPr>
              <w:t>根据对比分析结果，项目符合《废钢铁加工行业准入条件》。</w:t>
            </w:r>
          </w:p>
          <w:p>
            <w:pPr>
              <w:pStyle w:val="3"/>
              <w:rPr>
                <w:color w:val="auto"/>
                <w:highlight w:val="none"/>
              </w:rPr>
            </w:pPr>
            <w:r>
              <w:rPr>
                <w:color w:val="auto"/>
                <w:highlight w:val="none"/>
              </w:rPr>
              <w:t>1.</w:t>
            </w:r>
            <w:r>
              <w:rPr>
                <w:rFonts w:hint="eastAsia"/>
                <w:color w:val="auto"/>
                <w:highlight w:val="none"/>
              </w:rPr>
              <w:t>4</w:t>
            </w:r>
            <w:r>
              <w:rPr>
                <w:color w:val="auto"/>
                <w:highlight w:val="none"/>
              </w:rPr>
              <w:t>选址合理性分析</w:t>
            </w:r>
          </w:p>
          <w:p>
            <w:pPr>
              <w:ind w:firstLine="480"/>
              <w:rPr>
                <w:color w:val="auto"/>
                <w:kern w:val="0"/>
                <w:szCs w:val="24"/>
                <w:highlight w:val="none"/>
              </w:rPr>
            </w:pPr>
            <w:r>
              <w:rPr>
                <w:rFonts w:hint="eastAsia"/>
                <w:color w:val="auto"/>
                <w:kern w:val="0"/>
                <w:szCs w:val="24"/>
                <w:highlight w:val="none"/>
              </w:rPr>
              <w:t>本项目选址于福建吴航不锈钢制品有限公司现有厂区内，在原有生产线基础上，拟新增租赁该公司一座已通过环保验收的闲置拉丝车间（建筑面积11593m²）用于扩建锈蚀废钢深加工与粉料湿法分选生产线。项目</w:t>
            </w:r>
            <w:r>
              <w:rPr>
                <w:rFonts w:hint="eastAsia"/>
                <w:color w:val="auto"/>
                <w:kern w:val="0"/>
                <w:szCs w:val="24"/>
                <w:highlight w:val="none"/>
                <w:lang w:val="en-US" w:eastAsia="zh-CN"/>
              </w:rPr>
              <w:t>租赁已有</w:t>
            </w:r>
            <w:r>
              <w:rPr>
                <w:rFonts w:hint="eastAsia"/>
                <w:color w:val="auto"/>
                <w:kern w:val="0"/>
                <w:szCs w:val="24"/>
                <w:highlight w:val="none"/>
              </w:rPr>
              <w:t>工业用地，未改变土地用途，选址符合</w:t>
            </w:r>
            <w:r>
              <w:rPr>
                <w:rFonts w:hint="eastAsia"/>
                <w:color w:val="auto"/>
                <w:highlight w:val="none"/>
              </w:rPr>
              <w:t>《长乐区国土空间规划（2021-2035年）（分区层面）》</w:t>
            </w:r>
            <w:r>
              <w:rPr>
                <w:rFonts w:hint="eastAsia"/>
                <w:color w:val="auto"/>
                <w:kern w:val="0"/>
                <w:szCs w:val="24"/>
                <w:highlight w:val="none"/>
              </w:rPr>
              <w:t>要求。项目500m范围内主要环境敏感目标为73125部队营地，通过落实废水、废气、噪声和固体废物的污染防治措施，可实现污染物达标排放和妥善处置，对周边环境影响较小，选址合理可行。</w:t>
            </w:r>
          </w:p>
          <w:p>
            <w:pPr>
              <w:pStyle w:val="3"/>
              <w:rPr>
                <w:color w:val="auto"/>
                <w:highlight w:val="none"/>
              </w:rPr>
            </w:pPr>
            <w:r>
              <w:rPr>
                <w:color w:val="auto"/>
                <w:highlight w:val="none"/>
              </w:rPr>
              <w:t>1.</w:t>
            </w:r>
            <w:r>
              <w:rPr>
                <w:rFonts w:hint="eastAsia"/>
                <w:color w:val="auto"/>
                <w:highlight w:val="none"/>
              </w:rPr>
              <w:t>5与福州市生态环境分区管控的符合性分析</w:t>
            </w:r>
          </w:p>
          <w:p>
            <w:pPr>
              <w:pStyle w:val="17"/>
              <w:rPr>
                <w:color w:val="auto"/>
                <w:kern w:val="0"/>
                <w:sz w:val="24"/>
                <w:szCs w:val="24"/>
                <w:highlight w:val="none"/>
              </w:rPr>
            </w:pPr>
            <w:r>
              <w:rPr>
                <w:rFonts w:hint="eastAsia"/>
                <w:color w:val="auto"/>
                <w:kern w:val="0"/>
                <w:sz w:val="24"/>
                <w:szCs w:val="24"/>
                <w:highlight w:val="none"/>
              </w:rPr>
              <w:t>本项目位于福州市长乐区营前</w:t>
            </w:r>
            <w:r>
              <w:rPr>
                <w:rFonts w:hint="eastAsia"/>
                <w:color w:val="auto"/>
                <w:kern w:val="0"/>
                <w:sz w:val="24"/>
                <w:szCs w:val="24"/>
                <w:highlight w:val="none"/>
                <w:lang w:val="en-US" w:eastAsia="zh-CN"/>
              </w:rPr>
              <w:t>街道</w:t>
            </w:r>
            <w:r>
              <w:rPr>
                <w:rFonts w:hint="eastAsia"/>
                <w:color w:val="auto"/>
                <w:kern w:val="0"/>
                <w:sz w:val="24"/>
                <w:szCs w:val="24"/>
                <w:highlight w:val="none"/>
              </w:rPr>
              <w:t>福建吴航不锈钢制品有限公司现有厂区内</w:t>
            </w:r>
            <w:r>
              <w:rPr>
                <w:rFonts w:hint="eastAsia"/>
                <w:color w:val="auto"/>
                <w:kern w:val="0"/>
                <w:sz w:val="24"/>
                <w:szCs w:val="24"/>
                <w:highlight w:val="none"/>
                <w:lang w:eastAsia="zh-CN"/>
              </w:rPr>
              <w:t>，</w:t>
            </w:r>
            <w:r>
              <w:rPr>
                <w:rFonts w:hint="eastAsia"/>
                <w:color w:val="auto"/>
                <w:kern w:val="0"/>
                <w:sz w:val="24"/>
                <w:szCs w:val="24"/>
                <w:highlight w:val="none"/>
              </w:rPr>
              <w:t>为已批项目福建吴航不锈钢制品有限公司南生产区拉丝区域东侧现有闲置车间（原拉丝车间二），根据《福州市人民政府办公厅关于印发&lt;福州市生态环境分区管控方案（2023年更新）&gt;的通知》（榕政办规</w:t>
            </w:r>
            <w:r>
              <w:rPr>
                <w:rFonts w:hint="eastAsia"/>
                <w:color w:val="auto"/>
                <w:kern w:val="0"/>
                <w:sz w:val="24"/>
                <w:szCs w:val="24"/>
                <w:highlight w:val="none"/>
                <w:lang w:val="en-US" w:eastAsia="zh-CN"/>
              </w:rPr>
              <w:t>[</w:t>
            </w:r>
            <w:r>
              <w:rPr>
                <w:rFonts w:hint="eastAsia"/>
                <w:color w:val="auto"/>
                <w:kern w:val="0"/>
                <w:sz w:val="24"/>
                <w:szCs w:val="24"/>
                <w:highlight w:val="none"/>
              </w:rPr>
              <w:t>2024</w:t>
            </w:r>
            <w:r>
              <w:rPr>
                <w:rFonts w:hint="eastAsia"/>
                <w:color w:val="auto"/>
                <w:kern w:val="0"/>
                <w:sz w:val="24"/>
                <w:szCs w:val="24"/>
                <w:highlight w:val="none"/>
                <w:lang w:val="en-US" w:eastAsia="zh-CN"/>
              </w:rPr>
              <w:t>]</w:t>
            </w:r>
            <w:r>
              <w:rPr>
                <w:rFonts w:hint="eastAsia"/>
                <w:color w:val="auto"/>
                <w:kern w:val="0"/>
                <w:sz w:val="24"/>
                <w:szCs w:val="24"/>
                <w:highlight w:val="none"/>
              </w:rPr>
              <w:t>20号）</w:t>
            </w:r>
            <w:r>
              <w:rPr>
                <w:rFonts w:hint="eastAsia"/>
                <w:color w:val="auto"/>
                <w:kern w:val="0"/>
                <w:sz w:val="24"/>
                <w:szCs w:val="24"/>
                <w:highlight w:val="none"/>
                <w:lang w:val="en-US" w:eastAsia="zh-CN"/>
              </w:rPr>
              <w:t>及</w:t>
            </w:r>
            <w:r>
              <w:rPr>
                <w:rFonts w:hint="eastAsia"/>
                <w:color w:val="auto"/>
                <w:kern w:val="0"/>
                <w:sz w:val="24"/>
                <w:szCs w:val="24"/>
                <w:highlight w:val="none"/>
                <w:lang w:eastAsia="zh-CN"/>
              </w:rPr>
              <w:t>榕环保综</w:t>
            </w:r>
            <w:r>
              <w:rPr>
                <w:rFonts w:hint="eastAsia"/>
                <w:color w:val="auto"/>
                <w:kern w:val="0"/>
                <w:sz w:val="24"/>
                <w:szCs w:val="24"/>
                <w:highlight w:val="none"/>
                <w:lang w:val="en-US" w:eastAsia="zh-CN"/>
              </w:rPr>
              <w:t>[</w:t>
            </w:r>
            <w:r>
              <w:rPr>
                <w:rFonts w:hint="eastAsia"/>
                <w:color w:val="auto"/>
                <w:kern w:val="0"/>
                <w:sz w:val="24"/>
                <w:szCs w:val="24"/>
                <w:highlight w:val="none"/>
                <w:lang w:eastAsia="zh-CN"/>
              </w:rPr>
              <w:t>2025</w:t>
            </w:r>
            <w:r>
              <w:rPr>
                <w:rFonts w:hint="eastAsia"/>
                <w:color w:val="auto"/>
                <w:kern w:val="0"/>
                <w:sz w:val="24"/>
                <w:szCs w:val="24"/>
                <w:highlight w:val="none"/>
                <w:lang w:val="en-US" w:eastAsia="zh-CN"/>
              </w:rPr>
              <w:t>]1</w:t>
            </w:r>
            <w:r>
              <w:rPr>
                <w:rFonts w:hint="eastAsia"/>
                <w:color w:val="auto"/>
                <w:kern w:val="0"/>
                <w:sz w:val="24"/>
                <w:szCs w:val="24"/>
                <w:highlight w:val="none"/>
                <w:lang w:eastAsia="zh-CN"/>
              </w:rPr>
              <w:t>号</w:t>
            </w:r>
            <w:r>
              <w:rPr>
                <w:rFonts w:hint="eastAsia"/>
                <w:color w:val="auto"/>
                <w:kern w:val="0"/>
                <w:sz w:val="24"/>
                <w:szCs w:val="24"/>
                <w:highlight w:val="none"/>
              </w:rPr>
              <w:t>，项目所在区域属于重点管控单元，本项目与福州市生态环境分区管控方案符合性情况分析如下：</w:t>
            </w:r>
          </w:p>
          <w:p>
            <w:pPr>
              <w:pStyle w:val="561"/>
              <w:ind w:firstLine="480"/>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（1）生态保护红线</w:t>
            </w:r>
          </w:p>
          <w:p>
            <w:pPr>
              <w:pStyle w:val="561"/>
              <w:ind w:firstLine="480"/>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完整利用福建省“三区三线”生态保护红线划定成果，福州市生态保护红线划定面积为5082.05平方千米，其中陆域面积为2410.32平方千米，海域面积为2671.73平方千米。生态保护红线最终面积以省政府发布结果为准。长乐区共划定生态保护红线512.28平方公里，其中陆域生态保护红线总面积42.7平方公里，海洋生态保护红线面积469.58平方公里。</w:t>
            </w:r>
          </w:p>
          <w:p>
            <w:pPr>
              <w:pStyle w:val="561"/>
              <w:ind w:firstLine="480"/>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（2）一般生态空间</w:t>
            </w:r>
          </w:p>
          <w:p>
            <w:pPr>
              <w:pStyle w:val="561"/>
              <w:ind w:firstLine="480"/>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福州市一般生态空间面积为5022.51平方千米，其中陆域面积为3703.34平方千米、海域面积为1319.17平方千米。长乐区一般生态空间面积为965.131平方千米，其中陆域面积为495.55平方千米、海域面积为469.58平方千米。一般生态空间将随生态保护红线最终发布成果做调整。</w:t>
            </w:r>
          </w:p>
          <w:p>
            <w:pPr>
              <w:pStyle w:val="561"/>
              <w:ind w:firstLine="480"/>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陆域一般生态空间主要包括生态评估得到的生态功能重要区域和生态环境敏感区域以及未纳入生态保护红线的各类法定保护地、饮用水水源保护区等需要保护的区域。</w:t>
            </w:r>
          </w:p>
          <w:p>
            <w:pPr>
              <w:pStyle w:val="561"/>
              <w:ind w:firstLine="480"/>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海洋一般生态空间主要包括国土空间规划中的海洋生态控制区、未纳入海洋生态保护红线的各类自然保护地、未划入海洋生态控制区的生态保护红线调出区域（不含对水质现状超标严重的海域、海域生态保护重要性评价为一般重要的区域及国土空间规划为交通运输用海区、工矿通信用海区、部分特殊用海区）。</w:t>
            </w:r>
          </w:p>
          <w:p>
            <w:pPr>
              <w:pStyle w:val="561"/>
              <w:ind w:firstLine="480"/>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本项目位于福州市长乐区营前</w:t>
            </w:r>
            <w:r>
              <w:rPr>
                <w:rFonts w:hint="eastAsia" w:ascii="Times New Roman" w:hAnsi="Times New Roman" w:cs="Times New Roman"/>
                <w:color w:val="auto"/>
                <w:highlight w:val="none"/>
                <w:lang w:val="en-US" w:eastAsia="zh-CN"/>
              </w:rPr>
              <w:t>街道</w:t>
            </w:r>
            <w:r>
              <w:rPr>
                <w:rFonts w:hint="eastAsia" w:ascii="Times New Roman" w:hAnsi="Times New Roman" w:cs="Times New Roman"/>
                <w:color w:val="auto"/>
                <w:highlight w:val="none"/>
                <w:lang w:eastAsia="zh-CN"/>
              </w:rPr>
              <w:t>福建吴航不锈钢制品有限公司现有厂区内，为已批项目福建吴航不锈钢制品有限公司南生产区拉丝区域东侧现有闲置车间（原拉丝车间二），不涉及划定的生态保护红线，未被纳入生态保护红线的各类法定保护地、饮用水水源保护区等需要保护的区域，未被纳入海洋生态保护红线的各类自然保护地、未被划入海洋生态控制区的生态保护红线调出区域。</w:t>
            </w:r>
          </w:p>
          <w:p>
            <w:pPr>
              <w:pStyle w:val="561"/>
              <w:ind w:firstLine="480"/>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（二）环境质量底线</w:t>
            </w:r>
          </w:p>
          <w:p>
            <w:pPr>
              <w:pStyle w:val="561"/>
              <w:ind w:firstLine="480"/>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（1）地表水环境质量底线</w:t>
            </w:r>
          </w:p>
          <w:p>
            <w:pPr>
              <w:pStyle w:val="561"/>
              <w:ind w:firstLine="480"/>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到2025年，国省控断面水质优良（达到或优于Ⅲ类）比例总体达97.2%以上；县级以上集中式饮用水水源水质达标率达100%。</w:t>
            </w:r>
          </w:p>
          <w:p>
            <w:pPr>
              <w:pStyle w:val="561"/>
              <w:ind w:firstLine="480"/>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到2035年，国省控断面水质优良（达到或优于Ⅲ类）比例总体达到100%；生态系统实现良性循环。</w:t>
            </w:r>
          </w:p>
          <w:p>
            <w:pPr>
              <w:pStyle w:val="561"/>
              <w:ind w:firstLine="480"/>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本项目所产生生产废水均在厂内循环使用，不外排，对外环境地表水体影响小。</w:t>
            </w:r>
          </w:p>
          <w:p>
            <w:pPr>
              <w:pStyle w:val="561"/>
              <w:ind w:firstLine="480"/>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（2）近岸海域环境质量底线</w:t>
            </w:r>
          </w:p>
          <w:p>
            <w:pPr>
              <w:pStyle w:val="561"/>
              <w:ind w:firstLine="480"/>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到2025年，近岸海域水质持续改善，重要河口海湾水质稳定好转，鉴江半岛—黄岐半岛东部海域湾区、长乐东部海域湾区建成美丽海湾，近岸海域优良水质面积比例不低于85%（国控点优良水质面积不低于84.0%）。</w:t>
            </w:r>
          </w:p>
          <w:p>
            <w:pPr>
              <w:pStyle w:val="561"/>
              <w:ind w:firstLine="480"/>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到2035年，海洋生态环境显著改善，重要河口海湾水质大幅提升，近岸海域优良水质面积比例不低于89%，全面建成美丽海湾。</w:t>
            </w:r>
          </w:p>
          <w:p>
            <w:pPr>
              <w:pStyle w:val="561"/>
              <w:ind w:firstLine="480"/>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本项目所产生生产废水均在厂内循环使用，不外排，对海洋水体影响小。</w:t>
            </w:r>
          </w:p>
          <w:p>
            <w:pPr>
              <w:pStyle w:val="561"/>
              <w:ind w:firstLine="480"/>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（3）大气环境质量底线</w:t>
            </w:r>
          </w:p>
          <w:p>
            <w:pPr>
              <w:pStyle w:val="561"/>
              <w:ind w:firstLine="480"/>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到2025年，环境空气质量持续改善，细颗粒物（PM2.5）年均浓度降至18.6μg/m</w:t>
            </w:r>
            <w:r>
              <w:rPr>
                <w:rFonts w:hint="eastAsia" w:ascii="Times New Roman" w:hAnsi="Times New Roman" w:cs="Times New Roman"/>
                <w:color w:val="auto"/>
                <w:highlight w:val="none"/>
                <w:vertAlign w:val="superscript"/>
                <w:lang w:eastAsia="zh-CN"/>
              </w:rPr>
              <w:t>3</w:t>
            </w:r>
            <w:r>
              <w:rPr>
                <w:rFonts w:hint="eastAsia" w:ascii="Times New Roman" w:hAnsi="Times New Roman" w:cs="Times New Roman"/>
                <w:color w:val="auto"/>
                <w:highlight w:val="none"/>
                <w:lang w:eastAsia="zh-CN"/>
              </w:rPr>
              <w:t>。</w:t>
            </w:r>
          </w:p>
          <w:p>
            <w:pPr>
              <w:pStyle w:val="561"/>
              <w:ind w:firstLine="480"/>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到2035年，县级城市细颗粒物（PM2.5）年均浓度小于15μg/m</w:t>
            </w:r>
            <w:r>
              <w:rPr>
                <w:rFonts w:hint="eastAsia" w:ascii="Times New Roman" w:hAnsi="Times New Roman" w:cs="Times New Roman"/>
                <w:color w:val="auto"/>
                <w:highlight w:val="none"/>
                <w:vertAlign w:val="superscript"/>
                <w:lang w:eastAsia="zh-CN"/>
              </w:rPr>
              <w:t>3</w:t>
            </w:r>
            <w:r>
              <w:rPr>
                <w:rFonts w:hint="eastAsia" w:ascii="Times New Roman" w:hAnsi="Times New Roman" w:cs="Times New Roman"/>
                <w:color w:val="auto"/>
                <w:highlight w:val="none"/>
                <w:lang w:eastAsia="zh-CN"/>
              </w:rPr>
              <w:t>，最终指标值以省下达指标为准。</w:t>
            </w:r>
          </w:p>
          <w:p>
            <w:pPr>
              <w:pStyle w:val="561"/>
              <w:ind w:firstLine="480"/>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项目产生的颗粒物经采取有效的污染防治措施后可实现达标排放</w:t>
            </w:r>
            <w:r>
              <w:rPr>
                <w:rFonts w:hint="eastAsia" w:ascii="Times New Roman" w:hAnsi="Times New Roman" w:cs="Times New Roman"/>
                <w:color w:val="auto"/>
                <w:highlight w:val="none"/>
                <w:lang w:val="en-US" w:eastAsia="zh-CN"/>
              </w:rPr>
              <w:t>，</w:t>
            </w:r>
            <w:r>
              <w:rPr>
                <w:rFonts w:hint="eastAsia" w:ascii="Times New Roman" w:hAnsi="Times New Roman" w:cs="Times New Roman"/>
                <w:color w:val="auto"/>
                <w:highlight w:val="none"/>
                <w:lang w:eastAsia="zh-CN"/>
              </w:rPr>
              <w:t>可以满足环境质量底线要求。</w:t>
            </w:r>
          </w:p>
          <w:p>
            <w:pPr>
              <w:pStyle w:val="561"/>
              <w:ind w:firstLine="480"/>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（4）土壤环境风险防控底线</w:t>
            </w:r>
          </w:p>
          <w:p>
            <w:pPr>
              <w:pStyle w:val="561"/>
              <w:ind w:firstLine="480"/>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到2025年，受污染耕地安全利用率达到95%（含）以上，重点建设用地安全利用率得到有效保障，重点行业企业用地优先管控名录地块风险管控率达到95%（含）以上，开垦耕地土壤污染调查覆盖率达90%以上，畜禽粪污综合利用率预期达95%（含）以上。</w:t>
            </w:r>
          </w:p>
          <w:p>
            <w:pPr>
              <w:pStyle w:val="561"/>
              <w:ind w:firstLine="480"/>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到2035年，全市土壤环境质量稳中向好，农用地和建设用地土壤环境得到有效保障，土壤环境风险得到全面管控。</w:t>
            </w:r>
          </w:p>
          <w:p>
            <w:pPr>
              <w:pStyle w:val="561"/>
              <w:ind w:firstLine="480"/>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项目所在厂房地面全部硬化，生产过程不排放持久性污染物，几乎不存在土壤环境风险，符合土壤环境风险防控底线要求。</w:t>
            </w:r>
          </w:p>
          <w:p>
            <w:pPr>
              <w:pStyle w:val="561"/>
              <w:ind w:firstLine="480"/>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（三）资源利用上线</w:t>
            </w:r>
          </w:p>
          <w:p>
            <w:pPr>
              <w:pStyle w:val="561"/>
              <w:ind w:firstLine="480"/>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（1）水资源利用上线</w:t>
            </w:r>
          </w:p>
          <w:p>
            <w:pPr>
              <w:pStyle w:val="561"/>
              <w:ind w:firstLine="480"/>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到2025年，全市总用水量目标值为28亿立方米，万元工业增加值用水量达到12立方米、万元GDP用水量达到19立方米、农田灌溉有效利用系数达到0.586。2035年指标以省人民政府下达为准。</w:t>
            </w:r>
          </w:p>
          <w:p>
            <w:pPr>
              <w:pStyle w:val="561"/>
              <w:ind w:firstLine="480"/>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项目用水来自市政供水管网，与福州市水资源利用上线管控要求相符。</w:t>
            </w:r>
          </w:p>
          <w:p>
            <w:pPr>
              <w:pStyle w:val="561"/>
              <w:ind w:firstLine="480"/>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（2）土地资源利用上线</w:t>
            </w:r>
          </w:p>
          <w:p>
            <w:pPr>
              <w:pStyle w:val="561"/>
              <w:ind w:firstLine="480"/>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到2025年，耕地保有量达到947.53平方千米，基本农田保护面积达到844.82平方千米。2035年指标与2025年保持一致。</w:t>
            </w:r>
          </w:p>
          <w:p>
            <w:pPr>
              <w:pStyle w:val="561"/>
              <w:ind w:firstLine="480"/>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本次改建工程位于现有福建吴航不锈钢制品有限公司厂区内，不新征用地，不突破当地土地资源利用上限。</w:t>
            </w:r>
          </w:p>
          <w:p>
            <w:pPr>
              <w:pStyle w:val="561"/>
              <w:ind w:firstLine="480"/>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（3）能源资源利用上线</w:t>
            </w:r>
          </w:p>
          <w:p>
            <w:pPr>
              <w:pStyle w:val="561"/>
              <w:ind w:firstLine="480"/>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到2025年，单位地区生产总值二氧化碳排放降低率达到19.5%，单位地区生产总值能源消耗降低率达到14%，非化石能源占一次能源消费比例达到32%。2035年指标以省人民政府下达为准。</w:t>
            </w:r>
          </w:p>
          <w:p>
            <w:pPr>
              <w:pStyle w:val="561"/>
              <w:ind w:firstLine="480"/>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项目设备使用电能作为能源，不涉及高污染燃料，项目与福州市能源资源利用上线要求相符。</w:t>
            </w:r>
          </w:p>
          <w:p>
            <w:pPr>
              <w:pStyle w:val="561"/>
              <w:ind w:firstLine="480"/>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（4）岸线资源利用上线</w:t>
            </w:r>
          </w:p>
          <w:p>
            <w:pPr>
              <w:pStyle w:val="561"/>
              <w:ind w:firstLine="480"/>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海岸线：大陆海岸线中优先保护岸线长度为344.14千米，重点管控岸线长度为584.42千米，一般管控岸线长度为37.83千米；分别占比35.61%、60.47%、3.91%。有居民海岛岸线中优先保护岸线长度为106.19千米，重点管控岸线长度为85.62千米，一般管控岸线长度为0.47千米；分别占比55.23%、44.53%、0.24%。</w:t>
            </w:r>
          </w:p>
          <w:p>
            <w:pPr>
              <w:pStyle w:val="561"/>
              <w:ind w:firstLine="480"/>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内河岸线：内河岸线中优先保护岸线长度为313.6千米，重点管控岸线长度为22.67千米，一般管控岸线长度为724.83千米；分别占比29.55%、2.14%、68.31%。</w:t>
            </w:r>
          </w:p>
          <w:p>
            <w:pPr>
              <w:pStyle w:val="561"/>
              <w:ind w:firstLine="480"/>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改建项目位于现有福建吴航不锈钢制品有限公司厂区内，不占用海岸线及内河岸线，与福州市岸线资源利用上线要求相符。</w:t>
            </w:r>
          </w:p>
          <w:p>
            <w:pPr>
              <w:pStyle w:val="561"/>
              <w:ind w:firstLine="480"/>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eastAsia="zh-CN"/>
              </w:rPr>
              <w:t>（四）环境管控单元</w:t>
            </w:r>
          </w:p>
          <w:p>
            <w:pPr>
              <w:pStyle w:val="113"/>
              <w:spacing w:line="360" w:lineRule="auto"/>
              <w:ind w:firstLine="480" w:firstLineChars="200"/>
              <w:jc w:val="both"/>
              <w:rPr>
                <w:color w:val="auto"/>
                <w:sz w:val="24"/>
                <w:szCs w:val="24"/>
                <w:highlight w:val="none"/>
              </w:rPr>
            </w:pPr>
            <w:r>
              <w:rPr>
                <w:rFonts w:hint="eastAsia" w:ascii="Times New Roman" w:hAnsi="Times New Roman" w:eastAsia="宋体" w:cs="Times New Roman"/>
                <w:color w:val="auto"/>
                <w:kern w:val="2"/>
                <w:sz w:val="24"/>
                <w:szCs w:val="24"/>
                <w:highlight w:val="none"/>
                <w:lang w:val="en-US" w:eastAsia="zh-CN" w:bidi="ar-SA"/>
              </w:rPr>
              <w:t>经查询福建省生态环境分区管控数据应用平台，本</w:t>
            </w:r>
            <w:r>
              <w:rPr>
                <w:rFonts w:hint="eastAsia"/>
                <w:color w:val="auto"/>
                <w:spacing w:val="4"/>
                <w:sz w:val="24"/>
                <w:szCs w:val="24"/>
                <w:highlight w:val="none"/>
              </w:rPr>
              <w:t>项目涉及1个管控单元，即长乐区重点管控单元2（ZH35011220008）。对照表1-5分析，本项目符合长乐区重点管控单元2生态环境总体准入要求。</w:t>
            </w:r>
            <w:r>
              <w:rPr>
                <w:rFonts w:hint="eastAsia"/>
                <w:color w:val="auto"/>
                <w:kern w:val="0"/>
                <w:sz w:val="24"/>
                <w:szCs w:val="24"/>
                <w:highlight w:val="none"/>
              </w:rPr>
              <w:t>综合查询报告书详见附件8。</w:t>
            </w:r>
          </w:p>
          <w:p>
            <w:pPr>
              <w:pStyle w:val="113"/>
              <w:rPr>
                <w:color w:val="auto"/>
                <w:highlight w:val="none"/>
              </w:rPr>
            </w:pPr>
            <w:r>
              <w:rPr>
                <w:rFonts w:hint="eastAsia" w:ascii="宋体" w:hAnsi="宋体" w:cs="宋体"/>
                <w:color w:val="auto"/>
                <w:sz w:val="24"/>
                <w:szCs w:val="24"/>
                <w:highlight w:val="none"/>
              </w:rPr>
              <w:drawing>
                <wp:inline distT="0" distB="0" distL="0" distR="0">
                  <wp:extent cx="3999230" cy="2545080"/>
                  <wp:effectExtent l="0" t="0" r="8890" b="0"/>
                  <wp:docPr id="23" name="Imag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 descr="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999230" cy="2545080"/>
                          </a:xfrm>
                          <a:prstGeom prst="rect">
                            <a:avLst/>
                          </a:prstGeom>
                          <a:noFill/>
                          <a:ln>
                            <a:noFill/>
                          </a:ln>
                        </pic:spPr>
                      </pic:pic>
                    </a:graphicData>
                  </a:graphic>
                </wp:inline>
              </w:drawing>
            </w:r>
          </w:p>
          <w:p>
            <w:pPr>
              <w:pStyle w:val="99"/>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eastAsia="宋体" w:cs="Times New Roman"/>
                <w:b/>
                <w:bCs/>
                <w:color w:val="auto"/>
                <w:spacing w:val="-4"/>
                <w:kern w:val="2"/>
                <w:sz w:val="24"/>
                <w:szCs w:val="24"/>
                <w:highlight w:val="none"/>
                <w:lang w:val="en-US" w:eastAsia="zh-CN" w:bidi="ar-SA"/>
              </w:rPr>
            </w:pPr>
            <w:r>
              <w:rPr>
                <w:rFonts w:hint="eastAsia" w:ascii="Times New Roman" w:hAnsi="Times New Roman" w:eastAsia="宋体" w:cs="Times New Roman"/>
                <w:b/>
                <w:bCs/>
                <w:color w:val="auto"/>
                <w:spacing w:val="-4"/>
                <w:kern w:val="2"/>
                <w:sz w:val="24"/>
                <w:szCs w:val="24"/>
                <w:highlight w:val="none"/>
                <w:lang w:val="en-US" w:eastAsia="zh-CN" w:bidi="ar-SA"/>
              </w:rPr>
              <w:t>图1-1</w:t>
            </w:r>
            <w:r>
              <w:rPr>
                <w:rFonts w:ascii="Times New Roman" w:hAnsi="Times New Roman" w:eastAsia="宋体" w:cs="Times New Roman"/>
                <w:b/>
                <w:bCs/>
                <w:color w:val="auto"/>
                <w:spacing w:val="-4"/>
                <w:kern w:val="2"/>
                <w:sz w:val="24"/>
                <w:szCs w:val="24"/>
                <w:highlight w:val="none"/>
                <w:lang w:val="en-US" w:eastAsia="zh-CN" w:bidi="ar-SA"/>
              </w:rPr>
              <w:t>生态环境分区管控</w:t>
            </w:r>
            <w:r>
              <w:rPr>
                <w:rFonts w:hint="eastAsia" w:ascii="Times New Roman" w:hAnsi="Times New Roman" w:eastAsia="宋体" w:cs="Times New Roman"/>
                <w:b/>
                <w:bCs/>
                <w:color w:val="auto"/>
                <w:spacing w:val="-4"/>
                <w:kern w:val="2"/>
                <w:sz w:val="24"/>
                <w:szCs w:val="24"/>
                <w:highlight w:val="none"/>
                <w:lang w:val="en-US" w:eastAsia="zh-CN" w:bidi="ar-SA"/>
              </w:rPr>
              <w:t>查询截图</w:t>
            </w:r>
          </w:p>
          <w:p>
            <w:pPr>
              <w:pStyle w:val="561"/>
              <w:spacing w:before="1" w:line="220" w:lineRule="auto"/>
              <w:ind w:firstLine="0" w:firstLineChars="0"/>
              <w:jc w:val="center"/>
              <w:rPr>
                <w:rFonts w:ascii="Times New Roman" w:hAnsi="Times New Roman" w:cs="Times New Roman"/>
                <w:color w:val="auto"/>
                <w:spacing w:val="-4"/>
                <w:highlight w:val="none"/>
                <w:lang w:eastAsia="zh-CN"/>
              </w:rPr>
            </w:pPr>
            <w:r>
              <w:rPr>
                <w:rFonts w:ascii="Times New Roman" w:hAnsi="Times New Roman" w:cs="Times New Roman"/>
                <w:b/>
                <w:bCs/>
                <w:color w:val="auto"/>
                <w:spacing w:val="-4"/>
                <w:highlight w:val="none"/>
                <w:lang w:eastAsia="zh-CN"/>
              </w:rPr>
              <w:t>表1-</w:t>
            </w:r>
            <w:r>
              <w:rPr>
                <w:rFonts w:hint="eastAsia" w:ascii="Times New Roman" w:hAnsi="Times New Roman" w:cs="Times New Roman"/>
                <w:b/>
                <w:bCs/>
                <w:color w:val="auto"/>
                <w:spacing w:val="-4"/>
                <w:highlight w:val="none"/>
                <w:lang w:eastAsia="zh-CN"/>
              </w:rPr>
              <w:t>5</w:t>
            </w:r>
            <w:r>
              <w:rPr>
                <w:rFonts w:ascii="Times New Roman" w:hAnsi="Times New Roman" w:cs="Times New Roman"/>
                <w:b/>
                <w:bCs/>
                <w:color w:val="auto"/>
                <w:spacing w:val="-4"/>
                <w:highlight w:val="none"/>
                <w:lang w:eastAsia="zh-CN"/>
              </w:rPr>
              <w:t xml:space="preserve"> </w:t>
            </w:r>
            <w:r>
              <w:rPr>
                <w:rFonts w:hint="eastAsia" w:ascii="Times New Roman" w:hAnsi="Times New Roman" w:cs="Times New Roman"/>
                <w:b/>
                <w:bCs/>
                <w:color w:val="auto"/>
                <w:spacing w:val="-4"/>
                <w:highlight w:val="none"/>
                <w:lang w:eastAsia="zh-CN"/>
              </w:rPr>
              <w:t>与长乐区重点管控单元2环境管控准入要求符合性分</w:t>
            </w:r>
            <w:r>
              <w:rPr>
                <w:rFonts w:ascii="Times New Roman" w:hAnsi="Times New Roman" w:cs="Times New Roman"/>
                <w:b/>
                <w:bCs/>
                <w:color w:val="auto"/>
                <w:spacing w:val="-4"/>
                <w:highlight w:val="none"/>
                <w:lang w:eastAsia="zh-CN"/>
              </w:rPr>
              <w:t>析</w:t>
            </w:r>
          </w:p>
          <w:tbl>
            <w:tblPr>
              <w:tblStyle w:val="49"/>
              <w:tblW w:w="6548" w:type="dxa"/>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709"/>
              <w:gridCol w:w="470"/>
              <w:gridCol w:w="394"/>
              <w:gridCol w:w="301"/>
              <w:gridCol w:w="2585"/>
              <w:gridCol w:w="1704"/>
              <w:gridCol w:w="385"/>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tblHeader/>
                <w:jc w:val="center"/>
              </w:trPr>
              <w:tc>
                <w:tcPr>
                  <w:tcW w:w="709" w:type="dxa"/>
                  <w:tcBorders>
                    <w:tl2br w:val="nil"/>
                    <w:tr2bl w:val="nil"/>
                  </w:tcBorders>
                  <w:tcMar>
                    <w:top w:w="28" w:type="dxa"/>
                    <w:left w:w="51" w:type="dxa"/>
                    <w:bottom w:w="28" w:type="dxa"/>
                    <w:right w:w="51" w:type="dxa"/>
                  </w:tcMar>
                  <w:vAlign w:val="center"/>
                </w:tcPr>
                <w:p>
                  <w:pPr>
                    <w:pStyle w:val="117"/>
                    <w:ind w:firstLine="0" w:firstLineChars="0"/>
                    <w:rPr>
                      <w:color w:val="auto"/>
                      <w:highlight w:val="none"/>
                    </w:rPr>
                  </w:pPr>
                </w:p>
              </w:tc>
              <w:tc>
                <w:tcPr>
                  <w:tcW w:w="470" w:type="dxa"/>
                  <w:tcBorders>
                    <w:tl2br w:val="nil"/>
                    <w:tr2bl w:val="nil"/>
                  </w:tcBorders>
                  <w:tcMar>
                    <w:top w:w="28" w:type="dxa"/>
                    <w:left w:w="51" w:type="dxa"/>
                    <w:bottom w:w="28" w:type="dxa"/>
                    <w:right w:w="51" w:type="dxa"/>
                  </w:tcMar>
                  <w:vAlign w:val="center"/>
                </w:tcPr>
                <w:p>
                  <w:pPr>
                    <w:pStyle w:val="117"/>
                    <w:ind w:firstLine="0" w:firstLineChars="0"/>
                    <w:rPr>
                      <w:color w:val="auto"/>
                      <w:highlight w:val="none"/>
                      <w:lang w:eastAsia="en-US"/>
                    </w:rPr>
                  </w:pPr>
                </w:p>
              </w:tc>
              <w:tc>
                <w:tcPr>
                  <w:tcW w:w="394" w:type="dxa"/>
                  <w:tcBorders>
                    <w:tl2br w:val="nil"/>
                    <w:tr2bl w:val="nil"/>
                  </w:tcBorders>
                  <w:tcMar>
                    <w:top w:w="28" w:type="dxa"/>
                    <w:left w:w="51" w:type="dxa"/>
                    <w:bottom w:w="28" w:type="dxa"/>
                    <w:right w:w="51" w:type="dxa"/>
                  </w:tcMar>
                  <w:vAlign w:val="center"/>
                </w:tcPr>
                <w:p>
                  <w:pPr>
                    <w:pStyle w:val="117"/>
                    <w:ind w:firstLine="0" w:firstLineChars="0"/>
                    <w:rPr>
                      <w:color w:val="auto"/>
                      <w:highlight w:val="none"/>
                    </w:rPr>
                  </w:pPr>
                </w:p>
              </w:tc>
              <w:tc>
                <w:tcPr>
                  <w:tcW w:w="2886" w:type="dxa"/>
                  <w:gridSpan w:val="2"/>
                  <w:tcBorders>
                    <w:tl2br w:val="nil"/>
                    <w:tr2bl w:val="nil"/>
                  </w:tcBorders>
                  <w:tcMar>
                    <w:top w:w="28" w:type="dxa"/>
                    <w:left w:w="51" w:type="dxa"/>
                    <w:bottom w:w="28" w:type="dxa"/>
                    <w:right w:w="51" w:type="dxa"/>
                  </w:tcMar>
                  <w:vAlign w:val="center"/>
                </w:tcPr>
                <w:p>
                  <w:pPr>
                    <w:pStyle w:val="117"/>
                    <w:ind w:firstLine="0" w:firstLineChars="0"/>
                    <w:rPr>
                      <w:color w:val="auto"/>
                      <w:highlight w:val="none"/>
                    </w:rPr>
                  </w:pPr>
                </w:p>
              </w:tc>
              <w:tc>
                <w:tcPr>
                  <w:tcW w:w="1704" w:type="dxa"/>
                  <w:tcBorders>
                    <w:tl2br w:val="nil"/>
                    <w:tr2bl w:val="nil"/>
                  </w:tcBorders>
                  <w:tcMar>
                    <w:top w:w="28" w:type="dxa"/>
                    <w:left w:w="51" w:type="dxa"/>
                    <w:bottom w:w="28" w:type="dxa"/>
                    <w:right w:w="51" w:type="dxa"/>
                  </w:tcMar>
                  <w:vAlign w:val="center"/>
                </w:tcPr>
                <w:p>
                  <w:pPr>
                    <w:pStyle w:val="117"/>
                    <w:ind w:firstLine="0" w:firstLineChars="0"/>
                    <w:rPr>
                      <w:color w:val="auto"/>
                      <w:highlight w:val="none"/>
                    </w:rPr>
                  </w:pPr>
                </w:p>
              </w:tc>
              <w:tc>
                <w:tcPr>
                  <w:tcW w:w="385" w:type="dxa"/>
                  <w:tcBorders>
                    <w:tl2br w:val="nil"/>
                    <w:tr2bl w:val="nil"/>
                  </w:tcBorders>
                  <w:tcMar>
                    <w:top w:w="28" w:type="dxa"/>
                    <w:left w:w="51" w:type="dxa"/>
                    <w:bottom w:w="28" w:type="dxa"/>
                    <w:right w:w="51" w:type="dxa"/>
                  </w:tcMar>
                  <w:vAlign w:val="center"/>
                </w:tcPr>
                <w:p>
                  <w:pPr>
                    <w:pStyle w:val="117"/>
                    <w:ind w:firstLine="0" w:firstLineChars="0"/>
                    <w:rPr>
                      <w:color w:val="auto"/>
                      <w:highlight w:val="none"/>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jc w:val="center"/>
              </w:trPr>
              <w:tc>
                <w:tcPr>
                  <w:tcW w:w="709" w:type="dxa"/>
                  <w:vMerge w:val="restart"/>
                  <w:tcBorders>
                    <w:tl2br w:val="nil"/>
                    <w:tr2bl w:val="nil"/>
                  </w:tcBorders>
                  <w:tcMar>
                    <w:top w:w="28" w:type="dxa"/>
                    <w:left w:w="51" w:type="dxa"/>
                    <w:bottom w:w="28" w:type="dxa"/>
                    <w:right w:w="51" w:type="dxa"/>
                  </w:tcMar>
                  <w:vAlign w:val="center"/>
                </w:tcPr>
                <w:p>
                  <w:pPr>
                    <w:pStyle w:val="117"/>
                    <w:ind w:firstLine="0" w:firstLineChars="0"/>
                    <w:rPr>
                      <w:color w:val="auto"/>
                      <w:highlight w:val="none"/>
                    </w:rPr>
                  </w:pPr>
                </w:p>
              </w:tc>
              <w:tc>
                <w:tcPr>
                  <w:tcW w:w="470" w:type="dxa"/>
                  <w:vMerge w:val="restart"/>
                  <w:tcBorders>
                    <w:tl2br w:val="nil"/>
                    <w:tr2bl w:val="nil"/>
                  </w:tcBorders>
                  <w:tcMar>
                    <w:top w:w="28" w:type="dxa"/>
                    <w:left w:w="51" w:type="dxa"/>
                    <w:bottom w:w="28" w:type="dxa"/>
                    <w:right w:w="51" w:type="dxa"/>
                  </w:tcMar>
                  <w:vAlign w:val="center"/>
                </w:tcPr>
                <w:p>
                  <w:pPr>
                    <w:pStyle w:val="117"/>
                    <w:ind w:firstLine="0" w:firstLineChars="0"/>
                    <w:rPr>
                      <w:color w:val="auto"/>
                      <w:highlight w:val="none"/>
                    </w:rPr>
                  </w:pPr>
                </w:p>
              </w:tc>
              <w:tc>
                <w:tcPr>
                  <w:tcW w:w="394" w:type="dxa"/>
                  <w:vMerge w:val="restart"/>
                  <w:tcBorders>
                    <w:tl2br w:val="nil"/>
                    <w:tr2bl w:val="nil"/>
                  </w:tcBorders>
                  <w:tcMar>
                    <w:top w:w="28" w:type="dxa"/>
                    <w:left w:w="51" w:type="dxa"/>
                    <w:bottom w:w="28" w:type="dxa"/>
                    <w:right w:w="51" w:type="dxa"/>
                  </w:tcMar>
                  <w:vAlign w:val="center"/>
                </w:tcPr>
                <w:p>
                  <w:pPr>
                    <w:pStyle w:val="117"/>
                    <w:ind w:firstLine="0" w:firstLineChars="0"/>
                    <w:rPr>
                      <w:color w:val="auto"/>
                      <w:highlight w:val="none"/>
                    </w:rPr>
                  </w:pPr>
                </w:p>
              </w:tc>
              <w:tc>
                <w:tcPr>
                  <w:tcW w:w="301" w:type="dxa"/>
                  <w:tcBorders>
                    <w:tl2br w:val="nil"/>
                    <w:tr2bl w:val="nil"/>
                  </w:tcBorders>
                  <w:tcMar>
                    <w:top w:w="28" w:type="dxa"/>
                    <w:left w:w="51" w:type="dxa"/>
                    <w:bottom w:w="28" w:type="dxa"/>
                    <w:right w:w="51" w:type="dxa"/>
                  </w:tcMar>
                  <w:vAlign w:val="center"/>
                </w:tcPr>
                <w:p>
                  <w:pPr>
                    <w:pStyle w:val="117"/>
                    <w:ind w:firstLine="0" w:firstLineChars="0"/>
                    <w:rPr>
                      <w:color w:val="auto"/>
                      <w:highlight w:val="none"/>
                    </w:rPr>
                  </w:pPr>
                </w:p>
              </w:tc>
              <w:tc>
                <w:tcPr>
                  <w:tcW w:w="2585" w:type="dxa"/>
                  <w:tcBorders>
                    <w:tl2br w:val="nil"/>
                    <w:tr2bl w:val="nil"/>
                  </w:tcBorders>
                  <w:tcMar>
                    <w:top w:w="28" w:type="dxa"/>
                    <w:left w:w="51" w:type="dxa"/>
                    <w:bottom w:w="28" w:type="dxa"/>
                    <w:right w:w="51" w:type="dxa"/>
                  </w:tcMar>
                  <w:vAlign w:val="center"/>
                </w:tcPr>
                <w:p>
                  <w:pPr>
                    <w:pStyle w:val="117"/>
                    <w:ind w:firstLine="0" w:firstLineChars="0"/>
                    <w:rPr>
                      <w:color w:val="auto"/>
                      <w:highlight w:val="none"/>
                    </w:rPr>
                  </w:pPr>
                </w:p>
              </w:tc>
              <w:tc>
                <w:tcPr>
                  <w:tcW w:w="1704" w:type="dxa"/>
                  <w:tcBorders>
                    <w:tl2br w:val="nil"/>
                    <w:tr2bl w:val="nil"/>
                  </w:tcBorders>
                  <w:tcMar>
                    <w:top w:w="28" w:type="dxa"/>
                    <w:left w:w="51" w:type="dxa"/>
                    <w:bottom w:w="28" w:type="dxa"/>
                    <w:right w:w="51" w:type="dxa"/>
                  </w:tcMar>
                  <w:vAlign w:val="center"/>
                </w:tcPr>
                <w:p>
                  <w:pPr>
                    <w:pStyle w:val="117"/>
                    <w:ind w:firstLine="0" w:firstLineChars="0"/>
                    <w:jc w:val="both"/>
                    <w:rPr>
                      <w:color w:val="auto"/>
                      <w:highlight w:val="none"/>
                    </w:rPr>
                  </w:pPr>
                </w:p>
              </w:tc>
              <w:tc>
                <w:tcPr>
                  <w:tcW w:w="385" w:type="dxa"/>
                  <w:tcBorders>
                    <w:tl2br w:val="nil"/>
                    <w:tr2bl w:val="nil"/>
                  </w:tcBorders>
                  <w:tcMar>
                    <w:top w:w="28" w:type="dxa"/>
                    <w:left w:w="51" w:type="dxa"/>
                    <w:bottom w:w="28" w:type="dxa"/>
                    <w:right w:w="51" w:type="dxa"/>
                  </w:tcMar>
                  <w:vAlign w:val="center"/>
                </w:tcPr>
                <w:p>
                  <w:pPr>
                    <w:pStyle w:val="117"/>
                    <w:ind w:firstLine="0" w:firstLineChars="0"/>
                    <w:rPr>
                      <w:color w:val="auto"/>
                      <w:highlight w:val="none"/>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jc w:val="center"/>
              </w:trPr>
              <w:tc>
                <w:tcPr>
                  <w:tcW w:w="709" w:type="dxa"/>
                  <w:vMerge w:val="continue"/>
                  <w:tcBorders>
                    <w:tl2br w:val="nil"/>
                    <w:tr2bl w:val="nil"/>
                  </w:tcBorders>
                  <w:tcMar>
                    <w:top w:w="28" w:type="dxa"/>
                    <w:left w:w="51" w:type="dxa"/>
                    <w:bottom w:w="28" w:type="dxa"/>
                    <w:right w:w="51" w:type="dxa"/>
                  </w:tcMar>
                  <w:vAlign w:val="center"/>
                </w:tcPr>
                <w:p>
                  <w:pPr>
                    <w:pStyle w:val="117"/>
                    <w:ind w:firstLine="0" w:firstLineChars="0"/>
                    <w:rPr>
                      <w:color w:val="auto"/>
                      <w:highlight w:val="none"/>
                    </w:rPr>
                  </w:pPr>
                </w:p>
              </w:tc>
              <w:tc>
                <w:tcPr>
                  <w:tcW w:w="470" w:type="dxa"/>
                  <w:vMerge w:val="continue"/>
                  <w:tcBorders>
                    <w:tl2br w:val="nil"/>
                    <w:tr2bl w:val="nil"/>
                  </w:tcBorders>
                  <w:tcMar>
                    <w:top w:w="28" w:type="dxa"/>
                    <w:left w:w="51" w:type="dxa"/>
                    <w:bottom w:w="28" w:type="dxa"/>
                    <w:right w:w="51" w:type="dxa"/>
                  </w:tcMar>
                  <w:vAlign w:val="center"/>
                </w:tcPr>
                <w:p>
                  <w:pPr>
                    <w:pStyle w:val="117"/>
                    <w:ind w:firstLine="0" w:firstLineChars="0"/>
                    <w:rPr>
                      <w:color w:val="auto"/>
                      <w:highlight w:val="none"/>
                    </w:rPr>
                  </w:pPr>
                </w:p>
              </w:tc>
              <w:tc>
                <w:tcPr>
                  <w:tcW w:w="394" w:type="dxa"/>
                  <w:vMerge w:val="continue"/>
                  <w:tcBorders>
                    <w:tl2br w:val="nil"/>
                    <w:tr2bl w:val="nil"/>
                  </w:tcBorders>
                  <w:tcMar>
                    <w:top w:w="28" w:type="dxa"/>
                    <w:left w:w="51" w:type="dxa"/>
                    <w:bottom w:w="28" w:type="dxa"/>
                    <w:right w:w="51" w:type="dxa"/>
                  </w:tcMar>
                  <w:vAlign w:val="center"/>
                </w:tcPr>
                <w:p>
                  <w:pPr>
                    <w:pStyle w:val="117"/>
                    <w:ind w:firstLine="0" w:firstLineChars="0"/>
                    <w:rPr>
                      <w:color w:val="auto"/>
                      <w:highlight w:val="none"/>
                    </w:rPr>
                  </w:pPr>
                </w:p>
              </w:tc>
              <w:tc>
                <w:tcPr>
                  <w:tcW w:w="301" w:type="dxa"/>
                  <w:tcBorders>
                    <w:tl2br w:val="nil"/>
                    <w:tr2bl w:val="nil"/>
                  </w:tcBorders>
                  <w:tcMar>
                    <w:top w:w="28" w:type="dxa"/>
                    <w:left w:w="51" w:type="dxa"/>
                    <w:bottom w:w="28" w:type="dxa"/>
                    <w:right w:w="51" w:type="dxa"/>
                  </w:tcMar>
                  <w:vAlign w:val="center"/>
                </w:tcPr>
                <w:p>
                  <w:pPr>
                    <w:pStyle w:val="117"/>
                    <w:ind w:firstLine="0" w:firstLineChars="0"/>
                    <w:rPr>
                      <w:color w:val="auto"/>
                      <w:highlight w:val="none"/>
                    </w:rPr>
                  </w:pPr>
                </w:p>
              </w:tc>
              <w:tc>
                <w:tcPr>
                  <w:tcW w:w="2585" w:type="dxa"/>
                  <w:tcBorders>
                    <w:tl2br w:val="nil"/>
                    <w:tr2bl w:val="nil"/>
                  </w:tcBorders>
                  <w:tcMar>
                    <w:top w:w="28" w:type="dxa"/>
                    <w:left w:w="51" w:type="dxa"/>
                    <w:bottom w:w="28" w:type="dxa"/>
                    <w:right w:w="51" w:type="dxa"/>
                  </w:tcMar>
                  <w:vAlign w:val="center"/>
                </w:tcPr>
                <w:p>
                  <w:pPr>
                    <w:pStyle w:val="117"/>
                    <w:ind w:firstLine="0" w:firstLineChars="0"/>
                    <w:rPr>
                      <w:color w:val="auto"/>
                      <w:highlight w:val="none"/>
                    </w:rPr>
                  </w:pPr>
                </w:p>
              </w:tc>
              <w:tc>
                <w:tcPr>
                  <w:tcW w:w="1704" w:type="dxa"/>
                  <w:tcBorders>
                    <w:tl2br w:val="nil"/>
                    <w:tr2bl w:val="nil"/>
                  </w:tcBorders>
                  <w:tcMar>
                    <w:top w:w="28" w:type="dxa"/>
                    <w:left w:w="51" w:type="dxa"/>
                    <w:bottom w:w="28" w:type="dxa"/>
                    <w:right w:w="51" w:type="dxa"/>
                  </w:tcMar>
                  <w:vAlign w:val="center"/>
                </w:tcPr>
                <w:p>
                  <w:pPr>
                    <w:pStyle w:val="117"/>
                    <w:ind w:firstLine="0" w:firstLineChars="0"/>
                    <w:rPr>
                      <w:color w:val="auto"/>
                      <w:highlight w:val="none"/>
                    </w:rPr>
                  </w:pPr>
                </w:p>
              </w:tc>
              <w:tc>
                <w:tcPr>
                  <w:tcW w:w="385" w:type="dxa"/>
                  <w:tcBorders>
                    <w:tl2br w:val="nil"/>
                    <w:tr2bl w:val="nil"/>
                  </w:tcBorders>
                  <w:tcMar>
                    <w:top w:w="28" w:type="dxa"/>
                    <w:left w:w="51" w:type="dxa"/>
                    <w:bottom w:w="28" w:type="dxa"/>
                    <w:right w:w="51" w:type="dxa"/>
                  </w:tcMar>
                  <w:vAlign w:val="center"/>
                </w:tcPr>
                <w:p>
                  <w:pPr>
                    <w:pStyle w:val="117"/>
                    <w:ind w:firstLine="0" w:firstLineChars="0"/>
                    <w:rPr>
                      <w:color w:val="auto"/>
                      <w:highlight w:val="none"/>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jc w:val="center"/>
              </w:trPr>
              <w:tc>
                <w:tcPr>
                  <w:tcW w:w="709" w:type="dxa"/>
                  <w:vMerge w:val="continue"/>
                  <w:tcBorders>
                    <w:tl2br w:val="nil"/>
                    <w:tr2bl w:val="nil"/>
                  </w:tcBorders>
                  <w:tcMar>
                    <w:top w:w="28" w:type="dxa"/>
                    <w:left w:w="51" w:type="dxa"/>
                    <w:bottom w:w="28" w:type="dxa"/>
                    <w:right w:w="51" w:type="dxa"/>
                  </w:tcMar>
                  <w:vAlign w:val="center"/>
                </w:tcPr>
                <w:p>
                  <w:pPr>
                    <w:pStyle w:val="117"/>
                    <w:ind w:firstLine="0" w:firstLineChars="0"/>
                    <w:rPr>
                      <w:color w:val="auto"/>
                      <w:highlight w:val="none"/>
                    </w:rPr>
                  </w:pPr>
                </w:p>
              </w:tc>
              <w:tc>
                <w:tcPr>
                  <w:tcW w:w="470" w:type="dxa"/>
                  <w:vMerge w:val="continue"/>
                  <w:tcBorders>
                    <w:tl2br w:val="nil"/>
                    <w:tr2bl w:val="nil"/>
                  </w:tcBorders>
                  <w:tcMar>
                    <w:top w:w="28" w:type="dxa"/>
                    <w:left w:w="51" w:type="dxa"/>
                    <w:bottom w:w="28" w:type="dxa"/>
                    <w:right w:w="51" w:type="dxa"/>
                  </w:tcMar>
                  <w:vAlign w:val="center"/>
                </w:tcPr>
                <w:p>
                  <w:pPr>
                    <w:pStyle w:val="117"/>
                    <w:ind w:firstLine="0" w:firstLineChars="0"/>
                    <w:rPr>
                      <w:color w:val="auto"/>
                      <w:highlight w:val="none"/>
                    </w:rPr>
                  </w:pPr>
                </w:p>
              </w:tc>
              <w:tc>
                <w:tcPr>
                  <w:tcW w:w="394" w:type="dxa"/>
                  <w:vMerge w:val="continue"/>
                  <w:tcBorders>
                    <w:tl2br w:val="nil"/>
                    <w:tr2bl w:val="nil"/>
                  </w:tcBorders>
                  <w:tcMar>
                    <w:top w:w="28" w:type="dxa"/>
                    <w:left w:w="51" w:type="dxa"/>
                    <w:bottom w:w="28" w:type="dxa"/>
                    <w:right w:w="51" w:type="dxa"/>
                  </w:tcMar>
                  <w:vAlign w:val="center"/>
                </w:tcPr>
                <w:p>
                  <w:pPr>
                    <w:pStyle w:val="117"/>
                    <w:ind w:firstLine="0" w:firstLineChars="0"/>
                    <w:rPr>
                      <w:color w:val="auto"/>
                      <w:highlight w:val="none"/>
                    </w:rPr>
                  </w:pPr>
                </w:p>
              </w:tc>
              <w:tc>
                <w:tcPr>
                  <w:tcW w:w="301" w:type="dxa"/>
                  <w:tcBorders>
                    <w:tl2br w:val="nil"/>
                    <w:tr2bl w:val="nil"/>
                  </w:tcBorders>
                  <w:tcMar>
                    <w:top w:w="28" w:type="dxa"/>
                    <w:left w:w="51" w:type="dxa"/>
                    <w:bottom w:w="28" w:type="dxa"/>
                    <w:right w:w="51" w:type="dxa"/>
                  </w:tcMar>
                  <w:vAlign w:val="center"/>
                </w:tcPr>
                <w:p>
                  <w:pPr>
                    <w:pStyle w:val="117"/>
                    <w:ind w:firstLine="0" w:firstLineChars="0"/>
                    <w:rPr>
                      <w:color w:val="auto"/>
                      <w:highlight w:val="none"/>
                    </w:rPr>
                  </w:pPr>
                </w:p>
              </w:tc>
              <w:tc>
                <w:tcPr>
                  <w:tcW w:w="2585" w:type="dxa"/>
                  <w:tcBorders>
                    <w:tl2br w:val="nil"/>
                    <w:tr2bl w:val="nil"/>
                  </w:tcBorders>
                  <w:tcMar>
                    <w:top w:w="28" w:type="dxa"/>
                    <w:left w:w="51" w:type="dxa"/>
                    <w:bottom w:w="28" w:type="dxa"/>
                    <w:right w:w="51" w:type="dxa"/>
                  </w:tcMar>
                  <w:vAlign w:val="center"/>
                </w:tcPr>
                <w:p>
                  <w:pPr>
                    <w:pStyle w:val="117"/>
                    <w:ind w:firstLine="0" w:firstLineChars="0"/>
                    <w:rPr>
                      <w:color w:val="auto"/>
                      <w:highlight w:val="none"/>
                    </w:rPr>
                  </w:pPr>
                </w:p>
              </w:tc>
              <w:tc>
                <w:tcPr>
                  <w:tcW w:w="1704" w:type="dxa"/>
                  <w:tcBorders>
                    <w:tl2br w:val="nil"/>
                    <w:tr2bl w:val="nil"/>
                  </w:tcBorders>
                  <w:tcMar>
                    <w:top w:w="28" w:type="dxa"/>
                    <w:left w:w="51" w:type="dxa"/>
                    <w:bottom w:w="28" w:type="dxa"/>
                    <w:right w:w="51" w:type="dxa"/>
                  </w:tcMar>
                  <w:vAlign w:val="center"/>
                </w:tcPr>
                <w:p>
                  <w:pPr>
                    <w:pStyle w:val="117"/>
                    <w:ind w:firstLine="0" w:firstLineChars="0"/>
                    <w:rPr>
                      <w:color w:val="auto"/>
                      <w:highlight w:val="none"/>
                    </w:rPr>
                  </w:pPr>
                </w:p>
              </w:tc>
              <w:tc>
                <w:tcPr>
                  <w:tcW w:w="385" w:type="dxa"/>
                  <w:tcBorders>
                    <w:tl2br w:val="nil"/>
                    <w:tr2bl w:val="nil"/>
                  </w:tcBorders>
                  <w:tcMar>
                    <w:top w:w="28" w:type="dxa"/>
                    <w:left w:w="51" w:type="dxa"/>
                    <w:bottom w:w="28" w:type="dxa"/>
                    <w:right w:w="51" w:type="dxa"/>
                  </w:tcMar>
                  <w:vAlign w:val="center"/>
                </w:tcPr>
                <w:p>
                  <w:pPr>
                    <w:pStyle w:val="117"/>
                    <w:ind w:firstLine="0" w:firstLineChars="0"/>
                    <w:rPr>
                      <w:color w:val="auto"/>
                      <w:highlight w:val="none"/>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jc w:val="center"/>
              </w:trPr>
              <w:tc>
                <w:tcPr>
                  <w:tcW w:w="709" w:type="dxa"/>
                  <w:vMerge w:val="continue"/>
                  <w:tcBorders>
                    <w:tl2br w:val="nil"/>
                    <w:tr2bl w:val="nil"/>
                  </w:tcBorders>
                  <w:tcMar>
                    <w:top w:w="28" w:type="dxa"/>
                    <w:left w:w="51" w:type="dxa"/>
                    <w:bottom w:w="28" w:type="dxa"/>
                    <w:right w:w="51" w:type="dxa"/>
                  </w:tcMar>
                  <w:vAlign w:val="center"/>
                </w:tcPr>
                <w:p>
                  <w:pPr>
                    <w:pStyle w:val="117"/>
                    <w:ind w:firstLine="0" w:firstLineChars="0"/>
                    <w:rPr>
                      <w:color w:val="auto"/>
                      <w:highlight w:val="none"/>
                    </w:rPr>
                  </w:pPr>
                </w:p>
              </w:tc>
              <w:tc>
                <w:tcPr>
                  <w:tcW w:w="470" w:type="dxa"/>
                  <w:vMerge w:val="continue"/>
                  <w:tcBorders>
                    <w:tl2br w:val="nil"/>
                    <w:tr2bl w:val="nil"/>
                  </w:tcBorders>
                  <w:tcMar>
                    <w:top w:w="28" w:type="dxa"/>
                    <w:left w:w="51" w:type="dxa"/>
                    <w:bottom w:w="28" w:type="dxa"/>
                    <w:right w:w="51" w:type="dxa"/>
                  </w:tcMar>
                  <w:vAlign w:val="center"/>
                </w:tcPr>
                <w:p>
                  <w:pPr>
                    <w:pStyle w:val="117"/>
                    <w:ind w:firstLine="0" w:firstLineChars="0"/>
                    <w:rPr>
                      <w:color w:val="auto"/>
                      <w:highlight w:val="none"/>
                    </w:rPr>
                  </w:pPr>
                </w:p>
              </w:tc>
              <w:tc>
                <w:tcPr>
                  <w:tcW w:w="394" w:type="dxa"/>
                  <w:vMerge w:val="continue"/>
                  <w:tcBorders>
                    <w:tl2br w:val="nil"/>
                    <w:tr2bl w:val="nil"/>
                  </w:tcBorders>
                  <w:tcMar>
                    <w:top w:w="28" w:type="dxa"/>
                    <w:left w:w="51" w:type="dxa"/>
                    <w:bottom w:w="28" w:type="dxa"/>
                    <w:right w:w="51" w:type="dxa"/>
                  </w:tcMar>
                  <w:vAlign w:val="center"/>
                </w:tcPr>
                <w:p>
                  <w:pPr>
                    <w:pStyle w:val="117"/>
                    <w:ind w:firstLine="0" w:firstLineChars="0"/>
                    <w:rPr>
                      <w:color w:val="auto"/>
                      <w:highlight w:val="none"/>
                    </w:rPr>
                  </w:pPr>
                </w:p>
              </w:tc>
              <w:tc>
                <w:tcPr>
                  <w:tcW w:w="301" w:type="dxa"/>
                  <w:tcBorders>
                    <w:tl2br w:val="nil"/>
                    <w:tr2bl w:val="nil"/>
                  </w:tcBorders>
                  <w:tcMar>
                    <w:top w:w="28" w:type="dxa"/>
                    <w:left w:w="51" w:type="dxa"/>
                    <w:bottom w:w="28" w:type="dxa"/>
                    <w:right w:w="51" w:type="dxa"/>
                  </w:tcMar>
                  <w:vAlign w:val="center"/>
                </w:tcPr>
                <w:p>
                  <w:pPr>
                    <w:pStyle w:val="117"/>
                    <w:ind w:firstLine="0" w:firstLineChars="0"/>
                    <w:rPr>
                      <w:color w:val="auto"/>
                      <w:highlight w:val="none"/>
                    </w:rPr>
                  </w:pPr>
                </w:p>
              </w:tc>
              <w:tc>
                <w:tcPr>
                  <w:tcW w:w="2585" w:type="dxa"/>
                  <w:tcBorders>
                    <w:tl2br w:val="nil"/>
                    <w:tr2bl w:val="nil"/>
                  </w:tcBorders>
                  <w:tcMar>
                    <w:top w:w="28" w:type="dxa"/>
                    <w:left w:w="51" w:type="dxa"/>
                    <w:bottom w:w="28" w:type="dxa"/>
                    <w:right w:w="51" w:type="dxa"/>
                  </w:tcMar>
                  <w:vAlign w:val="center"/>
                </w:tcPr>
                <w:p>
                  <w:pPr>
                    <w:pStyle w:val="117"/>
                    <w:ind w:firstLine="0" w:firstLineChars="0"/>
                    <w:rPr>
                      <w:color w:val="auto"/>
                      <w:highlight w:val="none"/>
                    </w:rPr>
                  </w:pPr>
                </w:p>
              </w:tc>
              <w:tc>
                <w:tcPr>
                  <w:tcW w:w="1704" w:type="dxa"/>
                  <w:tcBorders>
                    <w:tl2br w:val="nil"/>
                    <w:tr2bl w:val="nil"/>
                  </w:tcBorders>
                  <w:tcMar>
                    <w:top w:w="28" w:type="dxa"/>
                    <w:left w:w="51" w:type="dxa"/>
                    <w:bottom w:w="28" w:type="dxa"/>
                    <w:right w:w="51" w:type="dxa"/>
                  </w:tcMar>
                  <w:vAlign w:val="center"/>
                </w:tcPr>
                <w:p>
                  <w:pPr>
                    <w:pStyle w:val="117"/>
                    <w:ind w:firstLine="0" w:firstLineChars="0"/>
                    <w:rPr>
                      <w:color w:val="auto"/>
                      <w:highlight w:val="none"/>
                    </w:rPr>
                  </w:pPr>
                </w:p>
              </w:tc>
              <w:tc>
                <w:tcPr>
                  <w:tcW w:w="385" w:type="dxa"/>
                  <w:tcBorders>
                    <w:tl2br w:val="nil"/>
                    <w:tr2bl w:val="nil"/>
                  </w:tcBorders>
                  <w:tcMar>
                    <w:top w:w="28" w:type="dxa"/>
                    <w:left w:w="51" w:type="dxa"/>
                    <w:bottom w:w="28" w:type="dxa"/>
                    <w:right w:w="51" w:type="dxa"/>
                  </w:tcMar>
                  <w:vAlign w:val="center"/>
                </w:tcPr>
                <w:p>
                  <w:pPr>
                    <w:pStyle w:val="117"/>
                    <w:ind w:firstLine="0" w:firstLineChars="0"/>
                    <w:rPr>
                      <w:color w:val="auto"/>
                      <w:highlight w:val="none"/>
                    </w:rPr>
                  </w:pPr>
                </w:p>
              </w:tc>
            </w:tr>
          </w:tbl>
          <w:p>
            <w:pPr>
              <w:pStyle w:val="113"/>
              <w:jc w:val="both"/>
              <w:rPr>
                <w:color w:val="auto"/>
                <w:spacing w:val="3"/>
                <w:position w:val="17"/>
                <w:sz w:val="24"/>
                <w:szCs w:val="24"/>
                <w:highlight w:val="none"/>
              </w:rPr>
            </w:pPr>
            <w:r>
              <w:rPr>
                <w:color w:val="auto"/>
                <w:highlight w:val="none"/>
              </w:rPr>
              <w:t>由上述分析可知，项目建设符合</w:t>
            </w:r>
            <w:r>
              <w:rPr>
                <w:rFonts w:hint="eastAsia"/>
                <w:color w:val="auto"/>
                <w:highlight w:val="none"/>
              </w:rPr>
              <w:t>长乐区重点管控单元2生态环境总体准入要求</w:t>
            </w:r>
            <w:r>
              <w:rPr>
                <w:color w:val="auto"/>
                <w:highlight w:val="none"/>
              </w:rPr>
              <w:t>。</w:t>
            </w:r>
          </w:p>
        </w:tc>
      </w:tr>
    </w:tbl>
    <w:p>
      <w:pPr>
        <w:ind w:firstLine="480"/>
        <w:rPr>
          <w:snapToGrid w:val="0"/>
          <w:color w:val="auto"/>
          <w:highlight w:val="none"/>
        </w:rPr>
        <w:sectPr>
          <w:pgSz w:w="11906" w:h="16838"/>
          <w:pgMar w:top="1418" w:right="1418" w:bottom="1418" w:left="1418" w:header="851" w:footer="851" w:gutter="0"/>
          <w:pgBorders>
            <w:top w:val="none" w:sz="0" w:space="0"/>
            <w:left w:val="none" w:sz="0" w:space="0"/>
            <w:bottom w:val="none" w:sz="0" w:space="0"/>
            <w:right w:val="none" w:sz="0" w:space="0"/>
          </w:pgBorders>
          <w:cols w:space="720" w:num="1"/>
          <w:docGrid w:linePitch="326" w:charSpace="0"/>
        </w:sectPr>
      </w:pPr>
      <w:r>
        <w:rPr>
          <w:snapToGrid w:val="0"/>
          <w:color w:val="auto"/>
          <w:highlight w:val="none"/>
        </w:rPr>
        <w:br w:type="page"/>
      </w:r>
    </w:p>
    <w:p>
      <w:pPr>
        <w:pStyle w:val="2"/>
        <w:ind w:left="0"/>
        <w:rPr>
          <w:color w:val="auto"/>
          <w:szCs w:val="30"/>
          <w:highlight w:val="none"/>
        </w:rPr>
      </w:pPr>
      <w:r>
        <w:rPr>
          <w:snapToGrid w:val="0"/>
          <w:color w:val="auto"/>
          <w:highlight w:val="none"/>
        </w:rPr>
        <w:t>建设项目工程分析</w:t>
      </w:r>
    </w:p>
    <w:tbl>
      <w:tblPr>
        <w:tblStyle w:val="49"/>
        <w:tblW w:w="912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577"/>
        <w:gridCol w:w="854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954" w:hRule="atLeast"/>
          <w:jc w:val="center"/>
        </w:trPr>
        <w:tc>
          <w:tcPr>
            <w:tcW w:w="577" w:type="dxa"/>
            <w:vAlign w:val="center"/>
          </w:tcPr>
          <w:p>
            <w:pPr>
              <w:pStyle w:val="113"/>
              <w:rPr>
                <w:color w:val="auto"/>
                <w:highlight w:val="none"/>
              </w:rPr>
            </w:pPr>
            <w:r>
              <w:rPr>
                <w:color w:val="auto"/>
                <w:highlight w:val="none"/>
              </w:rPr>
              <w:t>建设内容</w:t>
            </w:r>
          </w:p>
        </w:tc>
        <w:tc>
          <w:tcPr>
            <w:tcW w:w="8545" w:type="dxa"/>
            <w:vAlign w:val="center"/>
          </w:tcPr>
          <w:p>
            <w:pPr>
              <w:pStyle w:val="3"/>
              <w:rPr>
                <w:bCs w:val="0"/>
                <w:color w:val="auto"/>
                <w:kern w:val="2"/>
                <w:szCs w:val="30"/>
                <w:highlight w:val="none"/>
              </w:rPr>
            </w:pPr>
            <w:r>
              <w:rPr>
                <w:color w:val="auto"/>
                <w:highlight w:val="none"/>
              </w:rPr>
              <w:t>2.1项目基本情况</w:t>
            </w:r>
          </w:p>
          <w:p>
            <w:pPr>
              <w:pStyle w:val="4"/>
              <w:rPr>
                <w:color w:val="auto"/>
                <w:highlight w:val="none"/>
              </w:rPr>
            </w:pPr>
            <w:r>
              <w:rPr>
                <w:color w:val="auto"/>
                <w:highlight w:val="none"/>
              </w:rPr>
              <w:t>2.1.1项目由来</w:t>
            </w:r>
          </w:p>
          <w:p>
            <w:pPr>
              <w:ind w:firstLine="480"/>
              <w:rPr>
                <w:color w:val="auto"/>
                <w:highlight w:val="none"/>
              </w:rPr>
            </w:pPr>
            <w:r>
              <w:rPr>
                <w:rFonts w:hint="eastAsia"/>
                <w:color w:val="auto"/>
                <w:highlight w:val="none"/>
              </w:rPr>
              <w:t>福建凯航再生资源有限责任公司成立于2017年4月，主要从事废不锈钢、废钢铁及废旧金属设备的拆解、加工与销售，以及再生资源回收利用等业务，原料来源于周边钢企自产废钢及社会采购的加工废钢、折旧废钢</w:t>
            </w:r>
            <w:r>
              <w:rPr>
                <w:rFonts w:hint="eastAsia"/>
                <w:color w:val="auto"/>
                <w:highlight w:val="none"/>
                <w:lang w:eastAsia="zh-CN"/>
              </w:rPr>
              <w:t>，目前公司设有两个生产厂区，分别为北侧地块一与南侧地块二</w:t>
            </w:r>
            <w:r>
              <w:rPr>
                <w:rFonts w:hint="eastAsia"/>
                <w:color w:val="auto"/>
                <w:highlight w:val="none"/>
              </w:rPr>
              <w:t>。</w:t>
            </w:r>
          </w:p>
          <w:p>
            <w:pPr>
              <w:ind w:firstLine="480"/>
              <w:rPr>
                <w:color w:val="auto"/>
                <w:highlight w:val="none"/>
              </w:rPr>
            </w:pPr>
            <w:r>
              <w:rPr>
                <w:rFonts w:hint="eastAsia"/>
                <w:color w:val="auto"/>
                <w:highlight w:val="none"/>
              </w:rPr>
              <w:t>北侧地块一原为福建吴航不锈钢制品有限公司废钢加工生产线项目所在地。</w:t>
            </w:r>
            <w:r>
              <w:rPr>
                <w:rFonts w:hint="eastAsia"/>
                <w:color w:val="auto"/>
                <w:highlight w:val="none"/>
                <w:lang w:val="en-US" w:eastAsia="zh-CN"/>
              </w:rPr>
              <w:t>该项目于</w:t>
            </w:r>
            <w:r>
              <w:rPr>
                <w:rFonts w:hint="eastAsia"/>
                <w:color w:val="auto"/>
                <w:highlight w:val="none"/>
              </w:rPr>
              <w:t>2013年2月</w:t>
            </w:r>
            <w:r>
              <w:rPr>
                <w:rFonts w:hint="eastAsia"/>
                <w:color w:val="auto"/>
                <w:highlight w:val="none"/>
                <w:lang w:val="en-US" w:eastAsia="zh-CN"/>
              </w:rPr>
              <w:t>取得</w:t>
            </w:r>
            <w:r>
              <w:rPr>
                <w:rFonts w:hint="eastAsia"/>
                <w:color w:val="auto"/>
                <w:highlight w:val="none"/>
              </w:rPr>
              <w:t>原长乐区环境保护局批复《福建吴航不锈钢制品有限公司废钢加工生产线项目环境影响报告表》（长环评</w:t>
            </w:r>
            <w:r>
              <w:rPr>
                <w:rFonts w:hint="eastAsia"/>
                <w:color w:val="auto"/>
                <w:highlight w:val="none"/>
                <w:lang w:val="en-US" w:eastAsia="zh-CN"/>
              </w:rPr>
              <w:t>[</w:t>
            </w:r>
            <w:r>
              <w:rPr>
                <w:rFonts w:hint="eastAsia"/>
                <w:color w:val="auto"/>
                <w:highlight w:val="none"/>
              </w:rPr>
              <w:t>2013</w:t>
            </w:r>
            <w:r>
              <w:rPr>
                <w:rFonts w:hint="eastAsia"/>
                <w:color w:val="auto"/>
                <w:highlight w:val="none"/>
                <w:lang w:val="en-US" w:eastAsia="zh-CN"/>
              </w:rPr>
              <w:t>[</w:t>
            </w:r>
            <w:r>
              <w:rPr>
                <w:rFonts w:hint="eastAsia"/>
                <w:color w:val="auto"/>
                <w:highlight w:val="none"/>
              </w:rPr>
              <w:t>23号）。位于长乐区营前街道后岐村（营前工业区），占地55763.3</w:t>
            </w:r>
            <w:r>
              <w:rPr>
                <w:rFonts w:hint="eastAsia"/>
                <w:color w:val="auto"/>
                <w:highlight w:val="none"/>
                <w:lang w:val="en-US" w:eastAsia="zh-CN"/>
              </w:rPr>
              <w:t>m</w:t>
            </w:r>
            <w:r>
              <w:rPr>
                <w:rFonts w:hint="eastAsia"/>
                <w:color w:val="auto"/>
                <w:highlight w:val="none"/>
                <w:vertAlign w:val="superscript"/>
                <w:lang w:val="en-US" w:eastAsia="zh-CN"/>
              </w:rPr>
              <w:t>2</w:t>
            </w:r>
            <w:r>
              <w:rPr>
                <w:rFonts w:hint="eastAsia"/>
                <w:color w:val="auto"/>
                <w:highlight w:val="none"/>
              </w:rPr>
              <w:t>平方米，设计年处理废钢80万吨，并于2017年9月通过竣工环保验收（长环测</w:t>
            </w:r>
            <w:r>
              <w:rPr>
                <w:rFonts w:hint="eastAsia"/>
                <w:color w:val="auto"/>
                <w:highlight w:val="none"/>
                <w:lang w:val="en-US" w:eastAsia="zh-CN"/>
              </w:rPr>
              <w:t>[</w:t>
            </w:r>
            <w:r>
              <w:rPr>
                <w:rFonts w:hint="eastAsia"/>
                <w:color w:val="auto"/>
                <w:highlight w:val="none"/>
              </w:rPr>
              <w:t>2017</w:t>
            </w:r>
            <w:r>
              <w:rPr>
                <w:rFonts w:hint="eastAsia"/>
                <w:color w:val="auto"/>
                <w:highlight w:val="none"/>
                <w:lang w:val="en-US" w:eastAsia="zh-CN"/>
              </w:rPr>
              <w:t>]</w:t>
            </w:r>
            <w:r>
              <w:rPr>
                <w:rFonts w:hint="eastAsia"/>
                <w:color w:val="auto"/>
                <w:highlight w:val="none"/>
              </w:rPr>
              <w:t>YS065号）。2017年，福建凯航再生资源有限责任公司租赁福建吴航不锈钢制品有限公司</w:t>
            </w:r>
            <w:r>
              <w:rPr>
                <w:rFonts w:hint="eastAsia"/>
                <w:color w:val="auto"/>
                <w:highlight w:val="none"/>
                <w:lang w:val="en-US" w:eastAsia="zh-CN"/>
              </w:rPr>
              <w:t>该</w:t>
            </w:r>
            <w:r>
              <w:rPr>
                <w:rFonts w:hint="eastAsia"/>
                <w:color w:val="auto"/>
                <w:highlight w:val="none"/>
              </w:rPr>
              <w:t>厂房并</w:t>
            </w:r>
            <w:r>
              <w:rPr>
                <w:rFonts w:hint="eastAsia"/>
                <w:color w:val="auto"/>
                <w:highlight w:val="none"/>
                <w:lang w:val="en-US" w:eastAsia="zh-CN"/>
              </w:rPr>
              <w:t>收购</w:t>
            </w:r>
            <w:r>
              <w:rPr>
                <w:rFonts w:hint="eastAsia"/>
                <w:color w:val="auto"/>
                <w:highlight w:val="none"/>
              </w:rPr>
              <w:t>其年产80万吨废不锈钢加工生产线、厂房及附属设施，同时向原福州市长乐市环境保护局申请沿用原项目的环评验收意见，并于同年12月获得同意。</w:t>
            </w:r>
          </w:p>
          <w:p>
            <w:pPr>
              <w:ind w:firstLine="480"/>
              <w:rPr>
                <w:rFonts w:hint="eastAsia"/>
                <w:color w:val="auto"/>
                <w:highlight w:val="none"/>
              </w:rPr>
            </w:pPr>
            <w:r>
              <w:rPr>
                <w:rFonts w:hint="eastAsia"/>
                <w:color w:val="auto"/>
                <w:highlight w:val="none"/>
                <w:lang w:val="en-US" w:eastAsia="zh-CN"/>
              </w:rPr>
              <w:t>涉密删除！</w:t>
            </w:r>
            <w:r>
              <w:rPr>
                <w:rFonts w:hint="eastAsia"/>
                <w:color w:val="auto"/>
                <w:highlight w:val="none"/>
              </w:rPr>
              <w:t>。</w:t>
            </w:r>
          </w:p>
          <w:p>
            <w:pPr>
              <w:ind w:firstLine="480"/>
              <w:rPr>
                <w:color w:val="auto"/>
                <w:szCs w:val="24"/>
                <w:highlight w:val="none"/>
              </w:rPr>
            </w:pPr>
            <w:r>
              <w:rPr>
                <w:color w:val="auto"/>
                <w:szCs w:val="24"/>
                <w:highlight w:val="none"/>
              </w:rPr>
              <w:t>依据《中华人民共和国环境保护法》《建设项目环境保护管理条例》等法规要求，结合《建设项目环境影响评价分类管理名录》（2021版）关于</w:t>
            </w:r>
            <w:r>
              <w:rPr>
                <w:rFonts w:hint="eastAsia"/>
                <w:color w:val="auto"/>
                <w:szCs w:val="24"/>
                <w:highlight w:val="none"/>
              </w:rPr>
              <w:t>“85、金属废料和碎屑加工处理421；非金属废料和碎屑加工处理422（421和422均不含原料为危险废物的，均不含仅分拣、破碎的）”中“废弃电器电子产品、废机动车、废电机、废电线电缆、废钢、废铁、金属和金属化合物矿灰及残渣、有色金属废料与碎屑、废塑料、废轮胎、废船、含水洗工艺的其他废料和碎屑加工处理（农业生产产生的废旧秧盘、薄膜破碎和清洗工艺的除外）”</w:t>
            </w:r>
            <w:r>
              <w:rPr>
                <w:color w:val="auto"/>
                <w:szCs w:val="24"/>
                <w:highlight w:val="none"/>
              </w:rPr>
              <w:t>，本项目须编制环境影响报告表。本环评单位接受委托后，严格遵循《建设项目环境影响报告表编制技术指南（污染影响类）（试行）》要求，组织技术人员开展现场调查、资料收集与分析论证工作，最终形成本报告表。</w:t>
            </w:r>
          </w:p>
          <w:p>
            <w:pPr>
              <w:adjustRightInd w:val="0"/>
              <w:snapToGrid w:val="0"/>
              <w:spacing w:line="240" w:lineRule="auto"/>
              <w:ind w:firstLine="0" w:firstLineChars="0"/>
              <w:jc w:val="center"/>
              <w:rPr>
                <w:b/>
                <w:bCs/>
                <w:color w:val="auto"/>
                <w:szCs w:val="28"/>
                <w:highlight w:val="none"/>
              </w:rPr>
            </w:pPr>
            <w:r>
              <w:rPr>
                <w:b/>
                <w:bCs/>
                <w:color w:val="auto"/>
                <w:szCs w:val="28"/>
                <w:highlight w:val="none"/>
              </w:rPr>
              <w:t>表2.1-1 建设项目环境影响评价分类管理名录(摘录)</w:t>
            </w:r>
          </w:p>
          <w:tbl>
            <w:tblPr>
              <w:tblStyle w:val="49"/>
              <w:tblW w:w="848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76"/>
              <w:gridCol w:w="2290"/>
              <w:gridCol w:w="2150"/>
              <w:gridCol w:w="2598"/>
              <w:gridCol w:w="9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66" w:type="dxa"/>
                  <w:gridSpan w:val="2"/>
                  <w:tcBorders>
                    <w:tl2br w:val="single" w:color="auto" w:sz="8" w:space="0"/>
                  </w:tcBorders>
                  <w:shd w:val="clear" w:color="auto" w:fill="auto"/>
                </w:tcPr>
                <w:p>
                  <w:pPr>
                    <w:adjustRightInd w:val="0"/>
                    <w:snapToGrid w:val="0"/>
                    <w:spacing w:line="240" w:lineRule="auto"/>
                    <w:ind w:firstLine="0" w:firstLineChars="0"/>
                    <w:jc w:val="center"/>
                    <w:textAlignment w:val="baseline"/>
                    <w:rPr>
                      <w:color w:val="auto"/>
                      <w:sz w:val="21"/>
                      <w:szCs w:val="21"/>
                      <w:highlight w:val="none"/>
                    </w:rPr>
                  </w:pPr>
                  <w:r>
                    <w:rPr>
                      <w:color w:val="auto"/>
                      <w:sz w:val="21"/>
                      <w:szCs w:val="21"/>
                      <w:highlight w:val="none"/>
                    </w:rPr>
                    <w:t xml:space="preserve">            环评类别</w:t>
                  </w:r>
                </w:p>
                <w:p>
                  <w:pPr>
                    <w:adjustRightInd w:val="0"/>
                    <w:snapToGrid w:val="0"/>
                    <w:spacing w:line="240" w:lineRule="auto"/>
                    <w:ind w:firstLine="0" w:firstLineChars="0"/>
                    <w:textAlignment w:val="baseline"/>
                    <w:rPr>
                      <w:color w:val="auto"/>
                      <w:sz w:val="21"/>
                      <w:szCs w:val="21"/>
                      <w:highlight w:val="none"/>
                    </w:rPr>
                  </w:pPr>
                  <w:r>
                    <w:rPr>
                      <w:color w:val="auto"/>
                      <w:sz w:val="21"/>
                      <w:szCs w:val="21"/>
                      <w:highlight w:val="none"/>
                    </w:rPr>
                    <w:t>项目类别</w:t>
                  </w:r>
                </w:p>
              </w:tc>
              <w:tc>
                <w:tcPr>
                  <w:tcW w:w="2150" w:type="dxa"/>
                  <w:shd w:val="clear" w:color="auto" w:fill="auto"/>
                  <w:vAlign w:val="center"/>
                </w:tcPr>
                <w:p>
                  <w:pPr>
                    <w:adjustRightInd w:val="0"/>
                    <w:snapToGrid w:val="0"/>
                    <w:spacing w:line="240" w:lineRule="auto"/>
                    <w:ind w:firstLine="0" w:firstLineChars="0"/>
                    <w:jc w:val="center"/>
                    <w:textAlignment w:val="baseline"/>
                    <w:rPr>
                      <w:color w:val="auto"/>
                      <w:sz w:val="21"/>
                      <w:szCs w:val="21"/>
                      <w:highlight w:val="none"/>
                    </w:rPr>
                  </w:pPr>
                  <w:r>
                    <w:rPr>
                      <w:color w:val="auto"/>
                      <w:sz w:val="21"/>
                      <w:szCs w:val="21"/>
                      <w:highlight w:val="none"/>
                    </w:rPr>
                    <w:t>报告书</w:t>
                  </w:r>
                </w:p>
              </w:tc>
              <w:tc>
                <w:tcPr>
                  <w:tcW w:w="2598" w:type="dxa"/>
                  <w:shd w:val="clear" w:color="auto" w:fill="D7D7D7"/>
                  <w:vAlign w:val="center"/>
                </w:tcPr>
                <w:p>
                  <w:pPr>
                    <w:adjustRightInd w:val="0"/>
                    <w:snapToGrid w:val="0"/>
                    <w:spacing w:line="240" w:lineRule="auto"/>
                    <w:ind w:firstLine="0" w:firstLineChars="0"/>
                    <w:jc w:val="center"/>
                    <w:textAlignment w:val="baseline"/>
                    <w:rPr>
                      <w:color w:val="auto"/>
                      <w:sz w:val="21"/>
                      <w:szCs w:val="21"/>
                      <w:highlight w:val="none"/>
                    </w:rPr>
                  </w:pPr>
                  <w:r>
                    <w:rPr>
                      <w:color w:val="auto"/>
                      <w:sz w:val="21"/>
                      <w:szCs w:val="21"/>
                      <w:highlight w:val="none"/>
                    </w:rPr>
                    <w:t>报告表</w:t>
                  </w:r>
                </w:p>
              </w:tc>
              <w:tc>
                <w:tcPr>
                  <w:tcW w:w="972" w:type="dxa"/>
                  <w:vAlign w:val="center"/>
                </w:tcPr>
                <w:p>
                  <w:pPr>
                    <w:adjustRightInd w:val="0"/>
                    <w:snapToGrid w:val="0"/>
                    <w:spacing w:line="240" w:lineRule="auto"/>
                    <w:ind w:firstLine="0" w:firstLineChars="0"/>
                    <w:jc w:val="center"/>
                    <w:textAlignment w:val="baseline"/>
                    <w:rPr>
                      <w:color w:val="auto"/>
                      <w:sz w:val="21"/>
                      <w:szCs w:val="21"/>
                      <w:highlight w:val="none"/>
                    </w:rPr>
                  </w:pPr>
                  <w:r>
                    <w:rPr>
                      <w:color w:val="auto"/>
                      <w:sz w:val="21"/>
                      <w:szCs w:val="21"/>
                      <w:highlight w:val="none"/>
                    </w:rPr>
                    <w:t>登记表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86" w:type="dxa"/>
                  <w:gridSpan w:val="5"/>
                  <w:shd w:val="clear" w:color="auto" w:fill="D7D7D7"/>
                </w:tcPr>
                <w:p>
                  <w:pPr>
                    <w:adjustRightInd w:val="0"/>
                    <w:snapToGrid w:val="0"/>
                    <w:spacing w:line="240" w:lineRule="auto"/>
                    <w:ind w:firstLine="0" w:firstLineChars="0"/>
                    <w:textAlignment w:val="baseline"/>
                    <w:rPr>
                      <w:color w:val="auto"/>
                      <w:sz w:val="21"/>
                      <w:szCs w:val="21"/>
                      <w:highlight w:val="none"/>
                    </w:rPr>
                  </w:pPr>
                  <w:r>
                    <w:rPr>
                      <w:rFonts w:hint="eastAsia"/>
                      <w:color w:val="auto"/>
                      <w:sz w:val="21"/>
                      <w:szCs w:val="21"/>
                      <w:highlight w:val="none"/>
                    </w:rPr>
                    <w:t>三</w:t>
                  </w:r>
                  <w:r>
                    <w:rPr>
                      <w:color w:val="auto"/>
                      <w:sz w:val="21"/>
                      <w:szCs w:val="21"/>
                      <w:highlight w:val="none"/>
                    </w:rPr>
                    <w:t>十</w:t>
                  </w:r>
                  <w:r>
                    <w:rPr>
                      <w:rFonts w:hint="eastAsia"/>
                      <w:color w:val="auto"/>
                      <w:sz w:val="21"/>
                      <w:szCs w:val="21"/>
                      <w:highlight w:val="none"/>
                    </w:rPr>
                    <w:t>九</w:t>
                  </w:r>
                  <w:r>
                    <w:rPr>
                      <w:color w:val="auto"/>
                      <w:sz w:val="21"/>
                      <w:szCs w:val="21"/>
                      <w:highlight w:val="none"/>
                    </w:rPr>
                    <w:t>、</w:t>
                  </w:r>
                  <w:r>
                    <w:rPr>
                      <w:rFonts w:hint="eastAsia"/>
                      <w:color w:val="auto"/>
                      <w:sz w:val="21"/>
                      <w:szCs w:val="21"/>
                      <w:highlight w:val="none"/>
                    </w:rPr>
                    <w:t>废弃资源综合利用业42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76" w:type="dxa"/>
                  <w:shd w:val="clear" w:color="auto" w:fill="auto"/>
                  <w:vAlign w:val="center"/>
                </w:tcPr>
                <w:p>
                  <w:pPr>
                    <w:adjustRightInd w:val="0"/>
                    <w:snapToGrid w:val="0"/>
                    <w:spacing w:line="240" w:lineRule="auto"/>
                    <w:ind w:firstLine="0" w:firstLineChars="0"/>
                    <w:jc w:val="center"/>
                    <w:textAlignment w:val="baseline"/>
                    <w:rPr>
                      <w:color w:val="auto"/>
                      <w:sz w:val="21"/>
                      <w:szCs w:val="21"/>
                      <w:highlight w:val="none"/>
                    </w:rPr>
                  </w:pPr>
                  <w:r>
                    <w:rPr>
                      <w:rFonts w:hint="eastAsia"/>
                      <w:color w:val="auto"/>
                      <w:sz w:val="21"/>
                      <w:szCs w:val="21"/>
                      <w:highlight w:val="none"/>
                    </w:rPr>
                    <w:t>85</w:t>
                  </w:r>
                </w:p>
              </w:tc>
              <w:tc>
                <w:tcPr>
                  <w:tcW w:w="2290" w:type="dxa"/>
                  <w:shd w:val="clear" w:color="auto" w:fill="auto"/>
                  <w:vAlign w:val="center"/>
                </w:tcPr>
                <w:p>
                  <w:pPr>
                    <w:adjustRightInd w:val="0"/>
                    <w:snapToGrid w:val="0"/>
                    <w:spacing w:line="240" w:lineRule="auto"/>
                    <w:ind w:firstLine="0" w:firstLineChars="0"/>
                    <w:jc w:val="center"/>
                    <w:textAlignment w:val="baseline"/>
                    <w:rPr>
                      <w:color w:val="auto"/>
                      <w:sz w:val="21"/>
                      <w:szCs w:val="21"/>
                      <w:highlight w:val="none"/>
                    </w:rPr>
                  </w:pPr>
                  <w:r>
                    <w:rPr>
                      <w:rFonts w:hint="eastAsia"/>
                      <w:color w:val="auto"/>
                      <w:sz w:val="21"/>
                      <w:szCs w:val="21"/>
                      <w:highlight w:val="none"/>
                    </w:rPr>
                    <w:t>85、金属废料和碎屑加工处理421；非金属废料和碎屑加工处理422(421和422均不含原料为危险废物的，均不含仅分拣、破碎的)</w:t>
                  </w:r>
                </w:p>
              </w:tc>
              <w:tc>
                <w:tcPr>
                  <w:tcW w:w="2150" w:type="dxa"/>
                  <w:shd w:val="clear" w:color="auto" w:fill="auto"/>
                  <w:vAlign w:val="center"/>
                </w:tcPr>
                <w:p>
                  <w:pPr>
                    <w:adjustRightInd w:val="0"/>
                    <w:snapToGrid w:val="0"/>
                    <w:spacing w:line="240" w:lineRule="auto"/>
                    <w:ind w:firstLine="0" w:firstLineChars="0"/>
                    <w:jc w:val="center"/>
                    <w:textAlignment w:val="baseline"/>
                    <w:rPr>
                      <w:color w:val="auto"/>
                      <w:sz w:val="21"/>
                      <w:szCs w:val="21"/>
                      <w:highlight w:val="none"/>
                    </w:rPr>
                  </w:pPr>
                  <w:r>
                    <w:rPr>
                      <w:rFonts w:hint="eastAsia"/>
                      <w:color w:val="auto"/>
                      <w:sz w:val="21"/>
                      <w:szCs w:val="21"/>
                      <w:highlight w:val="none"/>
                    </w:rPr>
                    <w:t>废电池、废油加工处理</w:t>
                  </w:r>
                </w:p>
              </w:tc>
              <w:tc>
                <w:tcPr>
                  <w:tcW w:w="2598" w:type="dxa"/>
                  <w:shd w:val="clear" w:color="auto" w:fill="D7D7D7"/>
                  <w:vAlign w:val="center"/>
                </w:tcPr>
                <w:p>
                  <w:pPr>
                    <w:adjustRightInd w:val="0"/>
                    <w:snapToGrid w:val="0"/>
                    <w:spacing w:line="240" w:lineRule="auto"/>
                    <w:ind w:firstLine="0" w:firstLineChars="0"/>
                    <w:jc w:val="center"/>
                    <w:textAlignment w:val="baseline"/>
                    <w:rPr>
                      <w:color w:val="auto"/>
                      <w:sz w:val="21"/>
                      <w:szCs w:val="21"/>
                      <w:highlight w:val="none"/>
                    </w:rPr>
                  </w:pPr>
                  <w:r>
                    <w:rPr>
                      <w:rFonts w:hint="eastAsia"/>
                      <w:color w:val="auto"/>
                      <w:sz w:val="21"/>
                      <w:szCs w:val="21"/>
                      <w:highlight w:val="none"/>
                    </w:rPr>
                    <w:t>废弃电器电子产品、废机动车、废电机、废电线电缆、废钢、废铁、金属和金属化合物矿灰及残渣、有色金属废料与碎屑、废塑料、废轮胎、废船、含水洗工艺的其他废料和碎屑加工处理（农业生产产生的废旧秧盘、薄膜破碎和清洗工艺的除外）</w:t>
                  </w:r>
                </w:p>
              </w:tc>
              <w:tc>
                <w:tcPr>
                  <w:tcW w:w="972" w:type="dxa"/>
                  <w:vAlign w:val="center"/>
                </w:tcPr>
                <w:p>
                  <w:pPr>
                    <w:adjustRightInd w:val="0"/>
                    <w:snapToGrid w:val="0"/>
                    <w:spacing w:line="240" w:lineRule="auto"/>
                    <w:ind w:firstLine="0" w:firstLineChars="0"/>
                    <w:jc w:val="center"/>
                    <w:textAlignment w:val="baseline"/>
                    <w:rPr>
                      <w:color w:val="auto"/>
                      <w:sz w:val="21"/>
                      <w:szCs w:val="21"/>
                      <w:highlight w:val="none"/>
                    </w:rPr>
                  </w:pPr>
                  <w:r>
                    <w:rPr>
                      <w:color w:val="auto"/>
                      <w:sz w:val="21"/>
                      <w:szCs w:val="21"/>
                      <w:highlight w:val="none"/>
                    </w:rPr>
                    <w:t>/</w:t>
                  </w:r>
                </w:p>
              </w:tc>
            </w:tr>
          </w:tbl>
          <w:p>
            <w:pPr>
              <w:pStyle w:val="4"/>
              <w:rPr>
                <w:color w:val="auto"/>
                <w:highlight w:val="none"/>
              </w:rPr>
            </w:pPr>
            <w:r>
              <w:rPr>
                <w:color w:val="auto"/>
                <w:highlight w:val="none"/>
              </w:rPr>
              <w:t>2.1.2项目概况</w:t>
            </w:r>
          </w:p>
          <w:p>
            <w:pPr>
              <w:ind w:firstLine="480"/>
              <w:rPr>
                <w:color w:val="auto"/>
                <w:highlight w:val="none"/>
              </w:rPr>
            </w:pPr>
            <w:r>
              <w:rPr>
                <w:color w:val="auto"/>
                <w:highlight w:val="none"/>
              </w:rPr>
              <w:t>（1）项目名称：</w:t>
            </w:r>
            <w:r>
              <w:rPr>
                <w:rFonts w:hint="eastAsia"/>
                <w:color w:val="auto"/>
                <w:highlight w:val="none"/>
              </w:rPr>
              <w:t>福建凯航再生资源有限责任公司锈蚀废钢加工技改项</w:t>
            </w:r>
            <w:r>
              <w:rPr>
                <w:rFonts w:hint="eastAsia"/>
                <w:color w:val="auto"/>
                <w:sz w:val="24"/>
                <w:szCs w:val="24"/>
                <w:highlight w:val="none"/>
              </w:rPr>
              <w:t>目</w:t>
            </w:r>
          </w:p>
          <w:p>
            <w:pPr>
              <w:ind w:firstLine="480"/>
              <w:rPr>
                <w:color w:val="auto"/>
                <w:highlight w:val="none"/>
              </w:rPr>
            </w:pPr>
            <w:r>
              <w:rPr>
                <w:color w:val="auto"/>
                <w:highlight w:val="none"/>
              </w:rPr>
              <w:t>（2）建设性质：</w:t>
            </w:r>
            <w:r>
              <w:rPr>
                <w:rFonts w:hint="eastAsia"/>
                <w:color w:val="auto"/>
                <w:highlight w:val="none"/>
                <w:lang w:val="en-US" w:eastAsia="zh-CN"/>
              </w:rPr>
              <w:t>改</w:t>
            </w:r>
            <w:r>
              <w:rPr>
                <w:color w:val="auto"/>
                <w:highlight w:val="none"/>
              </w:rPr>
              <w:t>建</w:t>
            </w:r>
          </w:p>
          <w:p>
            <w:pPr>
              <w:ind w:firstLine="480"/>
              <w:rPr>
                <w:color w:val="auto"/>
                <w:highlight w:val="none"/>
              </w:rPr>
            </w:pPr>
            <w:r>
              <w:rPr>
                <w:color w:val="auto"/>
                <w:highlight w:val="none"/>
              </w:rPr>
              <w:t>（3）建设单位：</w:t>
            </w:r>
            <w:r>
              <w:rPr>
                <w:rFonts w:hint="eastAsia"/>
                <w:color w:val="auto"/>
                <w:highlight w:val="none"/>
              </w:rPr>
              <w:t>福建凯航再生资源有限责任公司</w:t>
            </w:r>
          </w:p>
          <w:p>
            <w:pPr>
              <w:ind w:firstLine="480"/>
              <w:rPr>
                <w:color w:val="auto"/>
                <w:kern w:val="0"/>
                <w:highlight w:val="none"/>
              </w:rPr>
            </w:pPr>
            <w:r>
              <w:rPr>
                <w:color w:val="auto"/>
                <w:highlight w:val="none"/>
              </w:rPr>
              <w:t>（4）建设地点：</w:t>
            </w:r>
            <w:r>
              <w:rPr>
                <w:rFonts w:hint="eastAsia"/>
                <w:color w:val="auto"/>
                <w:highlight w:val="none"/>
              </w:rPr>
              <w:t>福州市长乐区营前街道岐头村（福建吴航不锈钢制品有限公司厂区内）</w:t>
            </w:r>
          </w:p>
          <w:p>
            <w:pPr>
              <w:ind w:firstLine="480"/>
              <w:rPr>
                <w:rFonts w:hint="default"/>
                <w:color w:val="auto"/>
                <w:highlight w:val="none"/>
                <w:lang w:val="en-US" w:eastAsia="zh-CN"/>
              </w:rPr>
            </w:pPr>
            <w:r>
              <w:rPr>
                <w:color w:val="auto"/>
                <w:highlight w:val="none"/>
              </w:rPr>
              <w:t>（5）面积：</w:t>
            </w:r>
            <w:r>
              <w:rPr>
                <w:rFonts w:hint="eastAsia"/>
                <w:color w:val="auto"/>
                <w:highlight w:val="none"/>
                <w:lang w:val="en-US" w:eastAsia="zh-CN"/>
              </w:rPr>
              <w:t>新增</w:t>
            </w:r>
            <w:r>
              <w:rPr>
                <w:color w:val="auto"/>
                <w:highlight w:val="none"/>
              </w:rPr>
              <w:t>占地面积</w:t>
            </w:r>
            <w:r>
              <w:rPr>
                <w:rFonts w:hint="eastAsia"/>
                <w:color w:val="auto"/>
                <w:highlight w:val="none"/>
              </w:rPr>
              <w:t>11593</w:t>
            </w:r>
            <w:r>
              <w:rPr>
                <w:color w:val="auto"/>
                <w:highlight w:val="none"/>
              </w:rPr>
              <w:t>m</w:t>
            </w:r>
            <w:r>
              <w:rPr>
                <w:color w:val="auto"/>
                <w:highlight w:val="none"/>
                <w:vertAlign w:val="superscript"/>
              </w:rPr>
              <w:t>2</w:t>
            </w:r>
            <w:r>
              <w:rPr>
                <w:rFonts w:hint="eastAsia"/>
                <w:color w:val="auto"/>
                <w:highlight w:val="none"/>
              </w:rPr>
              <w:t>，</w:t>
            </w:r>
            <w:r>
              <w:rPr>
                <w:rFonts w:hint="eastAsia"/>
                <w:color w:val="auto"/>
                <w:highlight w:val="none"/>
                <w:lang w:val="en-US" w:eastAsia="zh-CN"/>
              </w:rPr>
              <w:t>建成后项目总占地面积49781.84</w:t>
            </w:r>
            <w:r>
              <w:rPr>
                <w:color w:val="auto"/>
                <w:highlight w:val="none"/>
              </w:rPr>
              <w:t>m</w:t>
            </w:r>
            <w:r>
              <w:rPr>
                <w:color w:val="auto"/>
                <w:highlight w:val="none"/>
                <w:vertAlign w:val="superscript"/>
              </w:rPr>
              <w:t>2</w:t>
            </w:r>
          </w:p>
          <w:p>
            <w:pPr>
              <w:ind w:firstLine="480"/>
              <w:rPr>
                <w:rFonts w:hint="eastAsia"/>
                <w:color w:val="auto"/>
                <w:highlight w:val="none"/>
              </w:rPr>
            </w:pPr>
            <w:r>
              <w:rPr>
                <w:color w:val="auto"/>
                <w:highlight w:val="none"/>
              </w:rPr>
              <w:t>（6）建设规模：</w:t>
            </w:r>
            <w:r>
              <w:rPr>
                <w:rFonts w:hint="eastAsia"/>
                <w:color w:val="auto"/>
                <w:highlight w:val="none"/>
              </w:rPr>
              <w:t>本项目属</w:t>
            </w:r>
            <w:r>
              <w:rPr>
                <w:rFonts w:hint="eastAsia"/>
                <w:color w:val="auto"/>
                <w:highlight w:val="none"/>
                <w:lang w:val="en-US" w:eastAsia="zh-CN"/>
              </w:rPr>
              <w:t>二期</w:t>
            </w:r>
            <w:r>
              <w:rPr>
                <w:rFonts w:hint="eastAsia"/>
                <w:color w:val="auto"/>
                <w:highlight w:val="none"/>
              </w:rPr>
              <w:t>技改项目，在现有</w:t>
            </w:r>
            <w:r>
              <w:rPr>
                <w:rFonts w:hint="eastAsia"/>
                <w:color w:val="auto"/>
                <w:highlight w:val="none"/>
                <w:lang w:val="en-US" w:eastAsia="zh-CN"/>
              </w:rPr>
              <w:t>二期</w:t>
            </w:r>
            <w:r>
              <w:rPr>
                <w:rFonts w:hint="eastAsia"/>
                <w:color w:val="auto"/>
                <w:highlight w:val="none"/>
              </w:rPr>
              <w:t>厂区</w:t>
            </w:r>
            <w:r>
              <w:rPr>
                <w:rFonts w:hint="eastAsia"/>
                <w:color w:val="auto"/>
                <w:highlight w:val="none"/>
                <w:lang w:val="en-US" w:eastAsia="zh-CN"/>
              </w:rPr>
              <w:t>于西南侧770m</w:t>
            </w:r>
            <w:r>
              <w:rPr>
                <w:rFonts w:hint="eastAsia"/>
                <w:color w:val="auto"/>
                <w:highlight w:val="none"/>
              </w:rPr>
              <w:t>新增租赁车间11593</w:t>
            </w:r>
            <w:r>
              <w:rPr>
                <w:color w:val="auto"/>
                <w:highlight w:val="none"/>
              </w:rPr>
              <w:t>m</w:t>
            </w:r>
            <w:r>
              <w:rPr>
                <w:color w:val="auto"/>
                <w:highlight w:val="none"/>
                <w:vertAlign w:val="superscript"/>
              </w:rPr>
              <w:t>2</w:t>
            </w:r>
            <w:r>
              <w:rPr>
                <w:rFonts w:hint="eastAsia"/>
                <w:color w:val="auto"/>
                <w:highlight w:val="none"/>
              </w:rPr>
              <w:t>。技改后，新增对锈蚀废钢的干法破碎及粉状废料的湿法分选工序</w:t>
            </w:r>
            <w:r>
              <w:rPr>
                <w:rFonts w:hint="eastAsia"/>
                <w:color w:val="auto"/>
                <w:highlight w:val="none"/>
                <w:lang w:eastAsia="zh-CN"/>
              </w:rPr>
              <w:t>，</w:t>
            </w:r>
            <w:r>
              <w:rPr>
                <w:rFonts w:hint="eastAsia"/>
                <w:color w:val="auto"/>
                <w:highlight w:val="none"/>
                <w:lang w:val="en-US" w:eastAsia="zh-CN"/>
              </w:rPr>
              <w:t>二期工程</w:t>
            </w:r>
            <w:r>
              <w:rPr>
                <w:rFonts w:hint="eastAsia"/>
                <w:color w:val="auto"/>
                <w:highlight w:val="none"/>
              </w:rPr>
              <w:t>废钢年加工能力维持80万</w:t>
            </w:r>
            <w:r>
              <w:rPr>
                <w:rFonts w:hint="eastAsia"/>
                <w:color w:val="auto"/>
                <w:highlight w:val="none"/>
                <w:lang w:val="en-US" w:eastAsia="zh-CN"/>
              </w:rPr>
              <w:t>t</w:t>
            </w:r>
            <w:r>
              <w:rPr>
                <w:rFonts w:hint="eastAsia"/>
                <w:color w:val="auto"/>
                <w:highlight w:val="none"/>
              </w:rPr>
              <w:t>不变，</w:t>
            </w:r>
            <w:r>
              <w:rPr>
                <w:rFonts w:hint="eastAsia"/>
                <w:color w:val="auto"/>
                <w:highlight w:val="none"/>
                <w:lang w:val="en-US" w:eastAsia="zh-CN"/>
              </w:rPr>
              <w:t>其中</w:t>
            </w:r>
            <w:r>
              <w:rPr>
                <w:rFonts w:hint="eastAsia"/>
                <w:color w:val="auto"/>
                <w:highlight w:val="none"/>
              </w:rPr>
              <w:t>废钢79.25万</w:t>
            </w:r>
            <w:r>
              <w:rPr>
                <w:rFonts w:hint="eastAsia"/>
                <w:color w:val="auto"/>
                <w:highlight w:val="none"/>
                <w:lang w:val="en-US" w:eastAsia="zh-CN"/>
              </w:rPr>
              <w:t>t</w:t>
            </w:r>
            <w:r>
              <w:rPr>
                <w:rFonts w:hint="eastAsia"/>
                <w:color w:val="auto"/>
                <w:highlight w:val="none"/>
              </w:rPr>
              <w:t>/年、粉状含铁废料0.75万</w:t>
            </w:r>
            <w:r>
              <w:rPr>
                <w:rFonts w:hint="eastAsia"/>
                <w:color w:val="auto"/>
                <w:highlight w:val="none"/>
                <w:lang w:val="en-US" w:eastAsia="zh-CN"/>
              </w:rPr>
              <w:t>t</w:t>
            </w:r>
            <w:r>
              <w:rPr>
                <w:rFonts w:hint="eastAsia"/>
                <w:color w:val="auto"/>
                <w:highlight w:val="none"/>
              </w:rPr>
              <w:t>/年</w:t>
            </w:r>
          </w:p>
          <w:p>
            <w:pPr>
              <w:ind w:firstLine="480"/>
              <w:rPr>
                <w:rFonts w:hint="default" w:eastAsia="宋体"/>
                <w:color w:val="auto"/>
                <w:highlight w:val="none"/>
                <w:lang w:val="en-US" w:eastAsia="zh-CN"/>
              </w:rPr>
            </w:pPr>
            <w:r>
              <w:rPr>
                <w:color w:val="auto"/>
                <w:highlight w:val="none"/>
              </w:rPr>
              <w:t>（7）职工人数：</w:t>
            </w:r>
            <w:r>
              <w:rPr>
                <w:rFonts w:hint="eastAsia"/>
                <w:color w:val="auto"/>
                <w:highlight w:val="none"/>
                <w:lang w:val="en-US" w:eastAsia="zh-CN"/>
              </w:rPr>
              <w:t>项目新增车间劳动定员</w:t>
            </w:r>
            <w:r>
              <w:rPr>
                <w:rFonts w:hint="eastAsia"/>
                <w:color w:val="auto"/>
                <w:highlight w:val="none"/>
              </w:rPr>
              <w:t>6</w:t>
            </w:r>
            <w:r>
              <w:rPr>
                <w:color w:val="auto"/>
                <w:highlight w:val="none"/>
              </w:rPr>
              <w:t>人（不食宿）</w:t>
            </w:r>
          </w:p>
          <w:p>
            <w:pPr>
              <w:ind w:firstLine="480"/>
              <w:rPr>
                <w:rFonts w:hint="eastAsia" w:eastAsia="宋体"/>
                <w:color w:val="auto"/>
                <w:highlight w:val="none"/>
                <w:lang w:eastAsia="zh-CN"/>
              </w:rPr>
            </w:pPr>
            <w:r>
              <w:rPr>
                <w:color w:val="auto"/>
                <w:highlight w:val="none"/>
              </w:rPr>
              <w:t>（8）工作制度：</w:t>
            </w:r>
            <w:r>
              <w:rPr>
                <w:rFonts w:hint="eastAsia"/>
                <w:color w:val="auto"/>
                <w:highlight w:val="none"/>
              </w:rPr>
              <w:t>干法破碎</w:t>
            </w:r>
            <w:r>
              <w:rPr>
                <w:color w:val="auto"/>
                <w:highlight w:val="none"/>
              </w:rPr>
              <w:t>年工作日3</w:t>
            </w:r>
            <w:r>
              <w:rPr>
                <w:rFonts w:hint="eastAsia"/>
                <w:color w:val="auto"/>
                <w:highlight w:val="none"/>
              </w:rPr>
              <w:t>4</w:t>
            </w:r>
            <w:r>
              <w:rPr>
                <w:color w:val="auto"/>
                <w:highlight w:val="none"/>
              </w:rPr>
              <w:t>0天，</w:t>
            </w:r>
            <w:r>
              <w:rPr>
                <w:rFonts w:hint="eastAsia"/>
                <w:color w:val="auto"/>
                <w:highlight w:val="none"/>
              </w:rPr>
              <w:t>车间采用</w:t>
            </w:r>
            <w:r>
              <w:rPr>
                <w:rFonts w:hint="eastAsia"/>
                <w:color w:val="auto"/>
                <w:highlight w:val="none"/>
                <w:lang w:val="en-US" w:eastAsia="zh-CN"/>
              </w:rPr>
              <w:t>两</w:t>
            </w:r>
            <w:r>
              <w:rPr>
                <w:rFonts w:hint="eastAsia"/>
                <w:color w:val="auto"/>
                <w:highlight w:val="none"/>
              </w:rPr>
              <w:t>班制生产，每班工作8小时，工作时间</w:t>
            </w:r>
            <w:r>
              <w:rPr>
                <w:rFonts w:hint="eastAsia"/>
                <w:color w:val="auto"/>
                <w:highlight w:val="none"/>
                <w:lang w:val="en-US" w:eastAsia="zh-CN"/>
              </w:rPr>
              <w:t>544</w:t>
            </w:r>
            <w:r>
              <w:rPr>
                <w:rFonts w:hint="eastAsia"/>
                <w:color w:val="auto"/>
                <w:highlight w:val="none"/>
              </w:rPr>
              <w:t>0小时</w:t>
            </w:r>
            <w:r>
              <w:rPr>
                <w:rFonts w:hint="eastAsia"/>
                <w:color w:val="auto"/>
                <w:highlight w:val="none"/>
                <w:lang w:eastAsia="zh-CN"/>
              </w:rPr>
              <w:t>；</w:t>
            </w:r>
            <w:r>
              <w:rPr>
                <w:rFonts w:hint="eastAsia"/>
                <w:color w:val="auto"/>
                <w:highlight w:val="none"/>
              </w:rPr>
              <w:t>湿法分选工序</w:t>
            </w:r>
            <w:r>
              <w:rPr>
                <w:color w:val="auto"/>
                <w:highlight w:val="none"/>
              </w:rPr>
              <w:t>年工作日</w:t>
            </w:r>
            <w:r>
              <w:rPr>
                <w:rFonts w:hint="eastAsia"/>
                <w:color w:val="auto"/>
                <w:highlight w:val="none"/>
                <w:lang w:val="en-US" w:eastAsia="zh-CN"/>
              </w:rPr>
              <w:t>20</w:t>
            </w:r>
            <w:r>
              <w:rPr>
                <w:color w:val="auto"/>
                <w:highlight w:val="none"/>
              </w:rPr>
              <w:t>0天，</w:t>
            </w:r>
            <w:r>
              <w:rPr>
                <w:rFonts w:hint="eastAsia"/>
                <w:color w:val="auto"/>
                <w:highlight w:val="none"/>
              </w:rPr>
              <w:t>8小时</w:t>
            </w:r>
            <w:r>
              <w:rPr>
                <w:rFonts w:hint="eastAsia"/>
                <w:color w:val="auto"/>
                <w:highlight w:val="none"/>
                <w:lang w:val="en-US" w:eastAsia="zh-CN"/>
              </w:rPr>
              <w:t>/天</w:t>
            </w:r>
            <w:r>
              <w:rPr>
                <w:rFonts w:hint="eastAsia"/>
                <w:color w:val="auto"/>
                <w:highlight w:val="none"/>
              </w:rPr>
              <w:t>，工作时间</w:t>
            </w:r>
            <w:r>
              <w:rPr>
                <w:rFonts w:hint="eastAsia"/>
                <w:color w:val="auto"/>
                <w:highlight w:val="none"/>
                <w:lang w:val="en-US" w:eastAsia="zh-CN"/>
              </w:rPr>
              <w:t>1600</w:t>
            </w:r>
            <w:r>
              <w:rPr>
                <w:rFonts w:hint="eastAsia"/>
                <w:color w:val="auto"/>
                <w:highlight w:val="none"/>
              </w:rPr>
              <w:t>小时</w:t>
            </w:r>
          </w:p>
          <w:p>
            <w:pPr>
              <w:pStyle w:val="4"/>
              <w:rPr>
                <w:color w:val="auto"/>
                <w:highlight w:val="none"/>
              </w:rPr>
            </w:pPr>
            <w:r>
              <w:rPr>
                <w:color w:val="auto"/>
                <w:highlight w:val="none"/>
              </w:rPr>
              <w:t>2.1.</w:t>
            </w:r>
            <w:r>
              <w:rPr>
                <w:rFonts w:hint="eastAsia"/>
                <w:color w:val="auto"/>
                <w:highlight w:val="none"/>
              </w:rPr>
              <w:t>3</w:t>
            </w:r>
            <w:r>
              <w:rPr>
                <w:color w:val="auto"/>
                <w:highlight w:val="none"/>
              </w:rPr>
              <w:t>项目</w:t>
            </w:r>
            <w:r>
              <w:rPr>
                <w:rFonts w:hint="eastAsia"/>
                <w:color w:val="auto"/>
                <w:highlight w:val="none"/>
              </w:rPr>
              <w:t>建设内容</w:t>
            </w:r>
          </w:p>
          <w:p>
            <w:pPr>
              <w:ind w:firstLine="480"/>
              <w:rPr>
                <w:color w:val="auto"/>
                <w:highlight w:val="none"/>
              </w:rPr>
            </w:pPr>
            <w:r>
              <w:rPr>
                <w:rFonts w:hint="eastAsia"/>
                <w:color w:val="auto"/>
                <w:highlight w:val="none"/>
              </w:rPr>
              <w:t>本项目主要建设内容见表2.1-2</w:t>
            </w:r>
            <w:r>
              <w:rPr>
                <w:color w:val="auto"/>
                <w:highlight w:val="none"/>
              </w:rPr>
              <w:t>。</w:t>
            </w:r>
          </w:p>
          <w:p>
            <w:pPr>
              <w:pStyle w:val="6"/>
              <w:rPr>
                <w:color w:val="auto"/>
                <w:highlight w:val="none"/>
              </w:rPr>
            </w:pPr>
          </w:p>
          <w:p>
            <w:pPr>
              <w:ind w:firstLine="480"/>
              <w:rPr>
                <w:color w:val="auto"/>
                <w:highlight w:val="none"/>
              </w:rPr>
            </w:pPr>
          </w:p>
        </w:tc>
      </w:tr>
    </w:tbl>
    <w:p>
      <w:pPr>
        <w:pStyle w:val="14"/>
        <w:ind w:firstLine="560"/>
        <w:rPr>
          <w:color w:val="auto"/>
          <w:highlight w:val="none"/>
        </w:rPr>
      </w:pPr>
    </w:p>
    <w:p>
      <w:pPr>
        <w:pStyle w:val="20"/>
        <w:ind w:left="480" w:firstLine="480"/>
        <w:rPr>
          <w:color w:val="auto"/>
          <w:highlight w:val="none"/>
        </w:rPr>
        <w:sectPr>
          <w:pgSz w:w="11906" w:h="16838"/>
          <w:pgMar w:top="1418" w:right="1418" w:bottom="1418" w:left="1418" w:header="851" w:footer="851" w:gutter="0"/>
          <w:pgBorders>
            <w:top w:val="none" w:sz="0" w:space="0"/>
            <w:left w:val="none" w:sz="0" w:space="0"/>
            <w:bottom w:val="none" w:sz="0" w:space="0"/>
            <w:right w:val="none" w:sz="0" w:space="0"/>
          </w:pgBorders>
          <w:cols w:space="720" w:num="1"/>
          <w:docGrid w:linePitch="326" w:charSpace="0"/>
        </w:sectPr>
      </w:pPr>
    </w:p>
    <w:tbl>
      <w:tblPr>
        <w:tblStyle w:val="49"/>
        <w:tblW w:w="1405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912"/>
        <w:gridCol w:w="1314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956" w:hRule="atLeast"/>
          <w:jc w:val="center"/>
        </w:trPr>
        <w:tc>
          <w:tcPr>
            <w:tcW w:w="912" w:type="dxa"/>
            <w:vAlign w:val="center"/>
          </w:tcPr>
          <w:p>
            <w:pPr>
              <w:pStyle w:val="113"/>
              <w:rPr>
                <w:color w:val="auto"/>
                <w:highlight w:val="none"/>
              </w:rPr>
            </w:pPr>
            <w:r>
              <w:rPr>
                <w:color w:val="auto"/>
                <w:highlight w:val="none"/>
              </w:rPr>
              <w:t>建设内容</w:t>
            </w:r>
          </w:p>
        </w:tc>
        <w:tc>
          <w:tcPr>
            <w:tcW w:w="13146" w:type="dxa"/>
            <w:vAlign w:val="center"/>
          </w:tcPr>
          <w:p>
            <w:pPr>
              <w:pStyle w:val="6"/>
              <w:rPr>
                <w:color w:val="auto"/>
                <w:highlight w:val="none"/>
              </w:rPr>
            </w:pPr>
            <w:r>
              <w:rPr>
                <w:color w:val="auto"/>
                <w:highlight w:val="none"/>
              </w:rPr>
              <w:t>表2.</w:t>
            </w:r>
            <w:r>
              <w:rPr>
                <w:rFonts w:hint="eastAsia"/>
                <w:color w:val="auto"/>
                <w:highlight w:val="none"/>
              </w:rPr>
              <w:t>1</w:t>
            </w:r>
            <w:r>
              <w:rPr>
                <w:color w:val="auto"/>
                <w:highlight w:val="none"/>
              </w:rPr>
              <w:t>-</w:t>
            </w:r>
            <w:r>
              <w:rPr>
                <w:rFonts w:hint="eastAsia"/>
                <w:color w:val="auto"/>
                <w:highlight w:val="none"/>
              </w:rPr>
              <w:t>2</w:t>
            </w:r>
            <w:r>
              <w:rPr>
                <w:color w:val="auto"/>
                <w:highlight w:val="none"/>
              </w:rPr>
              <w:t>项目工程组成情况一览表</w:t>
            </w:r>
          </w:p>
          <w:tbl>
            <w:tblPr>
              <w:tblStyle w:val="49"/>
              <w:tblpPr w:leftFromText="180" w:rightFromText="180" w:vertAnchor="text" w:horzAnchor="page" w:tblpXSpec="center" w:tblpY="301"/>
              <w:tblOverlap w:val="never"/>
              <w:tblW w:w="5000" w:type="pct"/>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9"/>
              <w:gridCol w:w="802"/>
              <w:gridCol w:w="4011"/>
              <w:gridCol w:w="978"/>
              <w:gridCol w:w="4431"/>
              <w:gridCol w:w="2199"/>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tcBorders>
                    <w:tl2br w:val="nil"/>
                    <w:tr2bl w:val="nil"/>
                  </w:tcBorders>
                  <w:tcMar>
                    <w:top w:w="0" w:type="dxa"/>
                    <w:left w:w="28" w:type="dxa"/>
                    <w:bottom w:w="0" w:type="dxa"/>
                    <w:right w:w="28" w:type="dxa"/>
                  </w:tcMar>
                  <w:vAlign w:val="center"/>
                </w:tcPr>
                <w:p>
                  <w:pPr>
                    <w:pStyle w:val="113"/>
                    <w:rPr>
                      <w:color w:val="auto"/>
                      <w:highlight w:val="none"/>
                    </w:rPr>
                  </w:pPr>
                </w:p>
              </w:tc>
              <w:tc>
                <w:tcPr>
                  <w:tcW w:w="802" w:type="dxa"/>
                  <w:tcBorders>
                    <w:tl2br w:val="nil"/>
                    <w:tr2bl w:val="nil"/>
                  </w:tcBorders>
                  <w:tcMar>
                    <w:top w:w="0" w:type="dxa"/>
                    <w:left w:w="28" w:type="dxa"/>
                    <w:bottom w:w="0" w:type="dxa"/>
                    <w:right w:w="28" w:type="dxa"/>
                  </w:tcMar>
                  <w:vAlign w:val="center"/>
                </w:tcPr>
                <w:p>
                  <w:pPr>
                    <w:pStyle w:val="113"/>
                    <w:rPr>
                      <w:color w:val="auto"/>
                      <w:highlight w:val="none"/>
                    </w:rPr>
                  </w:pPr>
                </w:p>
              </w:tc>
              <w:tc>
                <w:tcPr>
                  <w:tcW w:w="4011" w:type="dxa"/>
                  <w:tcBorders>
                    <w:tl2br w:val="nil"/>
                    <w:tr2bl w:val="nil"/>
                  </w:tcBorders>
                  <w:tcMar>
                    <w:top w:w="0" w:type="dxa"/>
                    <w:left w:w="28" w:type="dxa"/>
                    <w:bottom w:w="0" w:type="dxa"/>
                    <w:right w:w="28" w:type="dxa"/>
                  </w:tcMar>
                  <w:vAlign w:val="center"/>
                </w:tcPr>
                <w:p>
                  <w:pPr>
                    <w:pStyle w:val="113"/>
                    <w:rPr>
                      <w:color w:val="auto"/>
                      <w:highlight w:val="none"/>
                    </w:rPr>
                  </w:pPr>
                </w:p>
              </w:tc>
              <w:tc>
                <w:tcPr>
                  <w:tcW w:w="5409" w:type="dxa"/>
                  <w:gridSpan w:val="2"/>
                  <w:tcBorders>
                    <w:tl2br w:val="nil"/>
                    <w:tr2bl w:val="nil"/>
                  </w:tcBorders>
                  <w:tcMar>
                    <w:top w:w="0" w:type="dxa"/>
                    <w:left w:w="28" w:type="dxa"/>
                    <w:bottom w:w="0" w:type="dxa"/>
                    <w:right w:w="28" w:type="dxa"/>
                  </w:tcMar>
                  <w:vAlign w:val="center"/>
                </w:tcPr>
                <w:p>
                  <w:pPr>
                    <w:pStyle w:val="113"/>
                    <w:rPr>
                      <w:color w:val="auto"/>
                      <w:highlight w:val="none"/>
                    </w:rPr>
                  </w:pPr>
                </w:p>
              </w:tc>
              <w:tc>
                <w:tcPr>
                  <w:tcW w:w="2199" w:type="dxa"/>
                  <w:tcBorders>
                    <w:tl2br w:val="nil"/>
                    <w:tr2bl w:val="nil"/>
                  </w:tcBorders>
                  <w:tcMar>
                    <w:top w:w="0" w:type="dxa"/>
                    <w:left w:w="28" w:type="dxa"/>
                    <w:bottom w:w="0" w:type="dxa"/>
                    <w:right w:w="28" w:type="dxa"/>
                  </w:tcMar>
                  <w:vAlign w:val="center"/>
                </w:tcPr>
                <w:p>
                  <w:pPr>
                    <w:pStyle w:val="113"/>
                    <w:rPr>
                      <w:rFonts w:hint="default" w:eastAsia="宋体"/>
                      <w:color w:val="auto"/>
                      <w:highlight w:val="none"/>
                      <w:lang w:val="en-US" w:eastAsia="zh-CN"/>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71" w:type="dxa"/>
                  <w:gridSpan w:val="2"/>
                  <w:tcBorders>
                    <w:tl2br w:val="nil"/>
                    <w:tr2bl w:val="nil"/>
                  </w:tcBorders>
                  <w:tcMar>
                    <w:top w:w="0" w:type="dxa"/>
                    <w:left w:w="28" w:type="dxa"/>
                    <w:bottom w:w="0" w:type="dxa"/>
                    <w:right w:w="28" w:type="dxa"/>
                  </w:tcMar>
                  <w:vAlign w:val="center"/>
                </w:tcPr>
                <w:p>
                  <w:pPr>
                    <w:pStyle w:val="113"/>
                    <w:rPr>
                      <w:color w:val="auto"/>
                      <w:highlight w:val="none"/>
                    </w:rPr>
                  </w:pPr>
                </w:p>
              </w:tc>
              <w:tc>
                <w:tcPr>
                  <w:tcW w:w="4011" w:type="dxa"/>
                  <w:tcBorders>
                    <w:tl2br w:val="nil"/>
                    <w:tr2bl w:val="nil"/>
                  </w:tcBorders>
                  <w:tcMar>
                    <w:top w:w="0" w:type="dxa"/>
                    <w:left w:w="28" w:type="dxa"/>
                    <w:bottom w:w="0" w:type="dxa"/>
                    <w:right w:w="28" w:type="dxa"/>
                  </w:tcMar>
                  <w:vAlign w:val="center"/>
                </w:tcPr>
                <w:p>
                  <w:pPr>
                    <w:pStyle w:val="113"/>
                    <w:rPr>
                      <w:color w:val="auto"/>
                      <w:highlight w:val="none"/>
                    </w:rPr>
                  </w:pPr>
                </w:p>
              </w:tc>
              <w:tc>
                <w:tcPr>
                  <w:tcW w:w="5409" w:type="dxa"/>
                  <w:gridSpan w:val="2"/>
                  <w:tcBorders>
                    <w:tl2br w:val="nil"/>
                    <w:tr2bl w:val="nil"/>
                  </w:tcBorders>
                  <w:tcMar>
                    <w:top w:w="0" w:type="dxa"/>
                    <w:left w:w="28" w:type="dxa"/>
                    <w:bottom w:w="0" w:type="dxa"/>
                    <w:right w:w="28" w:type="dxa"/>
                  </w:tcMar>
                  <w:vAlign w:val="center"/>
                </w:tcPr>
                <w:p>
                  <w:pPr>
                    <w:pStyle w:val="113"/>
                    <w:rPr>
                      <w:rFonts w:hint="eastAsia" w:eastAsia="宋体"/>
                      <w:color w:val="auto"/>
                      <w:highlight w:val="none"/>
                      <w:lang w:eastAsia="zh-CN"/>
                    </w:rPr>
                  </w:pPr>
                </w:p>
              </w:tc>
              <w:tc>
                <w:tcPr>
                  <w:tcW w:w="2199" w:type="dxa"/>
                  <w:tcBorders>
                    <w:tl2br w:val="nil"/>
                    <w:tr2bl w:val="nil"/>
                  </w:tcBorders>
                  <w:tcMar>
                    <w:top w:w="0" w:type="dxa"/>
                    <w:left w:w="28" w:type="dxa"/>
                    <w:bottom w:w="0" w:type="dxa"/>
                    <w:right w:w="28" w:type="dxa"/>
                  </w:tcMar>
                  <w:vAlign w:val="center"/>
                </w:tcPr>
                <w:p>
                  <w:pPr>
                    <w:pStyle w:val="113"/>
                    <w:rPr>
                      <w:rFonts w:hint="eastAsia" w:eastAsia="宋体"/>
                      <w:color w:val="auto"/>
                      <w:highlight w:val="none"/>
                      <w:lang w:val="en-US" w:eastAsia="zh-CN"/>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1" w:type="dxa"/>
                  <w:gridSpan w:val="2"/>
                  <w:tcBorders>
                    <w:tl2br w:val="nil"/>
                    <w:tr2bl w:val="nil"/>
                  </w:tcBorders>
                  <w:tcMar>
                    <w:top w:w="0" w:type="dxa"/>
                    <w:left w:w="28" w:type="dxa"/>
                    <w:bottom w:w="0" w:type="dxa"/>
                    <w:right w:w="28" w:type="dxa"/>
                  </w:tcMar>
                  <w:vAlign w:val="center"/>
                </w:tcPr>
                <w:p>
                  <w:pPr>
                    <w:pStyle w:val="113"/>
                    <w:rPr>
                      <w:rFonts w:hint="eastAsia" w:eastAsia="宋体"/>
                      <w:color w:val="auto"/>
                      <w:highlight w:val="none"/>
                      <w:lang w:val="en-US" w:eastAsia="zh-CN"/>
                    </w:rPr>
                  </w:pPr>
                </w:p>
              </w:tc>
              <w:tc>
                <w:tcPr>
                  <w:tcW w:w="4011" w:type="dxa"/>
                  <w:tcBorders>
                    <w:tl2br w:val="nil"/>
                    <w:tr2bl w:val="nil"/>
                  </w:tcBorders>
                  <w:tcMar>
                    <w:top w:w="0" w:type="dxa"/>
                    <w:left w:w="28" w:type="dxa"/>
                    <w:bottom w:w="0" w:type="dxa"/>
                    <w:right w:w="28" w:type="dxa"/>
                  </w:tcMar>
                  <w:vAlign w:val="center"/>
                </w:tcPr>
                <w:p>
                  <w:pPr>
                    <w:pStyle w:val="113"/>
                    <w:rPr>
                      <w:rFonts w:hint="default" w:eastAsia="宋体"/>
                      <w:color w:val="auto"/>
                      <w:highlight w:val="none"/>
                      <w:lang w:val="en-US" w:eastAsia="zh-CN"/>
                    </w:rPr>
                  </w:pPr>
                </w:p>
              </w:tc>
              <w:tc>
                <w:tcPr>
                  <w:tcW w:w="5409" w:type="dxa"/>
                  <w:gridSpan w:val="2"/>
                  <w:tcBorders>
                    <w:tl2br w:val="nil"/>
                    <w:tr2bl w:val="nil"/>
                  </w:tcBorders>
                  <w:tcMar>
                    <w:top w:w="0" w:type="dxa"/>
                    <w:left w:w="28" w:type="dxa"/>
                    <w:bottom w:w="0" w:type="dxa"/>
                    <w:right w:w="28" w:type="dxa"/>
                  </w:tcMar>
                  <w:vAlign w:val="center"/>
                </w:tcPr>
                <w:p>
                  <w:pPr>
                    <w:pStyle w:val="113"/>
                    <w:rPr>
                      <w:rFonts w:hint="default"/>
                      <w:color w:val="auto"/>
                      <w:highlight w:val="none"/>
                      <w:lang w:val="en-US" w:eastAsia="en-US"/>
                    </w:rPr>
                  </w:pPr>
                </w:p>
              </w:tc>
              <w:tc>
                <w:tcPr>
                  <w:tcW w:w="2199" w:type="dxa"/>
                  <w:tcBorders>
                    <w:tl2br w:val="nil"/>
                    <w:tr2bl w:val="nil"/>
                  </w:tcBorders>
                  <w:tcMar>
                    <w:top w:w="0" w:type="dxa"/>
                    <w:left w:w="28" w:type="dxa"/>
                    <w:bottom w:w="0" w:type="dxa"/>
                    <w:right w:w="28" w:type="dxa"/>
                  </w:tcMar>
                  <w:vAlign w:val="center"/>
                </w:tcPr>
                <w:p>
                  <w:pPr>
                    <w:pStyle w:val="113"/>
                    <w:rPr>
                      <w:rFonts w:hint="eastAsia"/>
                      <w:color w:val="auto"/>
                      <w:highlight w:val="none"/>
                      <w:lang w:val="en-US" w:eastAsia="zh-CN"/>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restart"/>
                  <w:tcBorders>
                    <w:tl2br w:val="nil"/>
                    <w:tr2bl w:val="nil"/>
                  </w:tcBorders>
                  <w:tcMar>
                    <w:top w:w="0" w:type="dxa"/>
                    <w:left w:w="28" w:type="dxa"/>
                    <w:bottom w:w="0" w:type="dxa"/>
                    <w:right w:w="28" w:type="dxa"/>
                  </w:tcMar>
                  <w:vAlign w:val="center"/>
                </w:tcPr>
                <w:p>
                  <w:pPr>
                    <w:pStyle w:val="113"/>
                    <w:rPr>
                      <w:color w:val="auto"/>
                      <w:highlight w:val="none"/>
                    </w:rPr>
                  </w:pPr>
                </w:p>
              </w:tc>
              <w:tc>
                <w:tcPr>
                  <w:tcW w:w="802" w:type="dxa"/>
                  <w:vMerge w:val="restart"/>
                  <w:tcBorders>
                    <w:tl2br w:val="nil"/>
                    <w:tr2bl w:val="nil"/>
                  </w:tcBorders>
                  <w:tcMar>
                    <w:top w:w="0" w:type="dxa"/>
                    <w:left w:w="28" w:type="dxa"/>
                    <w:bottom w:w="0" w:type="dxa"/>
                    <w:right w:w="28" w:type="dxa"/>
                  </w:tcMar>
                  <w:vAlign w:val="center"/>
                </w:tcPr>
                <w:p>
                  <w:pPr>
                    <w:pStyle w:val="113"/>
                    <w:rPr>
                      <w:color w:val="auto"/>
                      <w:highlight w:val="none"/>
                    </w:rPr>
                  </w:pPr>
                </w:p>
              </w:tc>
              <w:tc>
                <w:tcPr>
                  <w:tcW w:w="4011" w:type="dxa"/>
                  <w:vMerge w:val="restart"/>
                  <w:tcBorders>
                    <w:tl2br w:val="nil"/>
                    <w:tr2bl w:val="nil"/>
                  </w:tcBorders>
                  <w:tcMar>
                    <w:top w:w="0" w:type="dxa"/>
                    <w:left w:w="28" w:type="dxa"/>
                    <w:bottom w:w="0" w:type="dxa"/>
                    <w:right w:w="28" w:type="dxa"/>
                  </w:tcMar>
                  <w:vAlign w:val="center"/>
                </w:tcPr>
                <w:p>
                  <w:pPr>
                    <w:pStyle w:val="113"/>
                    <w:rPr>
                      <w:color w:val="auto"/>
                      <w:highlight w:val="none"/>
                    </w:rPr>
                  </w:pPr>
                </w:p>
              </w:tc>
              <w:tc>
                <w:tcPr>
                  <w:tcW w:w="978" w:type="dxa"/>
                  <w:tcBorders>
                    <w:tl2br w:val="nil"/>
                    <w:tr2bl w:val="nil"/>
                  </w:tcBorders>
                  <w:tcMar>
                    <w:top w:w="0" w:type="dxa"/>
                    <w:left w:w="28" w:type="dxa"/>
                    <w:bottom w:w="0" w:type="dxa"/>
                    <w:right w:w="28" w:type="dxa"/>
                  </w:tcMar>
                  <w:vAlign w:val="center"/>
                </w:tcPr>
                <w:p>
                  <w:pPr>
                    <w:pStyle w:val="113"/>
                    <w:rPr>
                      <w:color w:val="auto"/>
                      <w:highlight w:val="none"/>
                    </w:rPr>
                  </w:pPr>
                </w:p>
              </w:tc>
              <w:tc>
                <w:tcPr>
                  <w:tcW w:w="4431" w:type="dxa"/>
                  <w:tcBorders>
                    <w:tl2br w:val="nil"/>
                    <w:tr2bl w:val="nil"/>
                  </w:tcBorders>
                  <w:tcMar>
                    <w:top w:w="0" w:type="dxa"/>
                    <w:left w:w="28" w:type="dxa"/>
                    <w:bottom w:w="0" w:type="dxa"/>
                    <w:right w:w="28" w:type="dxa"/>
                  </w:tcMar>
                  <w:vAlign w:val="center"/>
                </w:tcPr>
                <w:p>
                  <w:pPr>
                    <w:pStyle w:val="113"/>
                    <w:rPr>
                      <w:rFonts w:hint="eastAsia"/>
                      <w:color w:val="auto"/>
                      <w:highlight w:val="none"/>
                    </w:rPr>
                  </w:pPr>
                </w:p>
              </w:tc>
              <w:tc>
                <w:tcPr>
                  <w:tcW w:w="2199" w:type="dxa"/>
                  <w:tcBorders>
                    <w:tl2br w:val="nil"/>
                    <w:tr2bl w:val="nil"/>
                  </w:tcBorders>
                  <w:shd w:val="clear" w:color="auto" w:fill="auto"/>
                  <w:tcMar>
                    <w:top w:w="0" w:type="dxa"/>
                    <w:left w:w="28" w:type="dxa"/>
                    <w:bottom w:w="0" w:type="dxa"/>
                    <w:right w:w="28" w:type="dxa"/>
                  </w:tcMar>
                  <w:vAlign w:val="center"/>
                </w:tcPr>
                <w:p>
                  <w:pPr>
                    <w:widowControl/>
                    <w:spacing w:line="240" w:lineRule="auto"/>
                    <w:ind w:firstLine="0" w:firstLineChars="0"/>
                    <w:jc w:val="center"/>
                    <w:textAlignment w:val="center"/>
                    <w:rPr>
                      <w:rFonts w:hint="default" w:eastAsia="宋体" w:cs="宋体"/>
                      <w:color w:val="auto"/>
                      <w:szCs w:val="24"/>
                      <w:highlight w:val="none"/>
                      <w:lang w:val="en-US" w:eastAsia="zh-CN"/>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tcMar>
                    <w:top w:w="0" w:type="dxa"/>
                    <w:left w:w="28" w:type="dxa"/>
                    <w:bottom w:w="0" w:type="dxa"/>
                    <w:right w:w="28" w:type="dxa"/>
                  </w:tcMar>
                  <w:vAlign w:val="center"/>
                </w:tcPr>
                <w:p>
                  <w:pPr>
                    <w:pStyle w:val="113"/>
                    <w:rPr>
                      <w:color w:val="auto"/>
                      <w:highlight w:val="none"/>
                    </w:rPr>
                  </w:pPr>
                </w:p>
              </w:tc>
              <w:tc>
                <w:tcPr>
                  <w:tcW w:w="802" w:type="dxa"/>
                  <w:vMerge w:val="continue"/>
                  <w:tcBorders>
                    <w:tl2br w:val="nil"/>
                    <w:tr2bl w:val="nil"/>
                  </w:tcBorders>
                  <w:tcMar>
                    <w:top w:w="0" w:type="dxa"/>
                    <w:left w:w="28" w:type="dxa"/>
                    <w:bottom w:w="0" w:type="dxa"/>
                    <w:right w:w="28" w:type="dxa"/>
                  </w:tcMar>
                  <w:vAlign w:val="center"/>
                </w:tcPr>
                <w:p>
                  <w:pPr>
                    <w:pStyle w:val="113"/>
                    <w:rPr>
                      <w:color w:val="auto"/>
                      <w:highlight w:val="none"/>
                    </w:rPr>
                  </w:pPr>
                </w:p>
              </w:tc>
              <w:tc>
                <w:tcPr>
                  <w:tcW w:w="4011" w:type="dxa"/>
                  <w:vMerge w:val="continue"/>
                  <w:tcBorders>
                    <w:tl2br w:val="nil"/>
                    <w:tr2bl w:val="nil"/>
                  </w:tcBorders>
                  <w:tcMar>
                    <w:top w:w="0" w:type="dxa"/>
                    <w:left w:w="28" w:type="dxa"/>
                    <w:bottom w:w="0" w:type="dxa"/>
                    <w:right w:w="28" w:type="dxa"/>
                  </w:tcMar>
                  <w:vAlign w:val="center"/>
                </w:tcPr>
                <w:p>
                  <w:pPr>
                    <w:pStyle w:val="113"/>
                    <w:rPr>
                      <w:color w:val="auto"/>
                      <w:highlight w:val="none"/>
                    </w:rPr>
                  </w:pPr>
                </w:p>
              </w:tc>
              <w:tc>
                <w:tcPr>
                  <w:tcW w:w="978" w:type="dxa"/>
                  <w:tcBorders>
                    <w:tl2br w:val="nil"/>
                    <w:tr2bl w:val="nil"/>
                  </w:tcBorders>
                  <w:tcMar>
                    <w:top w:w="0" w:type="dxa"/>
                    <w:left w:w="28" w:type="dxa"/>
                    <w:bottom w:w="0" w:type="dxa"/>
                    <w:right w:w="28" w:type="dxa"/>
                  </w:tcMar>
                  <w:vAlign w:val="center"/>
                </w:tcPr>
                <w:p>
                  <w:pPr>
                    <w:pStyle w:val="113"/>
                    <w:rPr>
                      <w:color w:val="auto"/>
                      <w:highlight w:val="none"/>
                    </w:rPr>
                  </w:pPr>
                </w:p>
              </w:tc>
              <w:tc>
                <w:tcPr>
                  <w:tcW w:w="4431" w:type="dxa"/>
                  <w:tcBorders>
                    <w:tl2br w:val="nil"/>
                    <w:tr2bl w:val="nil"/>
                  </w:tcBorders>
                  <w:tcMar>
                    <w:top w:w="0" w:type="dxa"/>
                    <w:left w:w="28" w:type="dxa"/>
                    <w:bottom w:w="0" w:type="dxa"/>
                    <w:right w:w="28" w:type="dxa"/>
                  </w:tcMar>
                  <w:vAlign w:val="center"/>
                </w:tcPr>
                <w:p>
                  <w:pPr>
                    <w:pStyle w:val="113"/>
                    <w:rPr>
                      <w:color w:val="auto"/>
                      <w:highlight w:val="none"/>
                    </w:rPr>
                  </w:pPr>
                </w:p>
              </w:tc>
              <w:tc>
                <w:tcPr>
                  <w:tcW w:w="2199" w:type="dxa"/>
                  <w:tcBorders>
                    <w:tl2br w:val="nil"/>
                    <w:tr2bl w:val="nil"/>
                  </w:tcBorders>
                  <w:shd w:val="clear" w:color="auto" w:fill="auto"/>
                  <w:tcMar>
                    <w:top w:w="0" w:type="dxa"/>
                    <w:left w:w="28" w:type="dxa"/>
                    <w:bottom w:w="0" w:type="dxa"/>
                    <w:right w:w="28" w:type="dxa"/>
                  </w:tcMar>
                  <w:vAlign w:val="center"/>
                </w:tcPr>
                <w:p>
                  <w:pPr>
                    <w:pStyle w:val="113"/>
                    <w:rPr>
                      <w:rFonts w:hint="eastAsia" w:eastAsia="宋体"/>
                      <w:color w:val="auto"/>
                      <w:highlight w:val="none"/>
                      <w:lang w:val="en-US" w:eastAsia="zh-CN"/>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restart"/>
                  <w:tcBorders>
                    <w:tl2br w:val="nil"/>
                    <w:tr2bl w:val="nil"/>
                  </w:tcBorders>
                  <w:tcMar>
                    <w:top w:w="0" w:type="dxa"/>
                    <w:left w:w="28" w:type="dxa"/>
                    <w:bottom w:w="0" w:type="dxa"/>
                    <w:right w:w="28" w:type="dxa"/>
                  </w:tcMar>
                  <w:vAlign w:val="center"/>
                </w:tcPr>
                <w:p>
                  <w:pPr>
                    <w:pStyle w:val="113"/>
                    <w:rPr>
                      <w:color w:val="auto"/>
                      <w:highlight w:val="none"/>
                    </w:rPr>
                  </w:pPr>
                </w:p>
              </w:tc>
              <w:tc>
                <w:tcPr>
                  <w:tcW w:w="802" w:type="dxa"/>
                  <w:tcBorders>
                    <w:tl2br w:val="nil"/>
                    <w:tr2bl w:val="nil"/>
                  </w:tcBorders>
                  <w:tcMar>
                    <w:top w:w="0" w:type="dxa"/>
                    <w:left w:w="28" w:type="dxa"/>
                    <w:bottom w:w="0" w:type="dxa"/>
                    <w:right w:w="28" w:type="dxa"/>
                  </w:tcMar>
                  <w:vAlign w:val="center"/>
                </w:tcPr>
                <w:p>
                  <w:pPr>
                    <w:pStyle w:val="113"/>
                    <w:rPr>
                      <w:color w:val="auto"/>
                      <w:highlight w:val="none"/>
                    </w:rPr>
                  </w:pPr>
                </w:p>
              </w:tc>
              <w:tc>
                <w:tcPr>
                  <w:tcW w:w="4011" w:type="dxa"/>
                  <w:tcBorders>
                    <w:tl2br w:val="nil"/>
                    <w:tr2bl w:val="nil"/>
                  </w:tcBorders>
                  <w:tcMar>
                    <w:top w:w="0" w:type="dxa"/>
                    <w:left w:w="28" w:type="dxa"/>
                    <w:bottom w:w="0" w:type="dxa"/>
                    <w:right w:w="28" w:type="dxa"/>
                  </w:tcMar>
                  <w:vAlign w:val="center"/>
                </w:tcPr>
                <w:p>
                  <w:pPr>
                    <w:pStyle w:val="113"/>
                    <w:rPr>
                      <w:color w:val="auto"/>
                      <w:highlight w:val="none"/>
                    </w:rPr>
                  </w:pPr>
                </w:p>
              </w:tc>
              <w:tc>
                <w:tcPr>
                  <w:tcW w:w="5409" w:type="dxa"/>
                  <w:gridSpan w:val="2"/>
                  <w:tcBorders>
                    <w:tl2br w:val="nil"/>
                    <w:tr2bl w:val="nil"/>
                  </w:tcBorders>
                  <w:tcMar>
                    <w:top w:w="0" w:type="dxa"/>
                    <w:left w:w="28" w:type="dxa"/>
                    <w:bottom w:w="0" w:type="dxa"/>
                    <w:right w:w="28" w:type="dxa"/>
                  </w:tcMar>
                  <w:vAlign w:val="center"/>
                </w:tcPr>
                <w:p>
                  <w:pPr>
                    <w:pStyle w:val="113"/>
                    <w:rPr>
                      <w:color w:val="auto"/>
                      <w:highlight w:val="none"/>
                    </w:rPr>
                  </w:pPr>
                </w:p>
              </w:tc>
              <w:tc>
                <w:tcPr>
                  <w:tcW w:w="2199" w:type="dxa"/>
                  <w:tcBorders>
                    <w:tl2br w:val="nil"/>
                    <w:tr2bl w:val="nil"/>
                  </w:tcBorders>
                  <w:tcMar>
                    <w:top w:w="0" w:type="dxa"/>
                    <w:left w:w="28" w:type="dxa"/>
                    <w:bottom w:w="0" w:type="dxa"/>
                    <w:right w:w="28" w:type="dxa"/>
                  </w:tcMar>
                  <w:vAlign w:val="center"/>
                </w:tcPr>
                <w:p>
                  <w:pPr>
                    <w:pStyle w:val="113"/>
                    <w:rPr>
                      <w:color w:val="auto"/>
                      <w:highlight w:val="none"/>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tcMar>
                    <w:top w:w="0" w:type="dxa"/>
                    <w:left w:w="28" w:type="dxa"/>
                    <w:bottom w:w="0" w:type="dxa"/>
                    <w:right w:w="28" w:type="dxa"/>
                  </w:tcMar>
                  <w:vAlign w:val="center"/>
                </w:tcPr>
                <w:p>
                  <w:pPr>
                    <w:pStyle w:val="113"/>
                    <w:rPr>
                      <w:color w:val="auto"/>
                      <w:highlight w:val="none"/>
                    </w:rPr>
                  </w:pPr>
                </w:p>
              </w:tc>
              <w:tc>
                <w:tcPr>
                  <w:tcW w:w="802" w:type="dxa"/>
                  <w:tcBorders>
                    <w:tl2br w:val="nil"/>
                    <w:tr2bl w:val="nil"/>
                  </w:tcBorders>
                  <w:tcMar>
                    <w:top w:w="0" w:type="dxa"/>
                    <w:left w:w="28" w:type="dxa"/>
                    <w:bottom w:w="0" w:type="dxa"/>
                    <w:right w:w="28" w:type="dxa"/>
                  </w:tcMar>
                  <w:vAlign w:val="center"/>
                </w:tcPr>
                <w:p>
                  <w:pPr>
                    <w:pStyle w:val="113"/>
                    <w:rPr>
                      <w:color w:val="auto"/>
                      <w:highlight w:val="none"/>
                    </w:rPr>
                  </w:pPr>
                </w:p>
              </w:tc>
              <w:tc>
                <w:tcPr>
                  <w:tcW w:w="4011" w:type="dxa"/>
                  <w:tcBorders>
                    <w:tl2br w:val="nil"/>
                    <w:tr2bl w:val="nil"/>
                  </w:tcBorders>
                  <w:tcMar>
                    <w:top w:w="0" w:type="dxa"/>
                    <w:left w:w="28" w:type="dxa"/>
                    <w:bottom w:w="0" w:type="dxa"/>
                    <w:right w:w="28" w:type="dxa"/>
                  </w:tcMar>
                  <w:vAlign w:val="center"/>
                </w:tcPr>
                <w:p>
                  <w:pPr>
                    <w:pStyle w:val="113"/>
                    <w:rPr>
                      <w:color w:val="auto"/>
                      <w:highlight w:val="none"/>
                    </w:rPr>
                  </w:pPr>
                </w:p>
              </w:tc>
              <w:tc>
                <w:tcPr>
                  <w:tcW w:w="5409" w:type="dxa"/>
                  <w:gridSpan w:val="2"/>
                  <w:tcBorders>
                    <w:tl2br w:val="nil"/>
                    <w:tr2bl w:val="nil"/>
                  </w:tcBorders>
                  <w:tcMar>
                    <w:top w:w="0" w:type="dxa"/>
                    <w:left w:w="28" w:type="dxa"/>
                    <w:bottom w:w="0" w:type="dxa"/>
                    <w:right w:w="28" w:type="dxa"/>
                  </w:tcMar>
                  <w:vAlign w:val="center"/>
                </w:tcPr>
                <w:p>
                  <w:pPr>
                    <w:pStyle w:val="113"/>
                    <w:rPr>
                      <w:color w:val="auto"/>
                      <w:highlight w:val="none"/>
                    </w:rPr>
                  </w:pPr>
                </w:p>
              </w:tc>
              <w:tc>
                <w:tcPr>
                  <w:tcW w:w="2199" w:type="dxa"/>
                  <w:tcBorders>
                    <w:tl2br w:val="nil"/>
                    <w:tr2bl w:val="nil"/>
                  </w:tcBorders>
                  <w:tcMar>
                    <w:top w:w="0" w:type="dxa"/>
                    <w:left w:w="28" w:type="dxa"/>
                    <w:bottom w:w="0" w:type="dxa"/>
                    <w:right w:w="28" w:type="dxa"/>
                  </w:tcMar>
                  <w:vAlign w:val="center"/>
                </w:tcPr>
                <w:p>
                  <w:pPr>
                    <w:pStyle w:val="113"/>
                    <w:rPr>
                      <w:color w:val="auto"/>
                      <w:highlight w:val="none"/>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restart"/>
                  <w:tcBorders>
                    <w:tl2br w:val="nil"/>
                    <w:tr2bl w:val="nil"/>
                  </w:tcBorders>
                  <w:tcMar>
                    <w:top w:w="0" w:type="dxa"/>
                    <w:left w:w="28" w:type="dxa"/>
                    <w:bottom w:w="0" w:type="dxa"/>
                    <w:right w:w="28" w:type="dxa"/>
                  </w:tcMar>
                  <w:vAlign w:val="center"/>
                </w:tcPr>
                <w:p>
                  <w:pPr>
                    <w:pStyle w:val="113"/>
                    <w:rPr>
                      <w:color w:val="auto"/>
                      <w:highlight w:val="none"/>
                    </w:rPr>
                  </w:pPr>
                </w:p>
              </w:tc>
              <w:tc>
                <w:tcPr>
                  <w:tcW w:w="802" w:type="dxa"/>
                  <w:tcBorders>
                    <w:tl2br w:val="nil"/>
                    <w:tr2bl w:val="nil"/>
                  </w:tcBorders>
                  <w:tcMar>
                    <w:top w:w="0" w:type="dxa"/>
                    <w:left w:w="28" w:type="dxa"/>
                    <w:bottom w:w="0" w:type="dxa"/>
                    <w:right w:w="28" w:type="dxa"/>
                  </w:tcMar>
                  <w:vAlign w:val="center"/>
                </w:tcPr>
                <w:p>
                  <w:pPr>
                    <w:pStyle w:val="113"/>
                    <w:rPr>
                      <w:color w:val="auto"/>
                      <w:highlight w:val="none"/>
                    </w:rPr>
                  </w:pPr>
                </w:p>
              </w:tc>
              <w:tc>
                <w:tcPr>
                  <w:tcW w:w="4011" w:type="dxa"/>
                  <w:tcBorders>
                    <w:tl2br w:val="nil"/>
                    <w:tr2bl w:val="nil"/>
                  </w:tcBorders>
                  <w:tcMar>
                    <w:top w:w="0" w:type="dxa"/>
                    <w:left w:w="28" w:type="dxa"/>
                    <w:bottom w:w="0" w:type="dxa"/>
                    <w:right w:w="28" w:type="dxa"/>
                  </w:tcMar>
                  <w:vAlign w:val="center"/>
                </w:tcPr>
                <w:p>
                  <w:pPr>
                    <w:pStyle w:val="113"/>
                    <w:rPr>
                      <w:color w:val="auto"/>
                      <w:highlight w:val="none"/>
                    </w:rPr>
                  </w:pPr>
                </w:p>
              </w:tc>
              <w:tc>
                <w:tcPr>
                  <w:tcW w:w="5409" w:type="dxa"/>
                  <w:gridSpan w:val="2"/>
                  <w:tcBorders>
                    <w:tl2br w:val="nil"/>
                    <w:tr2bl w:val="nil"/>
                  </w:tcBorders>
                  <w:tcMar>
                    <w:top w:w="0" w:type="dxa"/>
                    <w:left w:w="28" w:type="dxa"/>
                    <w:bottom w:w="0" w:type="dxa"/>
                    <w:right w:w="28" w:type="dxa"/>
                  </w:tcMar>
                  <w:vAlign w:val="center"/>
                </w:tcPr>
                <w:p>
                  <w:pPr>
                    <w:pStyle w:val="113"/>
                    <w:rPr>
                      <w:color w:val="auto"/>
                      <w:highlight w:val="none"/>
                    </w:rPr>
                  </w:pPr>
                </w:p>
              </w:tc>
              <w:tc>
                <w:tcPr>
                  <w:tcW w:w="2199" w:type="dxa"/>
                  <w:tcBorders>
                    <w:tl2br w:val="nil"/>
                    <w:tr2bl w:val="nil"/>
                  </w:tcBorders>
                  <w:tcMar>
                    <w:top w:w="0" w:type="dxa"/>
                    <w:left w:w="28" w:type="dxa"/>
                    <w:bottom w:w="0" w:type="dxa"/>
                    <w:right w:w="28" w:type="dxa"/>
                  </w:tcMar>
                  <w:vAlign w:val="center"/>
                </w:tcPr>
                <w:p>
                  <w:pPr>
                    <w:pStyle w:val="113"/>
                    <w:rPr>
                      <w:color w:val="auto"/>
                      <w:highlight w:val="none"/>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vAlign w:val="center"/>
                </w:tcPr>
                <w:p>
                  <w:pPr>
                    <w:pStyle w:val="113"/>
                    <w:rPr>
                      <w:color w:val="auto"/>
                      <w:highlight w:val="none"/>
                    </w:rPr>
                  </w:pPr>
                </w:p>
              </w:tc>
              <w:tc>
                <w:tcPr>
                  <w:tcW w:w="802" w:type="dxa"/>
                  <w:tcBorders>
                    <w:tl2br w:val="nil"/>
                    <w:tr2bl w:val="nil"/>
                  </w:tcBorders>
                  <w:tcMar>
                    <w:top w:w="0" w:type="dxa"/>
                    <w:left w:w="28" w:type="dxa"/>
                    <w:bottom w:w="0" w:type="dxa"/>
                    <w:right w:w="28" w:type="dxa"/>
                  </w:tcMar>
                  <w:vAlign w:val="center"/>
                </w:tcPr>
                <w:p>
                  <w:pPr>
                    <w:pStyle w:val="113"/>
                    <w:rPr>
                      <w:color w:val="auto"/>
                      <w:highlight w:val="none"/>
                    </w:rPr>
                  </w:pPr>
                </w:p>
              </w:tc>
              <w:tc>
                <w:tcPr>
                  <w:tcW w:w="4011" w:type="dxa"/>
                  <w:tcBorders>
                    <w:tl2br w:val="nil"/>
                    <w:tr2bl w:val="nil"/>
                  </w:tcBorders>
                  <w:tcMar>
                    <w:top w:w="0" w:type="dxa"/>
                    <w:left w:w="28" w:type="dxa"/>
                    <w:bottom w:w="0" w:type="dxa"/>
                    <w:right w:w="28" w:type="dxa"/>
                  </w:tcMar>
                  <w:vAlign w:val="center"/>
                </w:tcPr>
                <w:p>
                  <w:pPr>
                    <w:pStyle w:val="113"/>
                    <w:rPr>
                      <w:color w:val="auto"/>
                      <w:highlight w:val="none"/>
                    </w:rPr>
                  </w:pPr>
                </w:p>
              </w:tc>
              <w:tc>
                <w:tcPr>
                  <w:tcW w:w="5409" w:type="dxa"/>
                  <w:gridSpan w:val="2"/>
                  <w:tcBorders>
                    <w:tl2br w:val="nil"/>
                    <w:tr2bl w:val="nil"/>
                  </w:tcBorders>
                  <w:tcMar>
                    <w:top w:w="0" w:type="dxa"/>
                    <w:left w:w="28" w:type="dxa"/>
                    <w:bottom w:w="0" w:type="dxa"/>
                    <w:right w:w="28" w:type="dxa"/>
                  </w:tcMar>
                  <w:vAlign w:val="center"/>
                </w:tcPr>
                <w:p>
                  <w:pPr>
                    <w:pStyle w:val="113"/>
                    <w:rPr>
                      <w:color w:val="auto"/>
                      <w:highlight w:val="none"/>
                    </w:rPr>
                  </w:pPr>
                </w:p>
              </w:tc>
              <w:tc>
                <w:tcPr>
                  <w:tcW w:w="2199" w:type="dxa"/>
                  <w:tcBorders>
                    <w:tl2br w:val="nil"/>
                    <w:tr2bl w:val="nil"/>
                  </w:tcBorders>
                  <w:tcMar>
                    <w:top w:w="0" w:type="dxa"/>
                    <w:left w:w="28" w:type="dxa"/>
                    <w:bottom w:w="0" w:type="dxa"/>
                    <w:right w:w="28" w:type="dxa"/>
                  </w:tcMar>
                  <w:vAlign w:val="center"/>
                </w:tcPr>
                <w:p>
                  <w:pPr>
                    <w:pStyle w:val="113"/>
                    <w:rPr>
                      <w:rFonts w:hint="default" w:eastAsia="宋体"/>
                      <w:color w:val="auto"/>
                      <w:highlight w:val="none"/>
                      <w:lang w:val="en-US" w:eastAsia="zh-CN"/>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vAlign w:val="center"/>
                </w:tcPr>
                <w:p>
                  <w:pPr>
                    <w:pStyle w:val="113"/>
                    <w:rPr>
                      <w:color w:val="auto"/>
                      <w:highlight w:val="none"/>
                    </w:rPr>
                  </w:pPr>
                </w:p>
              </w:tc>
              <w:tc>
                <w:tcPr>
                  <w:tcW w:w="802" w:type="dxa"/>
                  <w:tcBorders>
                    <w:tl2br w:val="nil"/>
                    <w:tr2bl w:val="nil"/>
                  </w:tcBorders>
                  <w:tcMar>
                    <w:top w:w="0" w:type="dxa"/>
                    <w:left w:w="28" w:type="dxa"/>
                    <w:bottom w:w="0" w:type="dxa"/>
                    <w:right w:w="28" w:type="dxa"/>
                  </w:tcMar>
                  <w:vAlign w:val="center"/>
                </w:tcPr>
                <w:p>
                  <w:pPr>
                    <w:pStyle w:val="113"/>
                    <w:rPr>
                      <w:color w:val="auto"/>
                      <w:highlight w:val="none"/>
                    </w:rPr>
                  </w:pPr>
                </w:p>
              </w:tc>
              <w:tc>
                <w:tcPr>
                  <w:tcW w:w="4011" w:type="dxa"/>
                  <w:tcBorders>
                    <w:tl2br w:val="nil"/>
                    <w:tr2bl w:val="nil"/>
                  </w:tcBorders>
                  <w:tcMar>
                    <w:top w:w="0" w:type="dxa"/>
                    <w:left w:w="28" w:type="dxa"/>
                    <w:bottom w:w="0" w:type="dxa"/>
                    <w:right w:w="28" w:type="dxa"/>
                  </w:tcMar>
                  <w:vAlign w:val="center"/>
                </w:tcPr>
                <w:p>
                  <w:pPr>
                    <w:pStyle w:val="113"/>
                    <w:rPr>
                      <w:color w:val="auto"/>
                      <w:highlight w:val="none"/>
                    </w:rPr>
                  </w:pPr>
                </w:p>
              </w:tc>
              <w:tc>
                <w:tcPr>
                  <w:tcW w:w="5409" w:type="dxa"/>
                  <w:gridSpan w:val="2"/>
                  <w:tcBorders>
                    <w:tl2br w:val="nil"/>
                    <w:tr2bl w:val="nil"/>
                  </w:tcBorders>
                  <w:tcMar>
                    <w:top w:w="0" w:type="dxa"/>
                    <w:left w:w="28" w:type="dxa"/>
                    <w:bottom w:w="0" w:type="dxa"/>
                    <w:right w:w="28" w:type="dxa"/>
                  </w:tcMar>
                  <w:vAlign w:val="center"/>
                </w:tcPr>
                <w:p>
                  <w:pPr>
                    <w:pStyle w:val="113"/>
                    <w:rPr>
                      <w:color w:val="auto"/>
                      <w:highlight w:val="none"/>
                    </w:rPr>
                  </w:pPr>
                </w:p>
              </w:tc>
              <w:tc>
                <w:tcPr>
                  <w:tcW w:w="2199" w:type="dxa"/>
                  <w:tcBorders>
                    <w:tl2br w:val="nil"/>
                    <w:tr2bl w:val="nil"/>
                  </w:tcBorders>
                  <w:tcMar>
                    <w:top w:w="0" w:type="dxa"/>
                    <w:left w:w="28" w:type="dxa"/>
                    <w:bottom w:w="0" w:type="dxa"/>
                    <w:right w:w="28" w:type="dxa"/>
                  </w:tcMar>
                  <w:vAlign w:val="center"/>
                </w:tcPr>
                <w:p>
                  <w:pPr>
                    <w:pStyle w:val="113"/>
                    <w:rPr>
                      <w:color w:val="auto"/>
                      <w:highlight w:val="none"/>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vAlign w:val="center"/>
                </w:tcPr>
                <w:p>
                  <w:pPr>
                    <w:pStyle w:val="113"/>
                    <w:rPr>
                      <w:color w:val="auto"/>
                      <w:highlight w:val="none"/>
                    </w:rPr>
                  </w:pPr>
                </w:p>
              </w:tc>
              <w:tc>
                <w:tcPr>
                  <w:tcW w:w="802" w:type="dxa"/>
                  <w:tcBorders>
                    <w:tl2br w:val="nil"/>
                    <w:tr2bl w:val="nil"/>
                  </w:tcBorders>
                  <w:tcMar>
                    <w:top w:w="0" w:type="dxa"/>
                    <w:left w:w="28" w:type="dxa"/>
                    <w:bottom w:w="0" w:type="dxa"/>
                    <w:right w:w="28" w:type="dxa"/>
                  </w:tcMar>
                  <w:vAlign w:val="center"/>
                </w:tcPr>
                <w:p>
                  <w:pPr>
                    <w:pStyle w:val="113"/>
                    <w:rPr>
                      <w:color w:val="auto"/>
                      <w:highlight w:val="none"/>
                    </w:rPr>
                  </w:pPr>
                </w:p>
              </w:tc>
              <w:tc>
                <w:tcPr>
                  <w:tcW w:w="4011" w:type="dxa"/>
                  <w:tcBorders>
                    <w:tl2br w:val="nil"/>
                    <w:tr2bl w:val="nil"/>
                  </w:tcBorders>
                  <w:tcMar>
                    <w:top w:w="0" w:type="dxa"/>
                    <w:left w:w="28" w:type="dxa"/>
                    <w:bottom w:w="0" w:type="dxa"/>
                    <w:right w:w="28" w:type="dxa"/>
                  </w:tcMar>
                  <w:vAlign w:val="center"/>
                </w:tcPr>
                <w:p>
                  <w:pPr>
                    <w:pStyle w:val="113"/>
                    <w:rPr>
                      <w:color w:val="auto"/>
                      <w:highlight w:val="none"/>
                    </w:rPr>
                  </w:pPr>
                </w:p>
              </w:tc>
              <w:tc>
                <w:tcPr>
                  <w:tcW w:w="5409" w:type="dxa"/>
                  <w:gridSpan w:val="2"/>
                  <w:tcBorders>
                    <w:tl2br w:val="nil"/>
                    <w:tr2bl w:val="nil"/>
                  </w:tcBorders>
                  <w:tcMar>
                    <w:top w:w="0" w:type="dxa"/>
                    <w:left w:w="28" w:type="dxa"/>
                    <w:bottom w:w="0" w:type="dxa"/>
                    <w:right w:w="28" w:type="dxa"/>
                  </w:tcMar>
                  <w:vAlign w:val="center"/>
                </w:tcPr>
                <w:p>
                  <w:pPr>
                    <w:pStyle w:val="113"/>
                    <w:rPr>
                      <w:color w:val="auto"/>
                      <w:highlight w:val="none"/>
                    </w:rPr>
                  </w:pPr>
                </w:p>
              </w:tc>
              <w:tc>
                <w:tcPr>
                  <w:tcW w:w="2199" w:type="dxa"/>
                  <w:tcBorders>
                    <w:tl2br w:val="nil"/>
                    <w:tr2bl w:val="nil"/>
                  </w:tcBorders>
                  <w:tcMar>
                    <w:top w:w="0" w:type="dxa"/>
                    <w:left w:w="28" w:type="dxa"/>
                    <w:bottom w:w="0" w:type="dxa"/>
                    <w:right w:w="28" w:type="dxa"/>
                  </w:tcMar>
                  <w:vAlign w:val="center"/>
                </w:tcPr>
                <w:p>
                  <w:pPr>
                    <w:pStyle w:val="113"/>
                    <w:rPr>
                      <w:color w:val="auto"/>
                      <w:highlight w:val="none"/>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restart"/>
                  <w:tcBorders>
                    <w:tl2br w:val="nil"/>
                    <w:tr2bl w:val="nil"/>
                  </w:tcBorders>
                  <w:tcMar>
                    <w:top w:w="0" w:type="dxa"/>
                    <w:left w:w="28" w:type="dxa"/>
                    <w:bottom w:w="0" w:type="dxa"/>
                    <w:right w:w="28" w:type="dxa"/>
                  </w:tcMar>
                  <w:vAlign w:val="center"/>
                </w:tcPr>
                <w:p>
                  <w:pPr>
                    <w:pStyle w:val="113"/>
                    <w:rPr>
                      <w:color w:val="auto"/>
                      <w:highlight w:val="none"/>
                    </w:rPr>
                  </w:pPr>
                </w:p>
              </w:tc>
              <w:tc>
                <w:tcPr>
                  <w:tcW w:w="802" w:type="dxa"/>
                  <w:tcBorders>
                    <w:tl2br w:val="nil"/>
                    <w:tr2bl w:val="nil"/>
                  </w:tcBorders>
                  <w:tcMar>
                    <w:top w:w="0" w:type="dxa"/>
                    <w:left w:w="28" w:type="dxa"/>
                    <w:bottom w:w="0" w:type="dxa"/>
                    <w:right w:w="28" w:type="dxa"/>
                  </w:tcMar>
                  <w:vAlign w:val="center"/>
                </w:tcPr>
                <w:p>
                  <w:pPr>
                    <w:pStyle w:val="113"/>
                    <w:rPr>
                      <w:color w:val="auto"/>
                      <w:highlight w:val="none"/>
                    </w:rPr>
                  </w:pPr>
                </w:p>
              </w:tc>
              <w:tc>
                <w:tcPr>
                  <w:tcW w:w="4011" w:type="dxa"/>
                  <w:tcBorders>
                    <w:tl2br w:val="nil"/>
                    <w:tr2bl w:val="nil"/>
                  </w:tcBorders>
                  <w:tcMar>
                    <w:top w:w="0" w:type="dxa"/>
                    <w:left w:w="28" w:type="dxa"/>
                    <w:bottom w:w="0" w:type="dxa"/>
                    <w:right w:w="28" w:type="dxa"/>
                  </w:tcMar>
                  <w:vAlign w:val="center"/>
                </w:tcPr>
                <w:p>
                  <w:pPr>
                    <w:pStyle w:val="113"/>
                    <w:rPr>
                      <w:color w:val="auto"/>
                      <w:highlight w:val="none"/>
                    </w:rPr>
                  </w:pPr>
                </w:p>
              </w:tc>
              <w:tc>
                <w:tcPr>
                  <w:tcW w:w="5409" w:type="dxa"/>
                  <w:gridSpan w:val="2"/>
                  <w:tcBorders>
                    <w:tl2br w:val="nil"/>
                    <w:tr2bl w:val="nil"/>
                  </w:tcBorders>
                  <w:tcMar>
                    <w:top w:w="0" w:type="dxa"/>
                    <w:left w:w="28" w:type="dxa"/>
                    <w:bottom w:w="0" w:type="dxa"/>
                    <w:right w:w="28" w:type="dxa"/>
                  </w:tcMar>
                  <w:vAlign w:val="center"/>
                </w:tcPr>
                <w:p>
                  <w:pPr>
                    <w:pStyle w:val="113"/>
                    <w:rPr>
                      <w:color w:val="auto"/>
                      <w:highlight w:val="none"/>
                    </w:rPr>
                  </w:pPr>
                </w:p>
              </w:tc>
              <w:tc>
                <w:tcPr>
                  <w:tcW w:w="2199" w:type="dxa"/>
                  <w:tcBorders>
                    <w:tl2br w:val="nil"/>
                    <w:tr2bl w:val="nil"/>
                  </w:tcBorders>
                  <w:tcMar>
                    <w:top w:w="0" w:type="dxa"/>
                    <w:left w:w="28" w:type="dxa"/>
                    <w:bottom w:w="0" w:type="dxa"/>
                    <w:right w:w="28" w:type="dxa"/>
                  </w:tcMar>
                  <w:vAlign w:val="center"/>
                </w:tcPr>
                <w:p>
                  <w:pPr>
                    <w:pStyle w:val="113"/>
                    <w:rPr>
                      <w:rFonts w:hint="default" w:eastAsia="宋体"/>
                      <w:color w:val="auto"/>
                      <w:highlight w:val="none"/>
                      <w:lang w:val="en-US" w:eastAsia="zh-CN"/>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vAlign w:val="center"/>
                </w:tcPr>
                <w:p>
                  <w:pPr>
                    <w:pStyle w:val="113"/>
                    <w:rPr>
                      <w:color w:val="auto"/>
                      <w:highlight w:val="none"/>
                    </w:rPr>
                  </w:pPr>
                </w:p>
              </w:tc>
              <w:tc>
                <w:tcPr>
                  <w:tcW w:w="802" w:type="dxa"/>
                  <w:tcBorders>
                    <w:tl2br w:val="nil"/>
                    <w:tr2bl w:val="nil"/>
                  </w:tcBorders>
                  <w:tcMar>
                    <w:top w:w="0" w:type="dxa"/>
                    <w:left w:w="28" w:type="dxa"/>
                    <w:bottom w:w="0" w:type="dxa"/>
                    <w:right w:w="28" w:type="dxa"/>
                  </w:tcMar>
                  <w:vAlign w:val="center"/>
                </w:tcPr>
                <w:p>
                  <w:pPr>
                    <w:pStyle w:val="113"/>
                    <w:rPr>
                      <w:color w:val="auto"/>
                      <w:highlight w:val="none"/>
                    </w:rPr>
                  </w:pPr>
                </w:p>
              </w:tc>
              <w:tc>
                <w:tcPr>
                  <w:tcW w:w="4011" w:type="dxa"/>
                  <w:tcBorders>
                    <w:tl2br w:val="nil"/>
                    <w:tr2bl w:val="nil"/>
                  </w:tcBorders>
                  <w:tcMar>
                    <w:top w:w="0" w:type="dxa"/>
                    <w:left w:w="28" w:type="dxa"/>
                    <w:bottom w:w="0" w:type="dxa"/>
                    <w:right w:w="28" w:type="dxa"/>
                  </w:tcMar>
                  <w:vAlign w:val="center"/>
                </w:tcPr>
                <w:p>
                  <w:pPr>
                    <w:pStyle w:val="113"/>
                    <w:rPr>
                      <w:color w:val="auto"/>
                      <w:highlight w:val="none"/>
                    </w:rPr>
                  </w:pPr>
                </w:p>
              </w:tc>
              <w:tc>
                <w:tcPr>
                  <w:tcW w:w="5409" w:type="dxa"/>
                  <w:gridSpan w:val="2"/>
                  <w:tcBorders>
                    <w:tl2br w:val="nil"/>
                    <w:tr2bl w:val="nil"/>
                  </w:tcBorders>
                  <w:tcMar>
                    <w:top w:w="0" w:type="dxa"/>
                    <w:left w:w="28" w:type="dxa"/>
                    <w:bottom w:w="0" w:type="dxa"/>
                    <w:right w:w="28" w:type="dxa"/>
                  </w:tcMar>
                  <w:vAlign w:val="center"/>
                </w:tcPr>
                <w:p>
                  <w:pPr>
                    <w:pStyle w:val="113"/>
                    <w:rPr>
                      <w:rFonts w:hint="eastAsia" w:eastAsia="宋体"/>
                      <w:color w:val="auto"/>
                      <w:highlight w:val="none"/>
                      <w:lang w:eastAsia="zh-CN"/>
                    </w:rPr>
                  </w:pPr>
                </w:p>
              </w:tc>
              <w:tc>
                <w:tcPr>
                  <w:tcW w:w="2199" w:type="dxa"/>
                  <w:tcBorders>
                    <w:tl2br w:val="nil"/>
                    <w:tr2bl w:val="nil"/>
                  </w:tcBorders>
                  <w:tcMar>
                    <w:top w:w="0" w:type="dxa"/>
                    <w:left w:w="28" w:type="dxa"/>
                    <w:bottom w:w="0" w:type="dxa"/>
                    <w:right w:w="28" w:type="dxa"/>
                  </w:tcMar>
                  <w:vAlign w:val="center"/>
                </w:tcPr>
                <w:p>
                  <w:pPr>
                    <w:pStyle w:val="113"/>
                    <w:rPr>
                      <w:rFonts w:hint="default" w:eastAsia="宋体"/>
                      <w:color w:val="auto"/>
                      <w:spacing w:val="-1"/>
                      <w:highlight w:val="none"/>
                      <w:lang w:val="en-US" w:eastAsia="zh-CN"/>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vAlign w:val="center"/>
                </w:tcPr>
                <w:p>
                  <w:pPr>
                    <w:pStyle w:val="113"/>
                    <w:rPr>
                      <w:color w:val="auto"/>
                      <w:highlight w:val="none"/>
                    </w:rPr>
                  </w:pPr>
                </w:p>
              </w:tc>
              <w:tc>
                <w:tcPr>
                  <w:tcW w:w="802" w:type="dxa"/>
                  <w:tcBorders>
                    <w:tl2br w:val="nil"/>
                    <w:tr2bl w:val="nil"/>
                  </w:tcBorders>
                  <w:tcMar>
                    <w:top w:w="0" w:type="dxa"/>
                    <w:left w:w="28" w:type="dxa"/>
                    <w:bottom w:w="0" w:type="dxa"/>
                    <w:right w:w="28" w:type="dxa"/>
                  </w:tcMar>
                  <w:vAlign w:val="center"/>
                </w:tcPr>
                <w:p>
                  <w:pPr>
                    <w:pStyle w:val="113"/>
                    <w:rPr>
                      <w:color w:val="auto"/>
                      <w:highlight w:val="none"/>
                    </w:rPr>
                  </w:pPr>
                </w:p>
              </w:tc>
              <w:tc>
                <w:tcPr>
                  <w:tcW w:w="4011" w:type="dxa"/>
                  <w:tcBorders>
                    <w:tl2br w:val="nil"/>
                    <w:tr2bl w:val="nil"/>
                  </w:tcBorders>
                  <w:tcMar>
                    <w:top w:w="0" w:type="dxa"/>
                    <w:left w:w="28" w:type="dxa"/>
                    <w:bottom w:w="0" w:type="dxa"/>
                    <w:right w:w="28" w:type="dxa"/>
                  </w:tcMar>
                  <w:vAlign w:val="center"/>
                </w:tcPr>
                <w:p>
                  <w:pPr>
                    <w:pStyle w:val="113"/>
                    <w:rPr>
                      <w:color w:val="auto"/>
                      <w:highlight w:val="none"/>
                    </w:rPr>
                  </w:pPr>
                </w:p>
              </w:tc>
              <w:tc>
                <w:tcPr>
                  <w:tcW w:w="5409" w:type="dxa"/>
                  <w:gridSpan w:val="2"/>
                  <w:tcBorders>
                    <w:tl2br w:val="nil"/>
                    <w:tr2bl w:val="nil"/>
                  </w:tcBorders>
                  <w:tcMar>
                    <w:top w:w="0" w:type="dxa"/>
                    <w:left w:w="28" w:type="dxa"/>
                    <w:bottom w:w="0" w:type="dxa"/>
                    <w:right w:w="28" w:type="dxa"/>
                  </w:tcMar>
                  <w:vAlign w:val="center"/>
                </w:tcPr>
                <w:p>
                  <w:pPr>
                    <w:pStyle w:val="113"/>
                    <w:rPr>
                      <w:rFonts w:hint="eastAsia" w:eastAsia="宋体"/>
                      <w:color w:val="auto"/>
                      <w:highlight w:val="none"/>
                      <w:lang w:eastAsia="zh-CN"/>
                    </w:rPr>
                  </w:pPr>
                </w:p>
              </w:tc>
              <w:tc>
                <w:tcPr>
                  <w:tcW w:w="2199" w:type="dxa"/>
                  <w:tcBorders>
                    <w:tl2br w:val="nil"/>
                    <w:tr2bl w:val="nil"/>
                  </w:tcBorders>
                  <w:tcMar>
                    <w:top w:w="0" w:type="dxa"/>
                    <w:left w:w="28" w:type="dxa"/>
                    <w:bottom w:w="0" w:type="dxa"/>
                    <w:right w:w="28" w:type="dxa"/>
                  </w:tcMar>
                  <w:vAlign w:val="center"/>
                </w:tcPr>
                <w:p>
                  <w:pPr>
                    <w:pStyle w:val="113"/>
                    <w:rPr>
                      <w:rFonts w:hint="default" w:eastAsia="宋体"/>
                      <w:color w:val="auto"/>
                      <w:highlight w:val="none"/>
                      <w:lang w:val="en-US" w:eastAsia="zh-CN"/>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9" w:type="dxa"/>
                  <w:vMerge w:val="continue"/>
                  <w:tcBorders>
                    <w:tl2br w:val="nil"/>
                    <w:tr2bl w:val="nil"/>
                  </w:tcBorders>
                  <w:vAlign w:val="center"/>
                </w:tcPr>
                <w:p>
                  <w:pPr>
                    <w:pStyle w:val="113"/>
                    <w:rPr>
                      <w:color w:val="auto"/>
                      <w:highlight w:val="none"/>
                    </w:rPr>
                  </w:pPr>
                </w:p>
              </w:tc>
              <w:tc>
                <w:tcPr>
                  <w:tcW w:w="802" w:type="dxa"/>
                  <w:tcBorders>
                    <w:tl2br w:val="nil"/>
                    <w:tr2bl w:val="nil"/>
                  </w:tcBorders>
                  <w:tcMar>
                    <w:top w:w="0" w:type="dxa"/>
                    <w:left w:w="28" w:type="dxa"/>
                    <w:bottom w:w="0" w:type="dxa"/>
                    <w:right w:w="28" w:type="dxa"/>
                  </w:tcMar>
                  <w:vAlign w:val="center"/>
                </w:tcPr>
                <w:p>
                  <w:pPr>
                    <w:pStyle w:val="113"/>
                    <w:rPr>
                      <w:color w:val="auto"/>
                      <w:highlight w:val="none"/>
                    </w:rPr>
                  </w:pPr>
                </w:p>
              </w:tc>
              <w:tc>
                <w:tcPr>
                  <w:tcW w:w="4011" w:type="dxa"/>
                  <w:tcBorders>
                    <w:tl2br w:val="nil"/>
                    <w:tr2bl w:val="nil"/>
                  </w:tcBorders>
                  <w:tcMar>
                    <w:top w:w="0" w:type="dxa"/>
                    <w:left w:w="28" w:type="dxa"/>
                    <w:bottom w:w="0" w:type="dxa"/>
                    <w:right w:w="28" w:type="dxa"/>
                  </w:tcMar>
                  <w:vAlign w:val="center"/>
                </w:tcPr>
                <w:p>
                  <w:pPr>
                    <w:pStyle w:val="113"/>
                    <w:rPr>
                      <w:color w:val="auto"/>
                      <w:highlight w:val="none"/>
                    </w:rPr>
                  </w:pPr>
                </w:p>
              </w:tc>
              <w:tc>
                <w:tcPr>
                  <w:tcW w:w="5409" w:type="dxa"/>
                  <w:gridSpan w:val="2"/>
                  <w:tcBorders>
                    <w:tl2br w:val="nil"/>
                    <w:tr2bl w:val="nil"/>
                  </w:tcBorders>
                  <w:tcMar>
                    <w:top w:w="0" w:type="dxa"/>
                    <w:left w:w="28" w:type="dxa"/>
                    <w:bottom w:w="0" w:type="dxa"/>
                    <w:right w:w="28" w:type="dxa"/>
                  </w:tcMar>
                  <w:vAlign w:val="center"/>
                </w:tcPr>
                <w:p>
                  <w:pPr>
                    <w:pStyle w:val="113"/>
                    <w:rPr>
                      <w:color w:val="auto"/>
                      <w:highlight w:val="none"/>
                    </w:rPr>
                  </w:pPr>
                </w:p>
              </w:tc>
              <w:tc>
                <w:tcPr>
                  <w:tcW w:w="2199" w:type="dxa"/>
                  <w:tcBorders>
                    <w:tl2br w:val="nil"/>
                    <w:tr2bl w:val="nil"/>
                  </w:tcBorders>
                  <w:tcMar>
                    <w:top w:w="0" w:type="dxa"/>
                    <w:left w:w="28" w:type="dxa"/>
                    <w:bottom w:w="0" w:type="dxa"/>
                    <w:right w:w="28" w:type="dxa"/>
                  </w:tcMar>
                  <w:vAlign w:val="center"/>
                </w:tcPr>
                <w:p>
                  <w:pPr>
                    <w:pStyle w:val="113"/>
                    <w:rPr>
                      <w:color w:val="auto"/>
                      <w:highlight w:val="none"/>
                    </w:rPr>
                  </w:pPr>
                </w:p>
              </w:tc>
            </w:tr>
          </w:tbl>
          <w:p>
            <w:pPr>
              <w:pStyle w:val="6"/>
              <w:rPr>
                <w:rStyle w:val="58"/>
                <w:b w:val="0"/>
                <w:bCs w:val="0"/>
                <w:color w:val="auto"/>
                <w:highlight w:val="none"/>
              </w:rPr>
            </w:pPr>
            <w:r>
              <w:rPr>
                <w:color w:val="auto"/>
                <w:highlight w:val="none"/>
              </w:rPr>
              <w:t>表2.</w:t>
            </w:r>
            <w:r>
              <w:rPr>
                <w:rFonts w:hint="eastAsia"/>
                <w:color w:val="auto"/>
                <w:highlight w:val="none"/>
              </w:rPr>
              <w:t>2-1</w:t>
            </w:r>
            <w:r>
              <w:rPr>
                <w:color w:val="auto"/>
                <w:highlight w:val="none"/>
              </w:rPr>
              <w:t>主要原辅材料一览表</w:t>
            </w:r>
          </w:p>
          <w:tbl>
            <w:tblPr>
              <w:tblStyle w:val="49"/>
              <w:tblW w:w="5000" w:type="pct"/>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37"/>
              <w:gridCol w:w="2200"/>
              <w:gridCol w:w="2350"/>
              <w:gridCol w:w="3642"/>
              <w:gridCol w:w="3961"/>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7" w:type="dxa"/>
                  <w:tcBorders>
                    <w:tl2br w:val="nil"/>
                    <w:tr2bl w:val="nil"/>
                  </w:tcBorders>
                  <w:tcMar>
                    <w:top w:w="0" w:type="dxa"/>
                    <w:left w:w="28" w:type="dxa"/>
                    <w:bottom w:w="0" w:type="dxa"/>
                    <w:right w:w="28" w:type="dxa"/>
                  </w:tcMar>
                  <w:vAlign w:val="center"/>
                </w:tcPr>
                <w:p>
                  <w:pPr>
                    <w:pStyle w:val="113"/>
                    <w:rPr>
                      <w:color w:val="auto"/>
                      <w:highlight w:val="none"/>
                    </w:rPr>
                  </w:pPr>
                </w:p>
              </w:tc>
              <w:tc>
                <w:tcPr>
                  <w:tcW w:w="2200" w:type="dxa"/>
                  <w:tcBorders>
                    <w:tl2br w:val="nil"/>
                    <w:tr2bl w:val="nil"/>
                  </w:tcBorders>
                  <w:tcMar>
                    <w:top w:w="0" w:type="dxa"/>
                    <w:left w:w="28" w:type="dxa"/>
                    <w:bottom w:w="0" w:type="dxa"/>
                    <w:right w:w="28" w:type="dxa"/>
                  </w:tcMar>
                  <w:vAlign w:val="center"/>
                </w:tcPr>
                <w:p>
                  <w:pPr>
                    <w:pStyle w:val="113"/>
                    <w:rPr>
                      <w:color w:val="auto"/>
                      <w:highlight w:val="none"/>
                    </w:rPr>
                  </w:pPr>
                </w:p>
              </w:tc>
              <w:tc>
                <w:tcPr>
                  <w:tcW w:w="2350" w:type="dxa"/>
                  <w:tcBorders>
                    <w:tl2br w:val="nil"/>
                    <w:tr2bl w:val="nil"/>
                  </w:tcBorders>
                  <w:vAlign w:val="center"/>
                </w:tcPr>
                <w:p>
                  <w:pPr>
                    <w:pStyle w:val="113"/>
                    <w:rPr>
                      <w:color w:val="auto"/>
                      <w:highlight w:val="none"/>
                    </w:rPr>
                  </w:pPr>
                </w:p>
              </w:tc>
              <w:tc>
                <w:tcPr>
                  <w:tcW w:w="3642" w:type="dxa"/>
                  <w:tcBorders>
                    <w:tl2br w:val="nil"/>
                    <w:tr2bl w:val="nil"/>
                  </w:tcBorders>
                  <w:vAlign w:val="center"/>
                </w:tcPr>
                <w:p>
                  <w:pPr>
                    <w:pStyle w:val="113"/>
                    <w:rPr>
                      <w:color w:val="auto"/>
                      <w:highlight w:val="none"/>
                    </w:rPr>
                  </w:pPr>
                </w:p>
              </w:tc>
              <w:tc>
                <w:tcPr>
                  <w:tcW w:w="3961" w:type="dxa"/>
                  <w:tcBorders>
                    <w:tl2br w:val="nil"/>
                    <w:tr2bl w:val="nil"/>
                  </w:tcBorders>
                  <w:vAlign w:val="center"/>
                </w:tcPr>
                <w:p>
                  <w:pPr>
                    <w:pStyle w:val="113"/>
                    <w:rPr>
                      <w:color w:val="auto"/>
                      <w:highlight w:val="none"/>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7" w:type="dxa"/>
                  <w:tcBorders>
                    <w:tl2br w:val="nil"/>
                    <w:tr2bl w:val="nil"/>
                  </w:tcBorders>
                  <w:tcMar>
                    <w:top w:w="0" w:type="dxa"/>
                    <w:left w:w="28" w:type="dxa"/>
                    <w:bottom w:w="0" w:type="dxa"/>
                    <w:right w:w="28" w:type="dxa"/>
                  </w:tcMar>
                  <w:vAlign w:val="center"/>
                </w:tcPr>
                <w:p>
                  <w:pPr>
                    <w:pStyle w:val="113"/>
                    <w:rPr>
                      <w:color w:val="auto"/>
                      <w:highlight w:val="none"/>
                    </w:rPr>
                  </w:pPr>
                </w:p>
              </w:tc>
              <w:tc>
                <w:tcPr>
                  <w:tcW w:w="2200" w:type="dxa"/>
                  <w:tcBorders>
                    <w:tl2br w:val="nil"/>
                    <w:tr2bl w:val="nil"/>
                  </w:tcBorders>
                  <w:tcMar>
                    <w:top w:w="0" w:type="dxa"/>
                    <w:left w:w="28" w:type="dxa"/>
                    <w:bottom w:w="0" w:type="dxa"/>
                    <w:right w:w="28" w:type="dxa"/>
                  </w:tcMar>
                  <w:vAlign w:val="center"/>
                </w:tcPr>
                <w:p>
                  <w:pPr>
                    <w:pStyle w:val="113"/>
                    <w:rPr>
                      <w:color w:val="auto"/>
                      <w:highlight w:val="none"/>
                    </w:rPr>
                  </w:pPr>
                </w:p>
              </w:tc>
              <w:tc>
                <w:tcPr>
                  <w:tcW w:w="2350" w:type="dxa"/>
                  <w:tcBorders>
                    <w:tl2br w:val="nil"/>
                    <w:tr2bl w:val="nil"/>
                  </w:tcBorders>
                  <w:vAlign w:val="center"/>
                </w:tcPr>
                <w:p>
                  <w:pPr>
                    <w:pStyle w:val="113"/>
                    <w:rPr>
                      <w:color w:val="auto"/>
                      <w:highlight w:val="none"/>
                    </w:rPr>
                  </w:pPr>
                </w:p>
              </w:tc>
              <w:tc>
                <w:tcPr>
                  <w:tcW w:w="3642" w:type="dxa"/>
                  <w:tcBorders>
                    <w:tl2br w:val="nil"/>
                    <w:tr2bl w:val="nil"/>
                  </w:tcBorders>
                  <w:vAlign w:val="center"/>
                </w:tcPr>
                <w:p>
                  <w:pPr>
                    <w:pStyle w:val="113"/>
                    <w:rPr>
                      <w:rFonts w:hint="eastAsia" w:eastAsia="宋体"/>
                      <w:color w:val="auto"/>
                      <w:highlight w:val="none"/>
                      <w:lang w:eastAsia="zh-CN"/>
                    </w:rPr>
                  </w:pPr>
                </w:p>
              </w:tc>
              <w:tc>
                <w:tcPr>
                  <w:tcW w:w="3961" w:type="dxa"/>
                  <w:tcBorders>
                    <w:tl2br w:val="nil"/>
                    <w:tr2bl w:val="nil"/>
                  </w:tcBorders>
                  <w:vAlign w:val="center"/>
                </w:tcPr>
                <w:p>
                  <w:pPr>
                    <w:pStyle w:val="113"/>
                    <w:rPr>
                      <w:rFonts w:hint="default"/>
                      <w:color w:val="auto"/>
                      <w:highlight w:val="none"/>
                      <w:lang w:val="en-US"/>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7" w:type="dxa"/>
                  <w:tcBorders>
                    <w:tl2br w:val="nil"/>
                    <w:tr2bl w:val="nil"/>
                  </w:tcBorders>
                  <w:tcMar>
                    <w:top w:w="0" w:type="dxa"/>
                    <w:left w:w="28" w:type="dxa"/>
                    <w:bottom w:w="0" w:type="dxa"/>
                    <w:right w:w="28" w:type="dxa"/>
                  </w:tcMar>
                  <w:vAlign w:val="center"/>
                </w:tcPr>
                <w:p>
                  <w:pPr>
                    <w:pStyle w:val="113"/>
                    <w:rPr>
                      <w:color w:val="auto"/>
                      <w:highlight w:val="none"/>
                    </w:rPr>
                  </w:pPr>
                </w:p>
              </w:tc>
              <w:tc>
                <w:tcPr>
                  <w:tcW w:w="2200" w:type="dxa"/>
                  <w:tcBorders>
                    <w:tl2br w:val="nil"/>
                    <w:tr2bl w:val="nil"/>
                  </w:tcBorders>
                  <w:tcMar>
                    <w:top w:w="0" w:type="dxa"/>
                    <w:left w:w="28" w:type="dxa"/>
                    <w:bottom w:w="0" w:type="dxa"/>
                    <w:right w:w="28" w:type="dxa"/>
                  </w:tcMar>
                  <w:vAlign w:val="center"/>
                </w:tcPr>
                <w:p>
                  <w:pPr>
                    <w:pStyle w:val="113"/>
                    <w:rPr>
                      <w:color w:val="auto"/>
                      <w:highlight w:val="none"/>
                    </w:rPr>
                  </w:pPr>
                </w:p>
              </w:tc>
              <w:tc>
                <w:tcPr>
                  <w:tcW w:w="2350" w:type="dxa"/>
                  <w:tcBorders>
                    <w:tl2br w:val="nil"/>
                    <w:tr2bl w:val="nil"/>
                  </w:tcBorders>
                  <w:vAlign w:val="center"/>
                </w:tcPr>
                <w:p>
                  <w:pPr>
                    <w:pStyle w:val="113"/>
                    <w:rPr>
                      <w:color w:val="auto"/>
                      <w:highlight w:val="none"/>
                    </w:rPr>
                  </w:pPr>
                </w:p>
              </w:tc>
              <w:tc>
                <w:tcPr>
                  <w:tcW w:w="3642" w:type="dxa"/>
                  <w:tcBorders>
                    <w:tl2br w:val="nil"/>
                    <w:tr2bl w:val="nil"/>
                  </w:tcBorders>
                  <w:vAlign w:val="center"/>
                </w:tcPr>
                <w:p>
                  <w:pPr>
                    <w:pStyle w:val="113"/>
                    <w:rPr>
                      <w:color w:val="auto"/>
                      <w:highlight w:val="none"/>
                    </w:rPr>
                  </w:pPr>
                </w:p>
              </w:tc>
              <w:tc>
                <w:tcPr>
                  <w:tcW w:w="3961" w:type="dxa"/>
                  <w:tcBorders>
                    <w:tl2br w:val="nil"/>
                    <w:tr2bl w:val="nil"/>
                  </w:tcBorders>
                  <w:vAlign w:val="center"/>
                </w:tcPr>
                <w:p>
                  <w:pPr>
                    <w:pStyle w:val="113"/>
                    <w:rPr>
                      <w:color w:val="auto"/>
                      <w:highlight w:val="none"/>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7" w:type="dxa"/>
                  <w:tcBorders>
                    <w:tl2br w:val="nil"/>
                    <w:tr2bl w:val="nil"/>
                  </w:tcBorders>
                  <w:tcMar>
                    <w:top w:w="0" w:type="dxa"/>
                    <w:left w:w="28" w:type="dxa"/>
                    <w:bottom w:w="0" w:type="dxa"/>
                    <w:right w:w="28" w:type="dxa"/>
                  </w:tcMar>
                  <w:vAlign w:val="center"/>
                </w:tcPr>
                <w:p>
                  <w:pPr>
                    <w:pStyle w:val="113"/>
                    <w:rPr>
                      <w:color w:val="auto"/>
                      <w:highlight w:val="none"/>
                    </w:rPr>
                  </w:pPr>
                </w:p>
              </w:tc>
              <w:tc>
                <w:tcPr>
                  <w:tcW w:w="2200" w:type="dxa"/>
                  <w:tcBorders>
                    <w:tl2br w:val="nil"/>
                    <w:tr2bl w:val="nil"/>
                  </w:tcBorders>
                  <w:tcMar>
                    <w:top w:w="0" w:type="dxa"/>
                    <w:left w:w="28" w:type="dxa"/>
                    <w:bottom w:w="0" w:type="dxa"/>
                    <w:right w:w="28" w:type="dxa"/>
                  </w:tcMar>
                  <w:vAlign w:val="center"/>
                </w:tcPr>
                <w:p>
                  <w:pPr>
                    <w:pStyle w:val="113"/>
                    <w:rPr>
                      <w:color w:val="auto"/>
                      <w:highlight w:val="none"/>
                    </w:rPr>
                  </w:pPr>
                </w:p>
              </w:tc>
              <w:tc>
                <w:tcPr>
                  <w:tcW w:w="2350" w:type="dxa"/>
                  <w:tcBorders>
                    <w:tl2br w:val="nil"/>
                    <w:tr2bl w:val="nil"/>
                  </w:tcBorders>
                  <w:vAlign w:val="center"/>
                </w:tcPr>
                <w:p>
                  <w:pPr>
                    <w:pStyle w:val="113"/>
                    <w:rPr>
                      <w:color w:val="auto"/>
                      <w:highlight w:val="none"/>
                    </w:rPr>
                  </w:pPr>
                </w:p>
              </w:tc>
              <w:tc>
                <w:tcPr>
                  <w:tcW w:w="3642" w:type="dxa"/>
                  <w:tcBorders>
                    <w:tl2br w:val="nil"/>
                    <w:tr2bl w:val="nil"/>
                  </w:tcBorders>
                  <w:vAlign w:val="center"/>
                </w:tcPr>
                <w:p>
                  <w:pPr>
                    <w:pStyle w:val="113"/>
                    <w:rPr>
                      <w:color w:val="auto"/>
                      <w:highlight w:val="none"/>
                    </w:rPr>
                  </w:pPr>
                </w:p>
              </w:tc>
              <w:tc>
                <w:tcPr>
                  <w:tcW w:w="3961" w:type="dxa"/>
                  <w:tcBorders>
                    <w:tl2br w:val="nil"/>
                    <w:tr2bl w:val="nil"/>
                  </w:tcBorders>
                  <w:vAlign w:val="center"/>
                </w:tcPr>
                <w:p>
                  <w:pPr>
                    <w:pStyle w:val="113"/>
                    <w:rPr>
                      <w:color w:val="auto"/>
                      <w:highlight w:val="none"/>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7" w:type="dxa"/>
                  <w:tcBorders>
                    <w:tl2br w:val="nil"/>
                    <w:tr2bl w:val="nil"/>
                  </w:tcBorders>
                  <w:tcMar>
                    <w:top w:w="0" w:type="dxa"/>
                    <w:left w:w="28" w:type="dxa"/>
                    <w:bottom w:w="0" w:type="dxa"/>
                    <w:right w:w="28" w:type="dxa"/>
                  </w:tcMar>
                  <w:vAlign w:val="center"/>
                </w:tcPr>
                <w:p>
                  <w:pPr>
                    <w:pStyle w:val="113"/>
                    <w:rPr>
                      <w:color w:val="auto"/>
                      <w:highlight w:val="none"/>
                    </w:rPr>
                  </w:pPr>
                </w:p>
              </w:tc>
              <w:tc>
                <w:tcPr>
                  <w:tcW w:w="2200" w:type="dxa"/>
                  <w:tcBorders>
                    <w:tl2br w:val="nil"/>
                    <w:tr2bl w:val="nil"/>
                  </w:tcBorders>
                  <w:tcMar>
                    <w:top w:w="0" w:type="dxa"/>
                    <w:left w:w="28" w:type="dxa"/>
                    <w:bottom w:w="0" w:type="dxa"/>
                    <w:right w:w="28" w:type="dxa"/>
                  </w:tcMar>
                  <w:vAlign w:val="center"/>
                </w:tcPr>
                <w:p>
                  <w:pPr>
                    <w:pStyle w:val="113"/>
                    <w:rPr>
                      <w:color w:val="auto"/>
                      <w:highlight w:val="none"/>
                    </w:rPr>
                  </w:pPr>
                </w:p>
              </w:tc>
              <w:tc>
                <w:tcPr>
                  <w:tcW w:w="2350" w:type="dxa"/>
                  <w:tcBorders>
                    <w:tl2br w:val="nil"/>
                    <w:tr2bl w:val="nil"/>
                  </w:tcBorders>
                  <w:vAlign w:val="center"/>
                </w:tcPr>
                <w:p>
                  <w:pPr>
                    <w:pStyle w:val="113"/>
                    <w:rPr>
                      <w:color w:val="auto"/>
                      <w:highlight w:val="none"/>
                    </w:rPr>
                  </w:pPr>
                </w:p>
              </w:tc>
              <w:tc>
                <w:tcPr>
                  <w:tcW w:w="3642" w:type="dxa"/>
                  <w:tcBorders>
                    <w:tl2br w:val="nil"/>
                    <w:tr2bl w:val="nil"/>
                  </w:tcBorders>
                  <w:vAlign w:val="center"/>
                </w:tcPr>
                <w:p>
                  <w:pPr>
                    <w:pStyle w:val="113"/>
                    <w:rPr>
                      <w:color w:val="auto"/>
                      <w:highlight w:val="none"/>
                    </w:rPr>
                  </w:pPr>
                </w:p>
              </w:tc>
              <w:tc>
                <w:tcPr>
                  <w:tcW w:w="3961" w:type="dxa"/>
                  <w:tcBorders>
                    <w:tl2br w:val="nil"/>
                    <w:tr2bl w:val="nil"/>
                  </w:tcBorders>
                  <w:vAlign w:val="center"/>
                </w:tcPr>
                <w:p>
                  <w:pPr>
                    <w:pStyle w:val="113"/>
                    <w:rPr>
                      <w:color w:val="auto"/>
                      <w:highlight w:val="none"/>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7" w:type="dxa"/>
                  <w:tcBorders>
                    <w:tl2br w:val="nil"/>
                    <w:tr2bl w:val="nil"/>
                  </w:tcBorders>
                  <w:tcMar>
                    <w:top w:w="0" w:type="dxa"/>
                    <w:left w:w="28" w:type="dxa"/>
                    <w:bottom w:w="0" w:type="dxa"/>
                    <w:right w:w="28" w:type="dxa"/>
                  </w:tcMar>
                  <w:vAlign w:val="center"/>
                </w:tcPr>
                <w:p>
                  <w:pPr>
                    <w:pStyle w:val="113"/>
                    <w:rPr>
                      <w:color w:val="auto"/>
                      <w:highlight w:val="none"/>
                    </w:rPr>
                  </w:pPr>
                </w:p>
              </w:tc>
              <w:tc>
                <w:tcPr>
                  <w:tcW w:w="2200" w:type="dxa"/>
                  <w:tcBorders>
                    <w:tl2br w:val="nil"/>
                    <w:tr2bl w:val="nil"/>
                  </w:tcBorders>
                  <w:tcMar>
                    <w:top w:w="0" w:type="dxa"/>
                    <w:left w:w="28" w:type="dxa"/>
                    <w:bottom w:w="0" w:type="dxa"/>
                    <w:right w:w="28" w:type="dxa"/>
                  </w:tcMar>
                  <w:vAlign w:val="center"/>
                </w:tcPr>
                <w:p>
                  <w:pPr>
                    <w:pStyle w:val="113"/>
                    <w:rPr>
                      <w:color w:val="auto"/>
                      <w:highlight w:val="none"/>
                    </w:rPr>
                  </w:pPr>
                </w:p>
              </w:tc>
              <w:tc>
                <w:tcPr>
                  <w:tcW w:w="2350" w:type="dxa"/>
                  <w:tcBorders>
                    <w:tl2br w:val="nil"/>
                    <w:tr2bl w:val="nil"/>
                  </w:tcBorders>
                  <w:vAlign w:val="center"/>
                </w:tcPr>
                <w:p>
                  <w:pPr>
                    <w:pStyle w:val="113"/>
                    <w:rPr>
                      <w:color w:val="auto"/>
                      <w:highlight w:val="none"/>
                    </w:rPr>
                  </w:pPr>
                </w:p>
              </w:tc>
              <w:tc>
                <w:tcPr>
                  <w:tcW w:w="3642" w:type="dxa"/>
                  <w:tcBorders>
                    <w:tl2br w:val="nil"/>
                    <w:tr2bl w:val="nil"/>
                  </w:tcBorders>
                  <w:vAlign w:val="center"/>
                </w:tcPr>
                <w:p>
                  <w:pPr>
                    <w:pStyle w:val="113"/>
                    <w:rPr>
                      <w:color w:val="auto"/>
                      <w:highlight w:val="none"/>
                    </w:rPr>
                  </w:pPr>
                </w:p>
              </w:tc>
              <w:tc>
                <w:tcPr>
                  <w:tcW w:w="3961" w:type="dxa"/>
                  <w:tcBorders>
                    <w:tl2br w:val="nil"/>
                    <w:tr2bl w:val="nil"/>
                  </w:tcBorders>
                  <w:vAlign w:val="center"/>
                </w:tcPr>
                <w:p>
                  <w:pPr>
                    <w:pStyle w:val="113"/>
                    <w:rPr>
                      <w:color w:val="auto"/>
                      <w:highlight w:val="none"/>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37" w:type="dxa"/>
                  <w:tcBorders>
                    <w:tl2br w:val="nil"/>
                    <w:tr2bl w:val="nil"/>
                  </w:tcBorders>
                  <w:tcMar>
                    <w:top w:w="0" w:type="dxa"/>
                    <w:left w:w="28" w:type="dxa"/>
                    <w:bottom w:w="0" w:type="dxa"/>
                    <w:right w:w="28" w:type="dxa"/>
                  </w:tcMar>
                  <w:vAlign w:val="center"/>
                </w:tcPr>
                <w:p>
                  <w:pPr>
                    <w:pStyle w:val="113"/>
                    <w:rPr>
                      <w:color w:val="auto"/>
                      <w:highlight w:val="none"/>
                    </w:rPr>
                  </w:pPr>
                </w:p>
              </w:tc>
              <w:tc>
                <w:tcPr>
                  <w:tcW w:w="2200" w:type="dxa"/>
                  <w:tcBorders>
                    <w:tl2br w:val="nil"/>
                    <w:tr2bl w:val="nil"/>
                  </w:tcBorders>
                  <w:tcMar>
                    <w:top w:w="0" w:type="dxa"/>
                    <w:left w:w="28" w:type="dxa"/>
                    <w:bottom w:w="0" w:type="dxa"/>
                    <w:right w:w="28" w:type="dxa"/>
                  </w:tcMar>
                  <w:vAlign w:val="center"/>
                </w:tcPr>
                <w:p>
                  <w:pPr>
                    <w:pStyle w:val="113"/>
                    <w:rPr>
                      <w:color w:val="auto"/>
                      <w:highlight w:val="none"/>
                    </w:rPr>
                  </w:pPr>
                </w:p>
              </w:tc>
              <w:tc>
                <w:tcPr>
                  <w:tcW w:w="2350" w:type="dxa"/>
                  <w:tcBorders>
                    <w:tl2br w:val="nil"/>
                    <w:tr2bl w:val="nil"/>
                  </w:tcBorders>
                  <w:vAlign w:val="center"/>
                </w:tcPr>
                <w:p>
                  <w:pPr>
                    <w:pStyle w:val="113"/>
                    <w:rPr>
                      <w:color w:val="auto"/>
                      <w:highlight w:val="none"/>
                    </w:rPr>
                  </w:pPr>
                </w:p>
              </w:tc>
              <w:tc>
                <w:tcPr>
                  <w:tcW w:w="3642" w:type="dxa"/>
                  <w:tcBorders>
                    <w:tl2br w:val="nil"/>
                    <w:tr2bl w:val="nil"/>
                  </w:tcBorders>
                  <w:vAlign w:val="center"/>
                </w:tcPr>
                <w:p>
                  <w:pPr>
                    <w:pStyle w:val="113"/>
                    <w:rPr>
                      <w:color w:val="auto"/>
                      <w:highlight w:val="none"/>
                    </w:rPr>
                  </w:pPr>
                </w:p>
              </w:tc>
              <w:tc>
                <w:tcPr>
                  <w:tcW w:w="3961" w:type="dxa"/>
                  <w:tcBorders>
                    <w:tl2br w:val="nil"/>
                    <w:tr2bl w:val="nil"/>
                  </w:tcBorders>
                  <w:vAlign w:val="center"/>
                </w:tcPr>
                <w:p>
                  <w:pPr>
                    <w:pStyle w:val="113"/>
                    <w:rPr>
                      <w:color w:val="auto"/>
                      <w:highlight w:val="none"/>
                    </w:rPr>
                  </w:pPr>
                </w:p>
              </w:tc>
            </w:tr>
          </w:tbl>
          <w:p>
            <w:pPr>
              <w:pStyle w:val="15"/>
              <w:bidi w:val="0"/>
              <w:jc w:val="both"/>
              <w:rPr>
                <w:rFonts w:hint="default"/>
                <w:color w:val="auto"/>
                <w:highlight w:val="none"/>
                <w:lang w:val="en-US" w:eastAsia="zh-CN"/>
              </w:rPr>
            </w:pPr>
            <w:r>
              <w:rPr>
                <w:rFonts w:hint="eastAsia"/>
                <w:color w:val="auto"/>
                <w:highlight w:val="none"/>
                <w:lang w:val="en-US" w:eastAsia="zh-CN"/>
              </w:rPr>
              <w:t>一期工程地块与现有工程不存在原辅料依托关系，故一期工程的原辅料不在表2.2-1中体现。</w:t>
            </w:r>
          </w:p>
          <w:p>
            <w:pPr>
              <w:pStyle w:val="6"/>
              <w:rPr>
                <w:color w:val="auto"/>
                <w:highlight w:val="none"/>
              </w:rPr>
            </w:pPr>
            <w:r>
              <w:rPr>
                <w:color w:val="auto"/>
                <w:highlight w:val="none"/>
              </w:rPr>
              <w:t>表</w:t>
            </w:r>
            <w:r>
              <w:rPr>
                <w:rFonts w:hint="eastAsia"/>
                <w:color w:val="auto"/>
                <w:highlight w:val="none"/>
              </w:rPr>
              <w:t>2.3-1</w:t>
            </w:r>
            <w:r>
              <w:rPr>
                <w:color w:val="auto"/>
                <w:highlight w:val="none"/>
              </w:rPr>
              <w:t xml:space="preserve"> 主要</w:t>
            </w:r>
            <w:r>
              <w:rPr>
                <w:rFonts w:hint="eastAsia"/>
                <w:color w:val="auto"/>
                <w:highlight w:val="none"/>
              </w:rPr>
              <w:t>生产设备</w:t>
            </w:r>
            <w:r>
              <w:rPr>
                <w:color w:val="auto"/>
                <w:highlight w:val="none"/>
              </w:rPr>
              <w:t>一览表</w:t>
            </w:r>
          </w:p>
          <w:tbl>
            <w:tblPr>
              <w:tblStyle w:val="492"/>
              <w:tblW w:w="5000" w:type="pct"/>
              <w:jc w:val="center"/>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689"/>
              <w:gridCol w:w="2857"/>
              <w:gridCol w:w="4283"/>
              <w:gridCol w:w="1753"/>
              <w:gridCol w:w="1754"/>
              <w:gridCol w:w="1754"/>
            </w:tblGrid>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08" w:type="dxa"/>
                  <w:tcBorders>
                    <w:tl2br w:val="nil"/>
                    <w:tr2bl w:val="nil"/>
                  </w:tcBorders>
                  <w:vAlign w:val="center"/>
                </w:tcPr>
                <w:p>
                  <w:pPr>
                    <w:pStyle w:val="117"/>
                    <w:ind w:firstLine="0" w:firstLineChars="0"/>
                    <w:rPr>
                      <w:color w:val="auto"/>
                      <w:highlight w:val="none"/>
                      <w:lang w:eastAsia="en-US"/>
                    </w:rPr>
                  </w:pPr>
                </w:p>
              </w:tc>
              <w:tc>
                <w:tcPr>
                  <w:tcW w:w="2519" w:type="dxa"/>
                  <w:tcBorders>
                    <w:tl2br w:val="nil"/>
                    <w:tr2bl w:val="nil"/>
                  </w:tcBorders>
                  <w:vAlign w:val="center"/>
                </w:tcPr>
                <w:p>
                  <w:pPr>
                    <w:pStyle w:val="117"/>
                    <w:ind w:firstLine="0" w:firstLineChars="0"/>
                    <w:rPr>
                      <w:color w:val="auto"/>
                      <w:highlight w:val="none"/>
                      <w:lang w:eastAsia="en-US"/>
                    </w:rPr>
                  </w:pPr>
                </w:p>
              </w:tc>
              <w:tc>
                <w:tcPr>
                  <w:tcW w:w="3777" w:type="dxa"/>
                  <w:tcBorders>
                    <w:tl2br w:val="nil"/>
                    <w:tr2bl w:val="nil"/>
                  </w:tcBorders>
                  <w:vAlign w:val="center"/>
                </w:tcPr>
                <w:p>
                  <w:pPr>
                    <w:pStyle w:val="117"/>
                    <w:ind w:firstLine="0" w:firstLineChars="0"/>
                    <w:rPr>
                      <w:color w:val="auto"/>
                      <w:highlight w:val="none"/>
                      <w:lang w:eastAsia="en-US"/>
                    </w:rPr>
                  </w:pPr>
                </w:p>
              </w:tc>
              <w:tc>
                <w:tcPr>
                  <w:tcW w:w="1546" w:type="dxa"/>
                  <w:tcBorders>
                    <w:tl2br w:val="nil"/>
                    <w:tr2bl w:val="nil"/>
                  </w:tcBorders>
                  <w:vAlign w:val="center"/>
                </w:tcPr>
                <w:p>
                  <w:pPr>
                    <w:pStyle w:val="117"/>
                    <w:ind w:firstLine="0" w:firstLineChars="0"/>
                    <w:rPr>
                      <w:color w:val="auto"/>
                      <w:highlight w:val="none"/>
                      <w:lang w:eastAsia="en-US"/>
                    </w:rPr>
                  </w:pPr>
                </w:p>
              </w:tc>
              <w:tc>
                <w:tcPr>
                  <w:tcW w:w="1547" w:type="dxa"/>
                  <w:tcBorders>
                    <w:tl2br w:val="nil"/>
                    <w:tr2bl w:val="nil"/>
                  </w:tcBorders>
                  <w:vAlign w:val="center"/>
                </w:tcPr>
                <w:p>
                  <w:pPr>
                    <w:pStyle w:val="117"/>
                    <w:ind w:firstLine="0" w:firstLineChars="0"/>
                    <w:rPr>
                      <w:color w:val="auto"/>
                      <w:highlight w:val="none"/>
                      <w:lang w:eastAsia="en-US"/>
                    </w:rPr>
                  </w:pPr>
                </w:p>
              </w:tc>
              <w:tc>
                <w:tcPr>
                  <w:tcW w:w="1546" w:type="dxa"/>
                  <w:tcBorders>
                    <w:tl2br w:val="nil"/>
                    <w:tr2bl w:val="nil"/>
                  </w:tcBorders>
                  <w:vAlign w:val="center"/>
                </w:tcPr>
                <w:p>
                  <w:pPr>
                    <w:pStyle w:val="117"/>
                    <w:ind w:firstLine="0" w:firstLineChars="0"/>
                    <w:rPr>
                      <w:color w:val="auto"/>
                      <w:highlight w:val="none"/>
                      <w:lang w:eastAsia="en-US"/>
                    </w:rPr>
                  </w:pP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08" w:type="dxa"/>
                  <w:tcBorders>
                    <w:tl2br w:val="nil"/>
                    <w:tr2bl w:val="nil"/>
                  </w:tcBorders>
                  <w:vAlign w:val="center"/>
                </w:tcPr>
                <w:p>
                  <w:pPr>
                    <w:pStyle w:val="117"/>
                    <w:ind w:firstLine="0" w:firstLineChars="0"/>
                    <w:rPr>
                      <w:rFonts w:hint="eastAsia" w:eastAsia="宋体"/>
                      <w:color w:val="auto"/>
                      <w:highlight w:val="none"/>
                      <w:lang w:eastAsia="zh-CN"/>
                    </w:rPr>
                  </w:pPr>
                </w:p>
              </w:tc>
              <w:tc>
                <w:tcPr>
                  <w:tcW w:w="2519" w:type="dxa"/>
                  <w:tcBorders>
                    <w:tl2br w:val="nil"/>
                    <w:tr2bl w:val="nil"/>
                  </w:tcBorders>
                  <w:vAlign w:val="center"/>
                </w:tcPr>
                <w:p>
                  <w:pPr>
                    <w:pStyle w:val="117"/>
                    <w:ind w:firstLine="0" w:firstLineChars="0"/>
                    <w:rPr>
                      <w:color w:val="auto"/>
                      <w:highlight w:val="none"/>
                      <w:lang w:eastAsia="en-US"/>
                    </w:rPr>
                  </w:pPr>
                </w:p>
              </w:tc>
              <w:tc>
                <w:tcPr>
                  <w:tcW w:w="3777" w:type="dxa"/>
                  <w:tcBorders>
                    <w:tl2br w:val="nil"/>
                    <w:tr2bl w:val="nil"/>
                  </w:tcBorders>
                  <w:vAlign w:val="center"/>
                </w:tcPr>
                <w:p>
                  <w:pPr>
                    <w:pStyle w:val="117"/>
                    <w:ind w:firstLine="0" w:firstLineChars="0"/>
                    <w:rPr>
                      <w:color w:val="auto"/>
                      <w:highlight w:val="none"/>
                      <w:lang w:eastAsia="en-US"/>
                    </w:rPr>
                  </w:pPr>
                </w:p>
              </w:tc>
              <w:tc>
                <w:tcPr>
                  <w:tcW w:w="1546" w:type="dxa"/>
                  <w:tcBorders>
                    <w:tl2br w:val="nil"/>
                    <w:tr2bl w:val="nil"/>
                  </w:tcBorders>
                  <w:vAlign w:val="center"/>
                </w:tcPr>
                <w:p>
                  <w:pPr>
                    <w:pStyle w:val="117"/>
                    <w:ind w:firstLine="0" w:firstLineChars="0"/>
                    <w:rPr>
                      <w:color w:val="auto"/>
                      <w:highlight w:val="none"/>
                      <w:lang w:eastAsia="en-US"/>
                    </w:rPr>
                  </w:pPr>
                </w:p>
              </w:tc>
              <w:tc>
                <w:tcPr>
                  <w:tcW w:w="1547" w:type="dxa"/>
                  <w:tcBorders>
                    <w:tl2br w:val="nil"/>
                    <w:tr2bl w:val="nil"/>
                  </w:tcBorders>
                  <w:vAlign w:val="center"/>
                </w:tcPr>
                <w:p>
                  <w:pPr>
                    <w:pStyle w:val="117"/>
                    <w:ind w:firstLine="0" w:firstLineChars="0"/>
                    <w:rPr>
                      <w:color w:val="auto"/>
                      <w:highlight w:val="none"/>
                      <w:lang w:eastAsia="en-US"/>
                    </w:rPr>
                  </w:pPr>
                </w:p>
              </w:tc>
              <w:tc>
                <w:tcPr>
                  <w:tcW w:w="1546" w:type="dxa"/>
                  <w:tcBorders>
                    <w:tl2br w:val="nil"/>
                    <w:tr2bl w:val="nil"/>
                  </w:tcBorders>
                  <w:vAlign w:val="center"/>
                </w:tcPr>
                <w:p>
                  <w:pPr>
                    <w:pStyle w:val="117"/>
                    <w:ind w:firstLine="0" w:firstLineChars="0"/>
                    <w:rPr>
                      <w:color w:val="auto"/>
                      <w:highlight w:val="none"/>
                      <w:lang w:eastAsia="en-US"/>
                    </w:rPr>
                  </w:pP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08" w:type="dxa"/>
                  <w:tcBorders>
                    <w:tl2br w:val="nil"/>
                    <w:tr2bl w:val="nil"/>
                  </w:tcBorders>
                  <w:vAlign w:val="center"/>
                </w:tcPr>
                <w:p>
                  <w:pPr>
                    <w:pStyle w:val="117"/>
                    <w:ind w:firstLine="0" w:firstLineChars="0"/>
                    <w:rPr>
                      <w:rFonts w:hint="eastAsia" w:eastAsia="宋体"/>
                      <w:color w:val="auto"/>
                      <w:highlight w:val="none"/>
                      <w:lang w:eastAsia="zh-CN"/>
                    </w:rPr>
                  </w:pPr>
                </w:p>
              </w:tc>
              <w:tc>
                <w:tcPr>
                  <w:tcW w:w="2519" w:type="dxa"/>
                  <w:tcBorders>
                    <w:tl2br w:val="nil"/>
                    <w:tr2bl w:val="nil"/>
                  </w:tcBorders>
                  <w:vAlign w:val="center"/>
                </w:tcPr>
                <w:p>
                  <w:pPr>
                    <w:pStyle w:val="117"/>
                    <w:ind w:firstLine="0" w:firstLineChars="0"/>
                    <w:rPr>
                      <w:rFonts w:hint="eastAsia" w:eastAsia="宋体"/>
                      <w:color w:val="auto"/>
                      <w:highlight w:val="none"/>
                      <w:lang w:val="en-US" w:eastAsia="zh-CN"/>
                    </w:rPr>
                  </w:pPr>
                </w:p>
              </w:tc>
              <w:tc>
                <w:tcPr>
                  <w:tcW w:w="3777" w:type="dxa"/>
                  <w:tcBorders>
                    <w:tl2br w:val="nil"/>
                    <w:tr2bl w:val="nil"/>
                  </w:tcBorders>
                  <w:vAlign w:val="center"/>
                </w:tcPr>
                <w:p>
                  <w:pPr>
                    <w:pStyle w:val="117"/>
                    <w:ind w:firstLine="0" w:firstLineChars="0"/>
                    <w:rPr>
                      <w:rFonts w:hint="default" w:eastAsia="宋体"/>
                      <w:color w:val="auto"/>
                      <w:highlight w:val="none"/>
                      <w:lang w:val="en-US" w:eastAsia="zh-CN"/>
                    </w:rPr>
                  </w:pPr>
                </w:p>
              </w:tc>
              <w:tc>
                <w:tcPr>
                  <w:tcW w:w="1546" w:type="dxa"/>
                  <w:tcBorders>
                    <w:tl2br w:val="nil"/>
                    <w:tr2bl w:val="nil"/>
                  </w:tcBorders>
                  <w:vAlign w:val="center"/>
                </w:tcPr>
                <w:p>
                  <w:pPr>
                    <w:pStyle w:val="117"/>
                    <w:ind w:firstLine="0" w:firstLineChars="0"/>
                    <w:rPr>
                      <w:color w:val="auto"/>
                      <w:highlight w:val="none"/>
                      <w:lang w:eastAsia="en-US"/>
                    </w:rPr>
                  </w:pPr>
                </w:p>
              </w:tc>
              <w:tc>
                <w:tcPr>
                  <w:tcW w:w="1547" w:type="dxa"/>
                  <w:tcBorders>
                    <w:tl2br w:val="nil"/>
                    <w:tr2bl w:val="nil"/>
                  </w:tcBorders>
                  <w:vAlign w:val="center"/>
                </w:tcPr>
                <w:p>
                  <w:pPr>
                    <w:pStyle w:val="117"/>
                    <w:ind w:firstLine="0" w:firstLineChars="0"/>
                    <w:rPr>
                      <w:color w:val="auto"/>
                      <w:highlight w:val="none"/>
                      <w:lang w:eastAsia="en-US"/>
                    </w:rPr>
                  </w:pPr>
                </w:p>
              </w:tc>
              <w:tc>
                <w:tcPr>
                  <w:tcW w:w="1546" w:type="dxa"/>
                  <w:tcBorders>
                    <w:tl2br w:val="nil"/>
                    <w:tr2bl w:val="nil"/>
                  </w:tcBorders>
                  <w:vAlign w:val="center"/>
                </w:tcPr>
                <w:p>
                  <w:pPr>
                    <w:pStyle w:val="117"/>
                    <w:ind w:firstLine="0" w:firstLineChars="0"/>
                    <w:rPr>
                      <w:color w:val="auto"/>
                      <w:highlight w:val="none"/>
                      <w:lang w:eastAsia="en-US"/>
                    </w:rPr>
                  </w:pP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08" w:type="dxa"/>
                  <w:tcBorders>
                    <w:tl2br w:val="nil"/>
                    <w:tr2bl w:val="nil"/>
                  </w:tcBorders>
                  <w:vAlign w:val="center"/>
                </w:tcPr>
                <w:p>
                  <w:pPr>
                    <w:pStyle w:val="117"/>
                    <w:ind w:firstLine="0" w:firstLineChars="0"/>
                    <w:rPr>
                      <w:rFonts w:hint="eastAsia" w:eastAsia="宋体"/>
                      <w:color w:val="auto"/>
                      <w:highlight w:val="none"/>
                      <w:lang w:eastAsia="zh-CN"/>
                    </w:rPr>
                  </w:pPr>
                </w:p>
              </w:tc>
              <w:tc>
                <w:tcPr>
                  <w:tcW w:w="2519" w:type="dxa"/>
                  <w:tcBorders>
                    <w:tl2br w:val="nil"/>
                    <w:tr2bl w:val="nil"/>
                  </w:tcBorders>
                  <w:vAlign w:val="center"/>
                </w:tcPr>
                <w:p>
                  <w:pPr>
                    <w:pStyle w:val="117"/>
                    <w:ind w:firstLine="0" w:firstLineChars="0"/>
                    <w:rPr>
                      <w:color w:val="auto"/>
                      <w:highlight w:val="none"/>
                      <w:lang w:eastAsia="en-US"/>
                    </w:rPr>
                  </w:pPr>
                </w:p>
              </w:tc>
              <w:tc>
                <w:tcPr>
                  <w:tcW w:w="3777" w:type="dxa"/>
                  <w:tcBorders>
                    <w:tl2br w:val="nil"/>
                    <w:tr2bl w:val="nil"/>
                  </w:tcBorders>
                  <w:vAlign w:val="center"/>
                </w:tcPr>
                <w:p>
                  <w:pPr>
                    <w:pStyle w:val="117"/>
                    <w:ind w:firstLine="0" w:firstLineChars="0"/>
                    <w:rPr>
                      <w:color w:val="auto"/>
                      <w:highlight w:val="none"/>
                      <w:lang w:eastAsia="en-US"/>
                    </w:rPr>
                  </w:pPr>
                </w:p>
              </w:tc>
              <w:tc>
                <w:tcPr>
                  <w:tcW w:w="1546" w:type="dxa"/>
                  <w:tcBorders>
                    <w:tl2br w:val="nil"/>
                    <w:tr2bl w:val="nil"/>
                  </w:tcBorders>
                  <w:vAlign w:val="center"/>
                </w:tcPr>
                <w:p>
                  <w:pPr>
                    <w:pStyle w:val="117"/>
                    <w:ind w:firstLine="0" w:firstLineChars="0"/>
                    <w:rPr>
                      <w:color w:val="auto"/>
                      <w:highlight w:val="none"/>
                      <w:lang w:eastAsia="en-US"/>
                    </w:rPr>
                  </w:pPr>
                </w:p>
              </w:tc>
              <w:tc>
                <w:tcPr>
                  <w:tcW w:w="1547" w:type="dxa"/>
                  <w:tcBorders>
                    <w:tl2br w:val="nil"/>
                    <w:tr2bl w:val="nil"/>
                  </w:tcBorders>
                  <w:vAlign w:val="center"/>
                </w:tcPr>
                <w:p>
                  <w:pPr>
                    <w:pStyle w:val="117"/>
                    <w:ind w:firstLine="0" w:firstLineChars="0"/>
                    <w:rPr>
                      <w:color w:val="auto"/>
                      <w:highlight w:val="none"/>
                      <w:lang w:eastAsia="en-US"/>
                    </w:rPr>
                  </w:pPr>
                </w:p>
              </w:tc>
              <w:tc>
                <w:tcPr>
                  <w:tcW w:w="1546" w:type="dxa"/>
                  <w:tcBorders>
                    <w:tl2br w:val="nil"/>
                    <w:tr2bl w:val="nil"/>
                  </w:tcBorders>
                  <w:vAlign w:val="center"/>
                </w:tcPr>
                <w:p>
                  <w:pPr>
                    <w:pStyle w:val="117"/>
                    <w:ind w:firstLine="0" w:firstLineChars="0"/>
                    <w:rPr>
                      <w:color w:val="auto"/>
                      <w:highlight w:val="none"/>
                      <w:lang w:eastAsia="en-US"/>
                    </w:rPr>
                  </w:pP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08" w:type="dxa"/>
                  <w:tcBorders>
                    <w:tl2br w:val="nil"/>
                    <w:tr2bl w:val="nil"/>
                  </w:tcBorders>
                  <w:vAlign w:val="center"/>
                </w:tcPr>
                <w:p>
                  <w:pPr>
                    <w:pStyle w:val="117"/>
                    <w:ind w:firstLine="0" w:firstLineChars="0"/>
                    <w:rPr>
                      <w:rFonts w:hint="eastAsia" w:eastAsia="宋体"/>
                      <w:color w:val="auto"/>
                      <w:highlight w:val="none"/>
                      <w:lang w:eastAsia="zh-CN"/>
                    </w:rPr>
                  </w:pPr>
                </w:p>
              </w:tc>
              <w:tc>
                <w:tcPr>
                  <w:tcW w:w="2519" w:type="dxa"/>
                  <w:tcBorders>
                    <w:tl2br w:val="nil"/>
                    <w:tr2bl w:val="nil"/>
                  </w:tcBorders>
                  <w:vAlign w:val="center"/>
                </w:tcPr>
                <w:p>
                  <w:pPr>
                    <w:pStyle w:val="117"/>
                    <w:ind w:firstLine="0" w:firstLineChars="0"/>
                    <w:rPr>
                      <w:color w:val="auto"/>
                      <w:spacing w:val="-2"/>
                      <w:sz w:val="20"/>
                      <w:szCs w:val="20"/>
                      <w:highlight w:val="none"/>
                      <w:lang w:eastAsia="en-US"/>
                    </w:rPr>
                  </w:pPr>
                </w:p>
              </w:tc>
              <w:tc>
                <w:tcPr>
                  <w:tcW w:w="3777" w:type="dxa"/>
                  <w:tcBorders>
                    <w:tl2br w:val="nil"/>
                    <w:tr2bl w:val="nil"/>
                  </w:tcBorders>
                  <w:vAlign w:val="center"/>
                </w:tcPr>
                <w:p>
                  <w:pPr>
                    <w:pStyle w:val="117"/>
                    <w:ind w:firstLine="0" w:firstLineChars="0"/>
                    <w:rPr>
                      <w:color w:val="auto"/>
                      <w:highlight w:val="none"/>
                      <w:lang w:eastAsia="en-US"/>
                    </w:rPr>
                  </w:pPr>
                </w:p>
              </w:tc>
              <w:tc>
                <w:tcPr>
                  <w:tcW w:w="1546" w:type="dxa"/>
                  <w:tcBorders>
                    <w:tl2br w:val="nil"/>
                    <w:tr2bl w:val="nil"/>
                  </w:tcBorders>
                  <w:vAlign w:val="center"/>
                </w:tcPr>
                <w:p>
                  <w:pPr>
                    <w:pStyle w:val="117"/>
                    <w:ind w:firstLine="0" w:firstLineChars="0"/>
                    <w:rPr>
                      <w:color w:val="auto"/>
                      <w:highlight w:val="none"/>
                      <w:lang w:eastAsia="en-US"/>
                    </w:rPr>
                  </w:pPr>
                </w:p>
              </w:tc>
              <w:tc>
                <w:tcPr>
                  <w:tcW w:w="1547" w:type="dxa"/>
                  <w:tcBorders>
                    <w:tl2br w:val="nil"/>
                    <w:tr2bl w:val="nil"/>
                  </w:tcBorders>
                  <w:vAlign w:val="center"/>
                </w:tcPr>
                <w:p>
                  <w:pPr>
                    <w:pStyle w:val="117"/>
                    <w:ind w:firstLine="0" w:firstLineChars="0"/>
                    <w:rPr>
                      <w:color w:val="auto"/>
                      <w:highlight w:val="none"/>
                      <w:lang w:eastAsia="en-US"/>
                    </w:rPr>
                  </w:pPr>
                </w:p>
              </w:tc>
              <w:tc>
                <w:tcPr>
                  <w:tcW w:w="1546" w:type="dxa"/>
                  <w:tcBorders>
                    <w:tl2br w:val="nil"/>
                    <w:tr2bl w:val="nil"/>
                  </w:tcBorders>
                  <w:vAlign w:val="center"/>
                </w:tcPr>
                <w:p>
                  <w:pPr>
                    <w:pStyle w:val="117"/>
                    <w:ind w:firstLine="0" w:firstLineChars="0"/>
                    <w:rPr>
                      <w:color w:val="auto"/>
                      <w:highlight w:val="none"/>
                      <w:lang w:eastAsia="en-US"/>
                    </w:rPr>
                  </w:pP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08" w:type="dxa"/>
                  <w:tcBorders>
                    <w:tl2br w:val="nil"/>
                    <w:tr2bl w:val="nil"/>
                  </w:tcBorders>
                  <w:vAlign w:val="center"/>
                </w:tcPr>
                <w:p>
                  <w:pPr>
                    <w:pStyle w:val="117"/>
                    <w:ind w:firstLine="0" w:firstLineChars="0"/>
                    <w:rPr>
                      <w:rFonts w:hint="eastAsia" w:eastAsia="宋体"/>
                      <w:color w:val="auto"/>
                      <w:highlight w:val="none"/>
                      <w:lang w:eastAsia="zh-CN"/>
                    </w:rPr>
                  </w:pPr>
                </w:p>
              </w:tc>
              <w:tc>
                <w:tcPr>
                  <w:tcW w:w="2519" w:type="dxa"/>
                  <w:tcBorders>
                    <w:tl2br w:val="nil"/>
                    <w:tr2bl w:val="nil"/>
                  </w:tcBorders>
                  <w:vAlign w:val="center"/>
                </w:tcPr>
                <w:p>
                  <w:pPr>
                    <w:pStyle w:val="117"/>
                    <w:ind w:firstLine="0" w:firstLineChars="0"/>
                    <w:rPr>
                      <w:color w:val="auto"/>
                      <w:spacing w:val="-2"/>
                      <w:sz w:val="20"/>
                      <w:szCs w:val="20"/>
                      <w:highlight w:val="none"/>
                      <w:lang w:eastAsia="en-US"/>
                    </w:rPr>
                  </w:pPr>
                </w:p>
              </w:tc>
              <w:tc>
                <w:tcPr>
                  <w:tcW w:w="3777" w:type="dxa"/>
                  <w:tcBorders>
                    <w:tl2br w:val="nil"/>
                    <w:tr2bl w:val="nil"/>
                  </w:tcBorders>
                  <w:vAlign w:val="center"/>
                </w:tcPr>
                <w:p>
                  <w:pPr>
                    <w:pStyle w:val="117"/>
                    <w:ind w:firstLine="0" w:firstLineChars="0"/>
                    <w:rPr>
                      <w:color w:val="auto"/>
                      <w:highlight w:val="none"/>
                      <w:lang w:eastAsia="en-US"/>
                    </w:rPr>
                  </w:pPr>
                </w:p>
              </w:tc>
              <w:tc>
                <w:tcPr>
                  <w:tcW w:w="1546" w:type="dxa"/>
                  <w:tcBorders>
                    <w:tl2br w:val="nil"/>
                    <w:tr2bl w:val="nil"/>
                  </w:tcBorders>
                  <w:vAlign w:val="center"/>
                </w:tcPr>
                <w:p>
                  <w:pPr>
                    <w:pStyle w:val="117"/>
                    <w:ind w:firstLine="0" w:firstLineChars="0"/>
                    <w:rPr>
                      <w:color w:val="auto"/>
                      <w:highlight w:val="none"/>
                      <w:lang w:eastAsia="en-US"/>
                    </w:rPr>
                  </w:pPr>
                </w:p>
              </w:tc>
              <w:tc>
                <w:tcPr>
                  <w:tcW w:w="1547" w:type="dxa"/>
                  <w:tcBorders>
                    <w:tl2br w:val="nil"/>
                    <w:tr2bl w:val="nil"/>
                  </w:tcBorders>
                  <w:vAlign w:val="center"/>
                </w:tcPr>
                <w:p>
                  <w:pPr>
                    <w:pStyle w:val="117"/>
                    <w:ind w:firstLine="0" w:firstLineChars="0"/>
                    <w:rPr>
                      <w:color w:val="auto"/>
                      <w:highlight w:val="none"/>
                      <w:lang w:eastAsia="en-US"/>
                    </w:rPr>
                  </w:pPr>
                </w:p>
              </w:tc>
              <w:tc>
                <w:tcPr>
                  <w:tcW w:w="1546" w:type="dxa"/>
                  <w:tcBorders>
                    <w:tl2br w:val="nil"/>
                    <w:tr2bl w:val="nil"/>
                  </w:tcBorders>
                  <w:vAlign w:val="center"/>
                </w:tcPr>
                <w:p>
                  <w:pPr>
                    <w:pStyle w:val="117"/>
                    <w:ind w:firstLine="0" w:firstLineChars="0"/>
                    <w:rPr>
                      <w:color w:val="auto"/>
                      <w:highlight w:val="none"/>
                      <w:lang w:eastAsia="en-US"/>
                    </w:rPr>
                  </w:pP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08" w:type="dxa"/>
                  <w:tcBorders>
                    <w:tl2br w:val="nil"/>
                    <w:tr2bl w:val="nil"/>
                  </w:tcBorders>
                  <w:vAlign w:val="center"/>
                </w:tcPr>
                <w:p>
                  <w:pPr>
                    <w:pStyle w:val="117"/>
                    <w:ind w:firstLine="0" w:firstLineChars="0"/>
                    <w:rPr>
                      <w:rFonts w:hint="eastAsia" w:eastAsia="宋体"/>
                      <w:color w:val="auto"/>
                      <w:highlight w:val="none"/>
                      <w:lang w:eastAsia="zh-CN"/>
                    </w:rPr>
                  </w:pPr>
                </w:p>
              </w:tc>
              <w:tc>
                <w:tcPr>
                  <w:tcW w:w="2519" w:type="dxa"/>
                  <w:tcBorders>
                    <w:tl2br w:val="nil"/>
                    <w:tr2bl w:val="nil"/>
                  </w:tcBorders>
                  <w:vAlign w:val="center"/>
                </w:tcPr>
                <w:p>
                  <w:pPr>
                    <w:pStyle w:val="117"/>
                    <w:ind w:firstLine="0" w:firstLineChars="0"/>
                    <w:rPr>
                      <w:color w:val="auto"/>
                      <w:spacing w:val="-2"/>
                      <w:sz w:val="20"/>
                      <w:szCs w:val="20"/>
                      <w:highlight w:val="none"/>
                      <w:lang w:eastAsia="en-US"/>
                    </w:rPr>
                  </w:pPr>
                </w:p>
              </w:tc>
              <w:tc>
                <w:tcPr>
                  <w:tcW w:w="3777" w:type="dxa"/>
                  <w:tcBorders>
                    <w:tl2br w:val="nil"/>
                    <w:tr2bl w:val="nil"/>
                  </w:tcBorders>
                  <w:vAlign w:val="center"/>
                </w:tcPr>
                <w:p>
                  <w:pPr>
                    <w:pStyle w:val="117"/>
                    <w:ind w:firstLine="0" w:firstLineChars="0"/>
                    <w:rPr>
                      <w:color w:val="auto"/>
                      <w:highlight w:val="none"/>
                      <w:lang w:eastAsia="en-US"/>
                    </w:rPr>
                  </w:pPr>
                </w:p>
              </w:tc>
              <w:tc>
                <w:tcPr>
                  <w:tcW w:w="1546" w:type="dxa"/>
                  <w:tcBorders>
                    <w:tl2br w:val="nil"/>
                    <w:tr2bl w:val="nil"/>
                  </w:tcBorders>
                  <w:vAlign w:val="center"/>
                </w:tcPr>
                <w:p>
                  <w:pPr>
                    <w:pStyle w:val="117"/>
                    <w:ind w:firstLine="0" w:firstLineChars="0"/>
                    <w:rPr>
                      <w:color w:val="auto"/>
                      <w:highlight w:val="none"/>
                      <w:lang w:eastAsia="en-US"/>
                    </w:rPr>
                  </w:pPr>
                </w:p>
              </w:tc>
              <w:tc>
                <w:tcPr>
                  <w:tcW w:w="1547" w:type="dxa"/>
                  <w:tcBorders>
                    <w:tl2br w:val="nil"/>
                    <w:tr2bl w:val="nil"/>
                  </w:tcBorders>
                  <w:vAlign w:val="center"/>
                </w:tcPr>
                <w:p>
                  <w:pPr>
                    <w:pStyle w:val="117"/>
                    <w:ind w:firstLine="0" w:firstLineChars="0"/>
                    <w:rPr>
                      <w:color w:val="auto"/>
                      <w:highlight w:val="none"/>
                      <w:lang w:eastAsia="en-US"/>
                    </w:rPr>
                  </w:pPr>
                </w:p>
              </w:tc>
              <w:tc>
                <w:tcPr>
                  <w:tcW w:w="1546" w:type="dxa"/>
                  <w:tcBorders>
                    <w:tl2br w:val="nil"/>
                    <w:tr2bl w:val="nil"/>
                  </w:tcBorders>
                  <w:vAlign w:val="center"/>
                </w:tcPr>
                <w:p>
                  <w:pPr>
                    <w:pStyle w:val="117"/>
                    <w:ind w:firstLine="0" w:firstLineChars="0"/>
                    <w:rPr>
                      <w:color w:val="auto"/>
                      <w:highlight w:val="none"/>
                      <w:lang w:eastAsia="en-US"/>
                    </w:rPr>
                  </w:pP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08" w:type="dxa"/>
                  <w:tcBorders>
                    <w:tl2br w:val="nil"/>
                    <w:tr2bl w:val="nil"/>
                  </w:tcBorders>
                  <w:vAlign w:val="center"/>
                </w:tcPr>
                <w:p>
                  <w:pPr>
                    <w:pStyle w:val="117"/>
                    <w:ind w:firstLine="0" w:firstLineChars="0"/>
                    <w:rPr>
                      <w:rFonts w:hint="eastAsia" w:eastAsia="宋体"/>
                      <w:color w:val="auto"/>
                      <w:highlight w:val="none"/>
                      <w:lang w:eastAsia="zh-CN"/>
                    </w:rPr>
                  </w:pPr>
                </w:p>
              </w:tc>
              <w:tc>
                <w:tcPr>
                  <w:tcW w:w="2519" w:type="dxa"/>
                  <w:tcBorders>
                    <w:tl2br w:val="nil"/>
                    <w:tr2bl w:val="nil"/>
                  </w:tcBorders>
                  <w:vAlign w:val="center"/>
                </w:tcPr>
                <w:p>
                  <w:pPr>
                    <w:pStyle w:val="117"/>
                    <w:ind w:firstLine="0" w:firstLineChars="0"/>
                    <w:rPr>
                      <w:color w:val="auto"/>
                      <w:spacing w:val="-2"/>
                      <w:sz w:val="20"/>
                      <w:szCs w:val="20"/>
                      <w:highlight w:val="none"/>
                      <w:lang w:eastAsia="en-US"/>
                    </w:rPr>
                  </w:pPr>
                </w:p>
              </w:tc>
              <w:tc>
                <w:tcPr>
                  <w:tcW w:w="3777" w:type="dxa"/>
                  <w:tcBorders>
                    <w:tl2br w:val="nil"/>
                    <w:tr2bl w:val="nil"/>
                  </w:tcBorders>
                  <w:vAlign w:val="center"/>
                </w:tcPr>
                <w:p>
                  <w:pPr>
                    <w:pStyle w:val="117"/>
                    <w:ind w:firstLine="0" w:firstLineChars="0"/>
                    <w:rPr>
                      <w:color w:val="auto"/>
                      <w:highlight w:val="none"/>
                      <w:lang w:eastAsia="en-US"/>
                    </w:rPr>
                  </w:pPr>
                </w:p>
              </w:tc>
              <w:tc>
                <w:tcPr>
                  <w:tcW w:w="1546" w:type="dxa"/>
                  <w:tcBorders>
                    <w:tl2br w:val="nil"/>
                    <w:tr2bl w:val="nil"/>
                  </w:tcBorders>
                  <w:vAlign w:val="center"/>
                </w:tcPr>
                <w:p>
                  <w:pPr>
                    <w:pStyle w:val="117"/>
                    <w:ind w:firstLine="0" w:firstLineChars="0"/>
                    <w:rPr>
                      <w:color w:val="auto"/>
                      <w:highlight w:val="none"/>
                      <w:lang w:eastAsia="en-US"/>
                    </w:rPr>
                  </w:pPr>
                </w:p>
              </w:tc>
              <w:tc>
                <w:tcPr>
                  <w:tcW w:w="1547" w:type="dxa"/>
                  <w:tcBorders>
                    <w:tl2br w:val="nil"/>
                    <w:tr2bl w:val="nil"/>
                  </w:tcBorders>
                  <w:vAlign w:val="center"/>
                </w:tcPr>
                <w:p>
                  <w:pPr>
                    <w:pStyle w:val="117"/>
                    <w:ind w:firstLine="0" w:firstLineChars="0"/>
                    <w:rPr>
                      <w:color w:val="auto"/>
                      <w:highlight w:val="none"/>
                      <w:lang w:eastAsia="en-US"/>
                    </w:rPr>
                  </w:pPr>
                </w:p>
              </w:tc>
              <w:tc>
                <w:tcPr>
                  <w:tcW w:w="1546" w:type="dxa"/>
                  <w:tcBorders>
                    <w:tl2br w:val="nil"/>
                    <w:tr2bl w:val="nil"/>
                  </w:tcBorders>
                  <w:vAlign w:val="center"/>
                </w:tcPr>
                <w:p>
                  <w:pPr>
                    <w:pStyle w:val="117"/>
                    <w:ind w:firstLine="0" w:firstLineChars="0"/>
                    <w:rPr>
                      <w:color w:val="auto"/>
                      <w:highlight w:val="none"/>
                      <w:lang w:eastAsia="en-US"/>
                    </w:rPr>
                  </w:pP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08" w:type="dxa"/>
                  <w:tcBorders>
                    <w:tl2br w:val="nil"/>
                    <w:tr2bl w:val="nil"/>
                  </w:tcBorders>
                  <w:vAlign w:val="center"/>
                </w:tcPr>
                <w:p>
                  <w:pPr>
                    <w:pStyle w:val="117"/>
                    <w:ind w:firstLine="0" w:firstLineChars="0"/>
                    <w:rPr>
                      <w:rFonts w:hint="eastAsia" w:eastAsia="宋体"/>
                      <w:color w:val="auto"/>
                      <w:highlight w:val="none"/>
                      <w:lang w:eastAsia="zh-CN"/>
                    </w:rPr>
                  </w:pPr>
                </w:p>
              </w:tc>
              <w:tc>
                <w:tcPr>
                  <w:tcW w:w="2519" w:type="dxa"/>
                  <w:tcBorders>
                    <w:tl2br w:val="nil"/>
                    <w:tr2bl w:val="nil"/>
                  </w:tcBorders>
                  <w:vAlign w:val="center"/>
                </w:tcPr>
                <w:p>
                  <w:pPr>
                    <w:pStyle w:val="117"/>
                    <w:ind w:firstLine="0" w:firstLineChars="0"/>
                    <w:rPr>
                      <w:color w:val="auto"/>
                      <w:spacing w:val="-2"/>
                      <w:sz w:val="20"/>
                      <w:szCs w:val="20"/>
                      <w:highlight w:val="none"/>
                      <w:lang w:eastAsia="en-US"/>
                    </w:rPr>
                  </w:pPr>
                </w:p>
              </w:tc>
              <w:tc>
                <w:tcPr>
                  <w:tcW w:w="3777" w:type="dxa"/>
                  <w:tcBorders>
                    <w:tl2br w:val="nil"/>
                    <w:tr2bl w:val="nil"/>
                  </w:tcBorders>
                  <w:vAlign w:val="center"/>
                </w:tcPr>
                <w:p>
                  <w:pPr>
                    <w:pStyle w:val="117"/>
                    <w:ind w:firstLine="0" w:firstLineChars="0"/>
                    <w:rPr>
                      <w:color w:val="auto"/>
                      <w:highlight w:val="none"/>
                      <w:lang w:eastAsia="en-US"/>
                    </w:rPr>
                  </w:pPr>
                </w:p>
              </w:tc>
              <w:tc>
                <w:tcPr>
                  <w:tcW w:w="1546" w:type="dxa"/>
                  <w:tcBorders>
                    <w:tl2br w:val="nil"/>
                    <w:tr2bl w:val="nil"/>
                  </w:tcBorders>
                  <w:vAlign w:val="center"/>
                </w:tcPr>
                <w:p>
                  <w:pPr>
                    <w:pStyle w:val="117"/>
                    <w:ind w:firstLine="0" w:firstLineChars="0"/>
                    <w:rPr>
                      <w:color w:val="auto"/>
                      <w:highlight w:val="none"/>
                      <w:lang w:eastAsia="en-US"/>
                    </w:rPr>
                  </w:pPr>
                </w:p>
              </w:tc>
              <w:tc>
                <w:tcPr>
                  <w:tcW w:w="1547" w:type="dxa"/>
                  <w:tcBorders>
                    <w:tl2br w:val="nil"/>
                    <w:tr2bl w:val="nil"/>
                  </w:tcBorders>
                  <w:vAlign w:val="center"/>
                </w:tcPr>
                <w:p>
                  <w:pPr>
                    <w:pStyle w:val="117"/>
                    <w:ind w:firstLine="0" w:firstLineChars="0"/>
                    <w:rPr>
                      <w:color w:val="auto"/>
                      <w:highlight w:val="none"/>
                      <w:lang w:eastAsia="en-US"/>
                    </w:rPr>
                  </w:pPr>
                </w:p>
              </w:tc>
              <w:tc>
                <w:tcPr>
                  <w:tcW w:w="1546" w:type="dxa"/>
                  <w:tcBorders>
                    <w:tl2br w:val="nil"/>
                    <w:tr2bl w:val="nil"/>
                  </w:tcBorders>
                  <w:vAlign w:val="center"/>
                </w:tcPr>
                <w:p>
                  <w:pPr>
                    <w:pStyle w:val="117"/>
                    <w:ind w:firstLine="0" w:firstLineChars="0"/>
                    <w:rPr>
                      <w:color w:val="auto"/>
                      <w:highlight w:val="none"/>
                      <w:lang w:eastAsia="en-US"/>
                    </w:rPr>
                  </w:pP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08" w:type="dxa"/>
                  <w:tcBorders>
                    <w:tl2br w:val="nil"/>
                    <w:tr2bl w:val="nil"/>
                  </w:tcBorders>
                  <w:vAlign w:val="center"/>
                </w:tcPr>
                <w:p>
                  <w:pPr>
                    <w:pStyle w:val="117"/>
                    <w:ind w:firstLine="0" w:firstLineChars="0"/>
                    <w:rPr>
                      <w:rFonts w:hint="eastAsia" w:eastAsia="宋体"/>
                      <w:color w:val="auto"/>
                      <w:highlight w:val="none"/>
                      <w:lang w:eastAsia="zh-CN"/>
                    </w:rPr>
                  </w:pPr>
                </w:p>
              </w:tc>
              <w:tc>
                <w:tcPr>
                  <w:tcW w:w="2519" w:type="dxa"/>
                  <w:tcBorders>
                    <w:tl2br w:val="nil"/>
                    <w:tr2bl w:val="nil"/>
                  </w:tcBorders>
                  <w:vAlign w:val="center"/>
                </w:tcPr>
                <w:p>
                  <w:pPr>
                    <w:pStyle w:val="117"/>
                    <w:ind w:firstLine="0" w:firstLineChars="0"/>
                    <w:rPr>
                      <w:color w:val="auto"/>
                      <w:spacing w:val="-2"/>
                      <w:sz w:val="20"/>
                      <w:szCs w:val="20"/>
                      <w:highlight w:val="none"/>
                      <w:lang w:eastAsia="en-US"/>
                    </w:rPr>
                  </w:pPr>
                </w:p>
              </w:tc>
              <w:tc>
                <w:tcPr>
                  <w:tcW w:w="3777" w:type="dxa"/>
                  <w:tcBorders>
                    <w:tl2br w:val="nil"/>
                    <w:tr2bl w:val="nil"/>
                  </w:tcBorders>
                  <w:vAlign w:val="center"/>
                </w:tcPr>
                <w:p>
                  <w:pPr>
                    <w:pStyle w:val="117"/>
                    <w:ind w:firstLine="0" w:firstLineChars="0"/>
                    <w:rPr>
                      <w:color w:val="auto"/>
                      <w:highlight w:val="none"/>
                      <w:lang w:eastAsia="en-US"/>
                    </w:rPr>
                  </w:pPr>
                </w:p>
              </w:tc>
              <w:tc>
                <w:tcPr>
                  <w:tcW w:w="1546" w:type="dxa"/>
                  <w:tcBorders>
                    <w:tl2br w:val="nil"/>
                    <w:tr2bl w:val="nil"/>
                  </w:tcBorders>
                  <w:vAlign w:val="center"/>
                </w:tcPr>
                <w:p>
                  <w:pPr>
                    <w:pStyle w:val="117"/>
                    <w:ind w:firstLine="0" w:firstLineChars="0"/>
                    <w:rPr>
                      <w:color w:val="auto"/>
                      <w:highlight w:val="none"/>
                      <w:lang w:eastAsia="en-US"/>
                    </w:rPr>
                  </w:pPr>
                </w:p>
              </w:tc>
              <w:tc>
                <w:tcPr>
                  <w:tcW w:w="1547" w:type="dxa"/>
                  <w:tcBorders>
                    <w:tl2br w:val="nil"/>
                    <w:tr2bl w:val="nil"/>
                  </w:tcBorders>
                  <w:vAlign w:val="center"/>
                </w:tcPr>
                <w:p>
                  <w:pPr>
                    <w:pStyle w:val="117"/>
                    <w:ind w:firstLine="0" w:firstLineChars="0"/>
                    <w:rPr>
                      <w:color w:val="auto"/>
                      <w:highlight w:val="none"/>
                      <w:lang w:eastAsia="en-US"/>
                    </w:rPr>
                  </w:pPr>
                </w:p>
              </w:tc>
              <w:tc>
                <w:tcPr>
                  <w:tcW w:w="1546" w:type="dxa"/>
                  <w:tcBorders>
                    <w:tl2br w:val="nil"/>
                    <w:tr2bl w:val="nil"/>
                  </w:tcBorders>
                  <w:vAlign w:val="center"/>
                </w:tcPr>
                <w:p>
                  <w:pPr>
                    <w:pStyle w:val="117"/>
                    <w:ind w:firstLine="0" w:firstLineChars="0"/>
                    <w:rPr>
                      <w:color w:val="auto"/>
                      <w:highlight w:val="none"/>
                      <w:lang w:eastAsia="en-US"/>
                    </w:rPr>
                  </w:pP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08" w:type="dxa"/>
                  <w:tcBorders>
                    <w:tl2br w:val="nil"/>
                    <w:tr2bl w:val="nil"/>
                  </w:tcBorders>
                  <w:vAlign w:val="center"/>
                </w:tcPr>
                <w:p>
                  <w:pPr>
                    <w:pStyle w:val="117"/>
                    <w:ind w:firstLine="0" w:firstLineChars="0"/>
                    <w:rPr>
                      <w:rFonts w:hint="default" w:eastAsia="宋体"/>
                      <w:color w:val="auto"/>
                      <w:highlight w:val="none"/>
                      <w:lang w:val="en-US" w:eastAsia="zh-CN"/>
                    </w:rPr>
                  </w:pPr>
                </w:p>
              </w:tc>
              <w:tc>
                <w:tcPr>
                  <w:tcW w:w="2519" w:type="dxa"/>
                  <w:tcBorders>
                    <w:tl2br w:val="nil"/>
                    <w:tr2bl w:val="nil"/>
                  </w:tcBorders>
                  <w:vAlign w:val="center"/>
                </w:tcPr>
                <w:p>
                  <w:pPr>
                    <w:pStyle w:val="117"/>
                    <w:ind w:firstLine="0" w:firstLineChars="0"/>
                    <w:rPr>
                      <w:color w:val="auto"/>
                      <w:spacing w:val="-2"/>
                      <w:sz w:val="20"/>
                      <w:szCs w:val="20"/>
                      <w:highlight w:val="none"/>
                      <w:lang w:eastAsia="en-US"/>
                    </w:rPr>
                  </w:pPr>
                </w:p>
              </w:tc>
              <w:tc>
                <w:tcPr>
                  <w:tcW w:w="3777" w:type="dxa"/>
                  <w:tcBorders>
                    <w:tl2br w:val="nil"/>
                    <w:tr2bl w:val="nil"/>
                  </w:tcBorders>
                  <w:vAlign w:val="center"/>
                </w:tcPr>
                <w:p>
                  <w:pPr>
                    <w:pStyle w:val="117"/>
                    <w:ind w:firstLine="0" w:firstLineChars="0"/>
                    <w:rPr>
                      <w:color w:val="auto"/>
                      <w:highlight w:val="none"/>
                      <w:lang w:eastAsia="en-US"/>
                    </w:rPr>
                  </w:pPr>
                </w:p>
              </w:tc>
              <w:tc>
                <w:tcPr>
                  <w:tcW w:w="1546" w:type="dxa"/>
                  <w:tcBorders>
                    <w:tl2br w:val="nil"/>
                    <w:tr2bl w:val="nil"/>
                  </w:tcBorders>
                  <w:vAlign w:val="center"/>
                </w:tcPr>
                <w:p>
                  <w:pPr>
                    <w:pStyle w:val="117"/>
                    <w:ind w:firstLine="0" w:firstLineChars="0"/>
                    <w:rPr>
                      <w:color w:val="auto"/>
                      <w:highlight w:val="none"/>
                      <w:lang w:eastAsia="en-US"/>
                    </w:rPr>
                  </w:pPr>
                </w:p>
              </w:tc>
              <w:tc>
                <w:tcPr>
                  <w:tcW w:w="1547" w:type="dxa"/>
                  <w:tcBorders>
                    <w:tl2br w:val="nil"/>
                    <w:tr2bl w:val="nil"/>
                  </w:tcBorders>
                  <w:vAlign w:val="center"/>
                </w:tcPr>
                <w:p>
                  <w:pPr>
                    <w:pStyle w:val="117"/>
                    <w:ind w:firstLine="0" w:firstLineChars="0"/>
                    <w:rPr>
                      <w:color w:val="auto"/>
                      <w:highlight w:val="none"/>
                      <w:lang w:eastAsia="en-US"/>
                    </w:rPr>
                  </w:pPr>
                </w:p>
              </w:tc>
              <w:tc>
                <w:tcPr>
                  <w:tcW w:w="1546" w:type="dxa"/>
                  <w:tcBorders>
                    <w:tl2br w:val="nil"/>
                    <w:tr2bl w:val="nil"/>
                  </w:tcBorders>
                  <w:vAlign w:val="center"/>
                </w:tcPr>
                <w:p>
                  <w:pPr>
                    <w:pStyle w:val="117"/>
                    <w:ind w:firstLine="0" w:firstLineChars="0"/>
                    <w:rPr>
                      <w:color w:val="auto"/>
                      <w:highlight w:val="none"/>
                      <w:lang w:eastAsia="en-US"/>
                    </w:rPr>
                  </w:pP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08" w:type="dxa"/>
                  <w:tcBorders>
                    <w:tl2br w:val="nil"/>
                    <w:tr2bl w:val="nil"/>
                  </w:tcBorders>
                  <w:vAlign w:val="center"/>
                </w:tcPr>
                <w:p>
                  <w:pPr>
                    <w:pStyle w:val="117"/>
                    <w:ind w:firstLine="0" w:firstLineChars="0"/>
                    <w:rPr>
                      <w:rFonts w:hint="default" w:eastAsia="宋体"/>
                      <w:color w:val="auto"/>
                      <w:highlight w:val="none"/>
                      <w:lang w:val="en-US" w:eastAsia="zh-CN"/>
                    </w:rPr>
                  </w:pPr>
                </w:p>
              </w:tc>
              <w:tc>
                <w:tcPr>
                  <w:tcW w:w="2519" w:type="dxa"/>
                  <w:tcBorders>
                    <w:tl2br w:val="nil"/>
                    <w:tr2bl w:val="nil"/>
                  </w:tcBorders>
                  <w:vAlign w:val="center"/>
                </w:tcPr>
                <w:p>
                  <w:pPr>
                    <w:pStyle w:val="117"/>
                    <w:ind w:firstLine="0" w:firstLineChars="0"/>
                    <w:rPr>
                      <w:color w:val="auto"/>
                      <w:highlight w:val="none"/>
                      <w:lang w:eastAsia="en-US"/>
                    </w:rPr>
                  </w:pPr>
                </w:p>
              </w:tc>
              <w:tc>
                <w:tcPr>
                  <w:tcW w:w="3777" w:type="dxa"/>
                  <w:tcBorders>
                    <w:tl2br w:val="nil"/>
                    <w:tr2bl w:val="nil"/>
                  </w:tcBorders>
                  <w:vAlign w:val="center"/>
                </w:tcPr>
                <w:p>
                  <w:pPr>
                    <w:pStyle w:val="117"/>
                    <w:ind w:firstLine="0" w:firstLineChars="0"/>
                    <w:rPr>
                      <w:color w:val="auto"/>
                      <w:highlight w:val="none"/>
                      <w:lang w:eastAsia="en-US"/>
                    </w:rPr>
                  </w:pPr>
                </w:p>
              </w:tc>
              <w:tc>
                <w:tcPr>
                  <w:tcW w:w="1546" w:type="dxa"/>
                  <w:tcBorders>
                    <w:tl2br w:val="nil"/>
                    <w:tr2bl w:val="nil"/>
                  </w:tcBorders>
                  <w:vAlign w:val="center"/>
                </w:tcPr>
                <w:p>
                  <w:pPr>
                    <w:pStyle w:val="117"/>
                    <w:ind w:firstLine="0" w:firstLineChars="0"/>
                    <w:rPr>
                      <w:color w:val="auto"/>
                      <w:highlight w:val="none"/>
                      <w:lang w:eastAsia="en-US"/>
                    </w:rPr>
                  </w:pPr>
                </w:p>
              </w:tc>
              <w:tc>
                <w:tcPr>
                  <w:tcW w:w="1547" w:type="dxa"/>
                  <w:tcBorders>
                    <w:tl2br w:val="nil"/>
                    <w:tr2bl w:val="nil"/>
                  </w:tcBorders>
                  <w:vAlign w:val="center"/>
                </w:tcPr>
                <w:p>
                  <w:pPr>
                    <w:pStyle w:val="117"/>
                    <w:ind w:firstLine="0" w:firstLineChars="0"/>
                    <w:rPr>
                      <w:color w:val="auto"/>
                      <w:highlight w:val="none"/>
                      <w:lang w:eastAsia="en-US"/>
                    </w:rPr>
                  </w:pPr>
                </w:p>
              </w:tc>
              <w:tc>
                <w:tcPr>
                  <w:tcW w:w="1546" w:type="dxa"/>
                  <w:tcBorders>
                    <w:tl2br w:val="nil"/>
                    <w:tr2bl w:val="nil"/>
                  </w:tcBorders>
                  <w:vAlign w:val="center"/>
                </w:tcPr>
                <w:p>
                  <w:pPr>
                    <w:pStyle w:val="117"/>
                    <w:ind w:firstLine="0" w:firstLineChars="0"/>
                    <w:rPr>
                      <w:color w:val="auto"/>
                      <w:highlight w:val="none"/>
                      <w:lang w:eastAsia="en-US"/>
                    </w:rPr>
                  </w:pP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08" w:type="dxa"/>
                  <w:tcBorders>
                    <w:tl2br w:val="nil"/>
                    <w:tr2bl w:val="nil"/>
                  </w:tcBorders>
                  <w:vAlign w:val="center"/>
                </w:tcPr>
                <w:p>
                  <w:pPr>
                    <w:pStyle w:val="117"/>
                    <w:ind w:firstLine="0" w:firstLineChars="0"/>
                    <w:rPr>
                      <w:rFonts w:hint="default" w:eastAsia="宋体"/>
                      <w:color w:val="auto"/>
                      <w:highlight w:val="none"/>
                      <w:lang w:val="en-US" w:eastAsia="zh-CN"/>
                    </w:rPr>
                  </w:pPr>
                </w:p>
              </w:tc>
              <w:tc>
                <w:tcPr>
                  <w:tcW w:w="2519" w:type="dxa"/>
                  <w:tcBorders>
                    <w:tl2br w:val="nil"/>
                    <w:tr2bl w:val="nil"/>
                  </w:tcBorders>
                  <w:vAlign w:val="center"/>
                </w:tcPr>
                <w:p>
                  <w:pPr>
                    <w:pStyle w:val="117"/>
                    <w:ind w:firstLine="0" w:firstLineChars="0"/>
                    <w:rPr>
                      <w:color w:val="auto"/>
                      <w:highlight w:val="none"/>
                      <w:lang w:eastAsia="en-US"/>
                    </w:rPr>
                  </w:pPr>
                </w:p>
              </w:tc>
              <w:tc>
                <w:tcPr>
                  <w:tcW w:w="3777" w:type="dxa"/>
                  <w:tcBorders>
                    <w:tl2br w:val="nil"/>
                    <w:tr2bl w:val="nil"/>
                  </w:tcBorders>
                  <w:vAlign w:val="center"/>
                </w:tcPr>
                <w:p>
                  <w:pPr>
                    <w:pStyle w:val="117"/>
                    <w:ind w:firstLine="0" w:firstLineChars="0"/>
                    <w:rPr>
                      <w:color w:val="auto"/>
                      <w:highlight w:val="none"/>
                      <w:lang w:eastAsia="en-US"/>
                    </w:rPr>
                  </w:pPr>
                </w:p>
              </w:tc>
              <w:tc>
                <w:tcPr>
                  <w:tcW w:w="1546" w:type="dxa"/>
                  <w:tcBorders>
                    <w:tl2br w:val="nil"/>
                    <w:tr2bl w:val="nil"/>
                  </w:tcBorders>
                  <w:vAlign w:val="center"/>
                </w:tcPr>
                <w:p>
                  <w:pPr>
                    <w:pStyle w:val="117"/>
                    <w:ind w:firstLine="0" w:firstLineChars="0"/>
                    <w:rPr>
                      <w:color w:val="auto"/>
                      <w:highlight w:val="none"/>
                      <w:lang w:eastAsia="en-US"/>
                    </w:rPr>
                  </w:pPr>
                </w:p>
              </w:tc>
              <w:tc>
                <w:tcPr>
                  <w:tcW w:w="1547" w:type="dxa"/>
                  <w:tcBorders>
                    <w:tl2br w:val="nil"/>
                    <w:tr2bl w:val="nil"/>
                  </w:tcBorders>
                  <w:vAlign w:val="center"/>
                </w:tcPr>
                <w:p>
                  <w:pPr>
                    <w:pStyle w:val="117"/>
                    <w:ind w:firstLine="0" w:firstLineChars="0"/>
                    <w:rPr>
                      <w:color w:val="auto"/>
                      <w:highlight w:val="none"/>
                      <w:lang w:eastAsia="en-US"/>
                    </w:rPr>
                  </w:pPr>
                </w:p>
              </w:tc>
              <w:tc>
                <w:tcPr>
                  <w:tcW w:w="1546" w:type="dxa"/>
                  <w:tcBorders>
                    <w:tl2br w:val="nil"/>
                    <w:tr2bl w:val="nil"/>
                  </w:tcBorders>
                  <w:vAlign w:val="center"/>
                </w:tcPr>
                <w:p>
                  <w:pPr>
                    <w:pStyle w:val="117"/>
                    <w:ind w:firstLine="0" w:firstLineChars="0"/>
                    <w:rPr>
                      <w:color w:val="auto"/>
                      <w:highlight w:val="none"/>
                      <w:lang w:eastAsia="en-US"/>
                    </w:rPr>
                  </w:pP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08" w:type="dxa"/>
                  <w:tcBorders>
                    <w:tl2br w:val="nil"/>
                    <w:tr2bl w:val="nil"/>
                  </w:tcBorders>
                  <w:vAlign w:val="center"/>
                </w:tcPr>
                <w:p>
                  <w:pPr>
                    <w:pStyle w:val="117"/>
                    <w:ind w:firstLine="0" w:firstLineChars="0"/>
                    <w:rPr>
                      <w:rFonts w:hint="default" w:eastAsia="宋体"/>
                      <w:color w:val="auto"/>
                      <w:highlight w:val="none"/>
                      <w:lang w:val="en-US" w:eastAsia="zh-CN"/>
                    </w:rPr>
                  </w:pPr>
                </w:p>
              </w:tc>
              <w:tc>
                <w:tcPr>
                  <w:tcW w:w="2519" w:type="dxa"/>
                  <w:tcBorders>
                    <w:tl2br w:val="nil"/>
                    <w:tr2bl w:val="nil"/>
                  </w:tcBorders>
                  <w:vAlign w:val="center"/>
                </w:tcPr>
                <w:p>
                  <w:pPr>
                    <w:pStyle w:val="117"/>
                    <w:ind w:firstLine="0" w:firstLineChars="0"/>
                    <w:rPr>
                      <w:color w:val="auto"/>
                      <w:highlight w:val="none"/>
                      <w:lang w:eastAsia="en-US"/>
                    </w:rPr>
                  </w:pPr>
                </w:p>
              </w:tc>
              <w:tc>
                <w:tcPr>
                  <w:tcW w:w="3777" w:type="dxa"/>
                  <w:tcBorders>
                    <w:tl2br w:val="nil"/>
                    <w:tr2bl w:val="nil"/>
                  </w:tcBorders>
                  <w:vAlign w:val="center"/>
                </w:tcPr>
                <w:p>
                  <w:pPr>
                    <w:pStyle w:val="117"/>
                    <w:ind w:firstLine="0" w:firstLineChars="0"/>
                    <w:rPr>
                      <w:color w:val="auto"/>
                      <w:highlight w:val="none"/>
                      <w:lang w:eastAsia="en-US"/>
                    </w:rPr>
                  </w:pPr>
                </w:p>
              </w:tc>
              <w:tc>
                <w:tcPr>
                  <w:tcW w:w="1546" w:type="dxa"/>
                  <w:tcBorders>
                    <w:tl2br w:val="nil"/>
                    <w:tr2bl w:val="nil"/>
                  </w:tcBorders>
                  <w:vAlign w:val="center"/>
                </w:tcPr>
                <w:p>
                  <w:pPr>
                    <w:pStyle w:val="117"/>
                    <w:ind w:firstLine="0" w:firstLineChars="0"/>
                    <w:rPr>
                      <w:color w:val="auto"/>
                      <w:highlight w:val="none"/>
                      <w:lang w:eastAsia="en-US"/>
                    </w:rPr>
                  </w:pPr>
                </w:p>
              </w:tc>
              <w:tc>
                <w:tcPr>
                  <w:tcW w:w="1547" w:type="dxa"/>
                  <w:tcBorders>
                    <w:tl2br w:val="nil"/>
                    <w:tr2bl w:val="nil"/>
                  </w:tcBorders>
                  <w:vAlign w:val="center"/>
                </w:tcPr>
                <w:p>
                  <w:pPr>
                    <w:pStyle w:val="117"/>
                    <w:ind w:firstLine="0" w:firstLineChars="0"/>
                    <w:rPr>
                      <w:color w:val="auto"/>
                      <w:highlight w:val="none"/>
                      <w:lang w:eastAsia="en-US"/>
                    </w:rPr>
                  </w:pPr>
                </w:p>
              </w:tc>
              <w:tc>
                <w:tcPr>
                  <w:tcW w:w="1546" w:type="dxa"/>
                  <w:tcBorders>
                    <w:tl2br w:val="nil"/>
                    <w:tr2bl w:val="nil"/>
                  </w:tcBorders>
                  <w:vAlign w:val="center"/>
                </w:tcPr>
                <w:p>
                  <w:pPr>
                    <w:pStyle w:val="117"/>
                    <w:ind w:firstLine="0" w:firstLineChars="0"/>
                    <w:rPr>
                      <w:color w:val="auto"/>
                      <w:highlight w:val="none"/>
                      <w:lang w:eastAsia="en-US"/>
                    </w:rPr>
                  </w:pP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08" w:type="dxa"/>
                  <w:tcBorders>
                    <w:tl2br w:val="nil"/>
                    <w:tr2bl w:val="nil"/>
                  </w:tcBorders>
                  <w:vAlign w:val="center"/>
                </w:tcPr>
                <w:p>
                  <w:pPr>
                    <w:pStyle w:val="117"/>
                    <w:ind w:firstLine="0" w:firstLineChars="0"/>
                    <w:rPr>
                      <w:rFonts w:hint="default" w:eastAsia="宋体"/>
                      <w:color w:val="auto"/>
                      <w:highlight w:val="none"/>
                      <w:lang w:val="en-US" w:eastAsia="zh-CN"/>
                    </w:rPr>
                  </w:pPr>
                </w:p>
              </w:tc>
              <w:tc>
                <w:tcPr>
                  <w:tcW w:w="2519" w:type="dxa"/>
                  <w:tcBorders>
                    <w:tl2br w:val="nil"/>
                    <w:tr2bl w:val="nil"/>
                  </w:tcBorders>
                  <w:vAlign w:val="center"/>
                </w:tcPr>
                <w:p>
                  <w:pPr>
                    <w:pStyle w:val="117"/>
                    <w:ind w:firstLine="0" w:firstLineChars="0"/>
                    <w:rPr>
                      <w:color w:val="auto"/>
                      <w:highlight w:val="none"/>
                      <w:lang w:eastAsia="en-US"/>
                    </w:rPr>
                  </w:pPr>
                </w:p>
              </w:tc>
              <w:tc>
                <w:tcPr>
                  <w:tcW w:w="3777" w:type="dxa"/>
                  <w:tcBorders>
                    <w:tl2br w:val="nil"/>
                    <w:tr2bl w:val="nil"/>
                  </w:tcBorders>
                  <w:vAlign w:val="center"/>
                </w:tcPr>
                <w:p>
                  <w:pPr>
                    <w:pStyle w:val="117"/>
                    <w:ind w:firstLine="0" w:firstLineChars="0"/>
                    <w:rPr>
                      <w:color w:val="auto"/>
                      <w:highlight w:val="none"/>
                      <w:lang w:eastAsia="en-US"/>
                    </w:rPr>
                  </w:pPr>
                </w:p>
              </w:tc>
              <w:tc>
                <w:tcPr>
                  <w:tcW w:w="1546" w:type="dxa"/>
                  <w:tcBorders>
                    <w:tl2br w:val="nil"/>
                    <w:tr2bl w:val="nil"/>
                  </w:tcBorders>
                  <w:vAlign w:val="center"/>
                </w:tcPr>
                <w:p>
                  <w:pPr>
                    <w:pStyle w:val="117"/>
                    <w:ind w:firstLine="0" w:firstLineChars="0"/>
                    <w:rPr>
                      <w:color w:val="auto"/>
                      <w:highlight w:val="none"/>
                      <w:lang w:eastAsia="en-US"/>
                    </w:rPr>
                  </w:pPr>
                </w:p>
              </w:tc>
              <w:tc>
                <w:tcPr>
                  <w:tcW w:w="1547" w:type="dxa"/>
                  <w:tcBorders>
                    <w:tl2br w:val="nil"/>
                    <w:tr2bl w:val="nil"/>
                  </w:tcBorders>
                  <w:vAlign w:val="center"/>
                </w:tcPr>
                <w:p>
                  <w:pPr>
                    <w:pStyle w:val="117"/>
                    <w:ind w:firstLine="0" w:firstLineChars="0"/>
                    <w:rPr>
                      <w:color w:val="auto"/>
                      <w:highlight w:val="none"/>
                      <w:lang w:eastAsia="en-US"/>
                    </w:rPr>
                  </w:pPr>
                </w:p>
              </w:tc>
              <w:tc>
                <w:tcPr>
                  <w:tcW w:w="1546" w:type="dxa"/>
                  <w:tcBorders>
                    <w:tl2br w:val="nil"/>
                    <w:tr2bl w:val="nil"/>
                  </w:tcBorders>
                  <w:vAlign w:val="center"/>
                </w:tcPr>
                <w:p>
                  <w:pPr>
                    <w:pStyle w:val="117"/>
                    <w:ind w:firstLine="0" w:firstLineChars="0"/>
                    <w:rPr>
                      <w:color w:val="auto"/>
                      <w:highlight w:val="none"/>
                      <w:lang w:eastAsia="en-US"/>
                    </w:rPr>
                  </w:pP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08" w:type="dxa"/>
                  <w:tcBorders>
                    <w:tl2br w:val="nil"/>
                    <w:tr2bl w:val="nil"/>
                  </w:tcBorders>
                  <w:vAlign w:val="center"/>
                </w:tcPr>
                <w:p>
                  <w:pPr>
                    <w:pStyle w:val="117"/>
                    <w:ind w:firstLine="0" w:firstLineChars="0"/>
                    <w:rPr>
                      <w:rFonts w:hint="default" w:eastAsia="宋体"/>
                      <w:color w:val="auto"/>
                      <w:highlight w:val="none"/>
                      <w:lang w:val="en-US" w:eastAsia="zh-CN"/>
                    </w:rPr>
                  </w:pPr>
                </w:p>
              </w:tc>
              <w:tc>
                <w:tcPr>
                  <w:tcW w:w="2519" w:type="dxa"/>
                  <w:tcBorders>
                    <w:tl2br w:val="nil"/>
                    <w:tr2bl w:val="nil"/>
                  </w:tcBorders>
                  <w:vAlign w:val="center"/>
                </w:tcPr>
                <w:p>
                  <w:pPr>
                    <w:pStyle w:val="117"/>
                    <w:ind w:firstLine="0" w:firstLineChars="0"/>
                    <w:rPr>
                      <w:color w:val="auto"/>
                      <w:highlight w:val="none"/>
                      <w:lang w:eastAsia="en-US"/>
                    </w:rPr>
                  </w:pPr>
                </w:p>
              </w:tc>
              <w:tc>
                <w:tcPr>
                  <w:tcW w:w="3777" w:type="dxa"/>
                  <w:tcBorders>
                    <w:tl2br w:val="nil"/>
                    <w:tr2bl w:val="nil"/>
                  </w:tcBorders>
                  <w:vAlign w:val="center"/>
                </w:tcPr>
                <w:p>
                  <w:pPr>
                    <w:pStyle w:val="117"/>
                    <w:ind w:firstLine="0" w:firstLineChars="0"/>
                    <w:rPr>
                      <w:color w:val="auto"/>
                      <w:highlight w:val="none"/>
                      <w:lang w:eastAsia="en-US"/>
                    </w:rPr>
                  </w:pPr>
                </w:p>
              </w:tc>
              <w:tc>
                <w:tcPr>
                  <w:tcW w:w="1546" w:type="dxa"/>
                  <w:tcBorders>
                    <w:tl2br w:val="nil"/>
                    <w:tr2bl w:val="nil"/>
                  </w:tcBorders>
                  <w:vAlign w:val="center"/>
                </w:tcPr>
                <w:p>
                  <w:pPr>
                    <w:pStyle w:val="117"/>
                    <w:ind w:firstLine="0" w:firstLineChars="0"/>
                    <w:rPr>
                      <w:color w:val="auto"/>
                      <w:highlight w:val="none"/>
                      <w:lang w:eastAsia="en-US"/>
                    </w:rPr>
                  </w:pPr>
                </w:p>
              </w:tc>
              <w:tc>
                <w:tcPr>
                  <w:tcW w:w="1547" w:type="dxa"/>
                  <w:tcBorders>
                    <w:tl2br w:val="nil"/>
                    <w:tr2bl w:val="nil"/>
                  </w:tcBorders>
                  <w:vAlign w:val="center"/>
                </w:tcPr>
                <w:p>
                  <w:pPr>
                    <w:pStyle w:val="117"/>
                    <w:ind w:firstLine="0" w:firstLineChars="0"/>
                    <w:rPr>
                      <w:color w:val="auto"/>
                      <w:highlight w:val="none"/>
                      <w:lang w:eastAsia="en-US"/>
                    </w:rPr>
                  </w:pPr>
                </w:p>
              </w:tc>
              <w:tc>
                <w:tcPr>
                  <w:tcW w:w="1546" w:type="dxa"/>
                  <w:tcBorders>
                    <w:tl2br w:val="nil"/>
                    <w:tr2bl w:val="nil"/>
                  </w:tcBorders>
                  <w:vAlign w:val="center"/>
                </w:tcPr>
                <w:p>
                  <w:pPr>
                    <w:pStyle w:val="117"/>
                    <w:ind w:firstLine="0" w:firstLineChars="0"/>
                    <w:rPr>
                      <w:color w:val="auto"/>
                      <w:highlight w:val="none"/>
                      <w:lang w:eastAsia="en-US"/>
                    </w:rPr>
                  </w:pP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08" w:type="dxa"/>
                  <w:tcBorders>
                    <w:tl2br w:val="nil"/>
                    <w:tr2bl w:val="nil"/>
                  </w:tcBorders>
                  <w:vAlign w:val="center"/>
                </w:tcPr>
                <w:p>
                  <w:pPr>
                    <w:pStyle w:val="117"/>
                    <w:ind w:firstLine="0" w:firstLineChars="0"/>
                    <w:rPr>
                      <w:rFonts w:hint="default" w:eastAsia="宋体"/>
                      <w:color w:val="auto"/>
                      <w:highlight w:val="none"/>
                      <w:lang w:val="en-US" w:eastAsia="zh-CN"/>
                    </w:rPr>
                  </w:pPr>
                </w:p>
              </w:tc>
              <w:tc>
                <w:tcPr>
                  <w:tcW w:w="2519" w:type="dxa"/>
                  <w:tcBorders>
                    <w:tl2br w:val="nil"/>
                    <w:tr2bl w:val="nil"/>
                  </w:tcBorders>
                  <w:vAlign w:val="center"/>
                </w:tcPr>
                <w:p>
                  <w:pPr>
                    <w:pStyle w:val="117"/>
                    <w:ind w:firstLine="0" w:firstLineChars="0"/>
                    <w:rPr>
                      <w:color w:val="auto"/>
                      <w:highlight w:val="none"/>
                      <w:lang w:eastAsia="en-US"/>
                    </w:rPr>
                  </w:pPr>
                </w:p>
              </w:tc>
              <w:tc>
                <w:tcPr>
                  <w:tcW w:w="3777" w:type="dxa"/>
                  <w:tcBorders>
                    <w:tl2br w:val="nil"/>
                    <w:tr2bl w:val="nil"/>
                  </w:tcBorders>
                  <w:vAlign w:val="center"/>
                </w:tcPr>
                <w:p>
                  <w:pPr>
                    <w:pStyle w:val="117"/>
                    <w:ind w:firstLine="0" w:firstLineChars="0"/>
                    <w:rPr>
                      <w:color w:val="auto"/>
                      <w:highlight w:val="none"/>
                      <w:lang w:eastAsia="en-US"/>
                    </w:rPr>
                  </w:pPr>
                </w:p>
              </w:tc>
              <w:tc>
                <w:tcPr>
                  <w:tcW w:w="1546" w:type="dxa"/>
                  <w:tcBorders>
                    <w:tl2br w:val="nil"/>
                    <w:tr2bl w:val="nil"/>
                  </w:tcBorders>
                  <w:vAlign w:val="center"/>
                </w:tcPr>
                <w:p>
                  <w:pPr>
                    <w:pStyle w:val="117"/>
                    <w:ind w:firstLine="0" w:firstLineChars="0"/>
                    <w:rPr>
                      <w:color w:val="auto"/>
                      <w:highlight w:val="none"/>
                      <w:lang w:eastAsia="en-US"/>
                    </w:rPr>
                  </w:pPr>
                </w:p>
              </w:tc>
              <w:tc>
                <w:tcPr>
                  <w:tcW w:w="1547" w:type="dxa"/>
                  <w:tcBorders>
                    <w:tl2br w:val="nil"/>
                    <w:tr2bl w:val="nil"/>
                  </w:tcBorders>
                  <w:vAlign w:val="center"/>
                </w:tcPr>
                <w:p>
                  <w:pPr>
                    <w:pStyle w:val="117"/>
                    <w:ind w:firstLine="0" w:firstLineChars="0"/>
                    <w:rPr>
                      <w:color w:val="auto"/>
                      <w:highlight w:val="none"/>
                      <w:lang w:eastAsia="en-US"/>
                    </w:rPr>
                  </w:pPr>
                </w:p>
              </w:tc>
              <w:tc>
                <w:tcPr>
                  <w:tcW w:w="1546" w:type="dxa"/>
                  <w:tcBorders>
                    <w:tl2br w:val="nil"/>
                    <w:tr2bl w:val="nil"/>
                  </w:tcBorders>
                  <w:vAlign w:val="center"/>
                </w:tcPr>
                <w:p>
                  <w:pPr>
                    <w:pStyle w:val="117"/>
                    <w:ind w:firstLine="0" w:firstLineChars="0"/>
                    <w:rPr>
                      <w:color w:val="auto"/>
                      <w:highlight w:val="none"/>
                      <w:lang w:eastAsia="en-US"/>
                    </w:rPr>
                  </w:pP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08" w:type="dxa"/>
                  <w:tcBorders>
                    <w:tl2br w:val="nil"/>
                    <w:tr2bl w:val="nil"/>
                  </w:tcBorders>
                  <w:vAlign w:val="center"/>
                </w:tcPr>
                <w:p>
                  <w:pPr>
                    <w:pStyle w:val="117"/>
                    <w:ind w:firstLine="0" w:firstLineChars="0"/>
                    <w:rPr>
                      <w:rFonts w:hint="default" w:eastAsia="宋体"/>
                      <w:color w:val="auto"/>
                      <w:highlight w:val="none"/>
                      <w:lang w:val="en-US" w:eastAsia="zh-CN"/>
                    </w:rPr>
                  </w:pPr>
                </w:p>
              </w:tc>
              <w:tc>
                <w:tcPr>
                  <w:tcW w:w="2519" w:type="dxa"/>
                  <w:tcBorders>
                    <w:tl2br w:val="nil"/>
                    <w:tr2bl w:val="nil"/>
                  </w:tcBorders>
                  <w:vAlign w:val="center"/>
                </w:tcPr>
                <w:p>
                  <w:pPr>
                    <w:pStyle w:val="117"/>
                    <w:ind w:firstLine="0" w:firstLineChars="0"/>
                    <w:rPr>
                      <w:color w:val="auto"/>
                      <w:highlight w:val="none"/>
                      <w:lang w:eastAsia="en-US"/>
                    </w:rPr>
                  </w:pPr>
                </w:p>
              </w:tc>
              <w:tc>
                <w:tcPr>
                  <w:tcW w:w="3777" w:type="dxa"/>
                  <w:tcBorders>
                    <w:tl2br w:val="nil"/>
                    <w:tr2bl w:val="nil"/>
                  </w:tcBorders>
                  <w:vAlign w:val="center"/>
                </w:tcPr>
                <w:p>
                  <w:pPr>
                    <w:pStyle w:val="117"/>
                    <w:ind w:firstLine="0" w:firstLineChars="0"/>
                    <w:rPr>
                      <w:color w:val="auto"/>
                      <w:highlight w:val="none"/>
                      <w:lang w:eastAsia="en-US"/>
                    </w:rPr>
                  </w:pPr>
                </w:p>
              </w:tc>
              <w:tc>
                <w:tcPr>
                  <w:tcW w:w="1546" w:type="dxa"/>
                  <w:tcBorders>
                    <w:tl2br w:val="nil"/>
                    <w:tr2bl w:val="nil"/>
                  </w:tcBorders>
                  <w:vAlign w:val="center"/>
                </w:tcPr>
                <w:p>
                  <w:pPr>
                    <w:pStyle w:val="117"/>
                    <w:ind w:firstLine="0" w:firstLineChars="0"/>
                    <w:rPr>
                      <w:color w:val="auto"/>
                      <w:highlight w:val="none"/>
                      <w:lang w:eastAsia="en-US"/>
                    </w:rPr>
                  </w:pPr>
                </w:p>
              </w:tc>
              <w:tc>
                <w:tcPr>
                  <w:tcW w:w="1547" w:type="dxa"/>
                  <w:tcBorders>
                    <w:tl2br w:val="nil"/>
                    <w:tr2bl w:val="nil"/>
                  </w:tcBorders>
                  <w:vAlign w:val="center"/>
                </w:tcPr>
                <w:p>
                  <w:pPr>
                    <w:pStyle w:val="117"/>
                    <w:ind w:firstLine="0" w:firstLineChars="0"/>
                    <w:rPr>
                      <w:color w:val="auto"/>
                      <w:highlight w:val="none"/>
                      <w:lang w:eastAsia="en-US"/>
                    </w:rPr>
                  </w:pPr>
                </w:p>
              </w:tc>
              <w:tc>
                <w:tcPr>
                  <w:tcW w:w="1546" w:type="dxa"/>
                  <w:tcBorders>
                    <w:tl2br w:val="nil"/>
                    <w:tr2bl w:val="nil"/>
                  </w:tcBorders>
                  <w:vAlign w:val="center"/>
                </w:tcPr>
                <w:p>
                  <w:pPr>
                    <w:pStyle w:val="117"/>
                    <w:ind w:firstLine="0" w:firstLineChars="0"/>
                    <w:rPr>
                      <w:color w:val="auto"/>
                      <w:highlight w:val="none"/>
                      <w:lang w:eastAsia="en-US"/>
                    </w:rPr>
                  </w:pP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08" w:type="dxa"/>
                  <w:tcBorders>
                    <w:tl2br w:val="nil"/>
                    <w:tr2bl w:val="nil"/>
                  </w:tcBorders>
                  <w:vAlign w:val="center"/>
                </w:tcPr>
                <w:p>
                  <w:pPr>
                    <w:pStyle w:val="117"/>
                    <w:ind w:firstLine="0" w:firstLineChars="0"/>
                    <w:rPr>
                      <w:rFonts w:hint="default" w:eastAsia="宋体"/>
                      <w:color w:val="auto"/>
                      <w:highlight w:val="none"/>
                      <w:lang w:val="en-US" w:eastAsia="zh-CN"/>
                    </w:rPr>
                  </w:pPr>
                </w:p>
              </w:tc>
              <w:tc>
                <w:tcPr>
                  <w:tcW w:w="2519" w:type="dxa"/>
                  <w:tcBorders>
                    <w:tl2br w:val="nil"/>
                    <w:tr2bl w:val="nil"/>
                  </w:tcBorders>
                  <w:vAlign w:val="center"/>
                </w:tcPr>
                <w:p>
                  <w:pPr>
                    <w:pStyle w:val="117"/>
                    <w:ind w:firstLine="0" w:firstLineChars="0"/>
                    <w:rPr>
                      <w:color w:val="auto"/>
                      <w:highlight w:val="none"/>
                      <w:lang w:eastAsia="en-US"/>
                    </w:rPr>
                  </w:pPr>
                </w:p>
              </w:tc>
              <w:tc>
                <w:tcPr>
                  <w:tcW w:w="3777" w:type="dxa"/>
                  <w:tcBorders>
                    <w:tl2br w:val="nil"/>
                    <w:tr2bl w:val="nil"/>
                  </w:tcBorders>
                  <w:vAlign w:val="center"/>
                </w:tcPr>
                <w:p>
                  <w:pPr>
                    <w:pStyle w:val="117"/>
                    <w:ind w:firstLine="0" w:firstLineChars="0"/>
                    <w:rPr>
                      <w:color w:val="auto"/>
                      <w:highlight w:val="none"/>
                      <w:lang w:eastAsia="en-US"/>
                    </w:rPr>
                  </w:pPr>
                </w:p>
              </w:tc>
              <w:tc>
                <w:tcPr>
                  <w:tcW w:w="1546" w:type="dxa"/>
                  <w:tcBorders>
                    <w:tl2br w:val="nil"/>
                    <w:tr2bl w:val="nil"/>
                  </w:tcBorders>
                  <w:vAlign w:val="center"/>
                </w:tcPr>
                <w:p>
                  <w:pPr>
                    <w:pStyle w:val="117"/>
                    <w:ind w:firstLine="0" w:firstLineChars="0"/>
                    <w:rPr>
                      <w:color w:val="auto"/>
                      <w:highlight w:val="none"/>
                      <w:lang w:eastAsia="en-US"/>
                    </w:rPr>
                  </w:pPr>
                </w:p>
              </w:tc>
              <w:tc>
                <w:tcPr>
                  <w:tcW w:w="1547" w:type="dxa"/>
                  <w:tcBorders>
                    <w:tl2br w:val="nil"/>
                    <w:tr2bl w:val="nil"/>
                  </w:tcBorders>
                  <w:vAlign w:val="center"/>
                </w:tcPr>
                <w:p>
                  <w:pPr>
                    <w:pStyle w:val="117"/>
                    <w:ind w:firstLine="0" w:firstLineChars="0"/>
                    <w:rPr>
                      <w:color w:val="auto"/>
                      <w:highlight w:val="none"/>
                      <w:lang w:eastAsia="en-US"/>
                    </w:rPr>
                  </w:pPr>
                </w:p>
              </w:tc>
              <w:tc>
                <w:tcPr>
                  <w:tcW w:w="1546" w:type="dxa"/>
                  <w:tcBorders>
                    <w:tl2br w:val="nil"/>
                    <w:tr2bl w:val="nil"/>
                  </w:tcBorders>
                  <w:vAlign w:val="center"/>
                </w:tcPr>
                <w:p>
                  <w:pPr>
                    <w:pStyle w:val="117"/>
                    <w:ind w:firstLine="0" w:firstLineChars="0"/>
                    <w:rPr>
                      <w:color w:val="auto"/>
                      <w:highlight w:val="none"/>
                      <w:lang w:eastAsia="en-US"/>
                    </w:rPr>
                  </w:pP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08" w:type="dxa"/>
                  <w:tcBorders>
                    <w:tl2br w:val="nil"/>
                    <w:tr2bl w:val="nil"/>
                  </w:tcBorders>
                  <w:vAlign w:val="center"/>
                </w:tcPr>
                <w:p>
                  <w:pPr>
                    <w:pStyle w:val="117"/>
                    <w:ind w:firstLine="0" w:firstLineChars="0"/>
                    <w:rPr>
                      <w:rFonts w:hint="default" w:eastAsia="宋体"/>
                      <w:color w:val="auto"/>
                      <w:highlight w:val="none"/>
                      <w:lang w:val="en-US" w:eastAsia="zh-CN"/>
                    </w:rPr>
                  </w:pPr>
                </w:p>
              </w:tc>
              <w:tc>
                <w:tcPr>
                  <w:tcW w:w="2519" w:type="dxa"/>
                  <w:tcBorders>
                    <w:tl2br w:val="nil"/>
                    <w:tr2bl w:val="nil"/>
                  </w:tcBorders>
                  <w:vAlign w:val="center"/>
                </w:tcPr>
                <w:p>
                  <w:pPr>
                    <w:pStyle w:val="117"/>
                    <w:ind w:firstLine="0" w:firstLineChars="0"/>
                    <w:rPr>
                      <w:color w:val="auto"/>
                      <w:highlight w:val="none"/>
                      <w:lang w:eastAsia="en-US"/>
                    </w:rPr>
                  </w:pPr>
                </w:p>
              </w:tc>
              <w:tc>
                <w:tcPr>
                  <w:tcW w:w="3777" w:type="dxa"/>
                  <w:tcBorders>
                    <w:tl2br w:val="nil"/>
                    <w:tr2bl w:val="nil"/>
                  </w:tcBorders>
                  <w:vAlign w:val="center"/>
                </w:tcPr>
                <w:p>
                  <w:pPr>
                    <w:pStyle w:val="117"/>
                    <w:ind w:firstLine="0" w:firstLineChars="0"/>
                    <w:rPr>
                      <w:color w:val="auto"/>
                      <w:highlight w:val="none"/>
                      <w:lang w:eastAsia="en-US"/>
                    </w:rPr>
                  </w:pPr>
                </w:p>
              </w:tc>
              <w:tc>
                <w:tcPr>
                  <w:tcW w:w="1546" w:type="dxa"/>
                  <w:tcBorders>
                    <w:tl2br w:val="nil"/>
                    <w:tr2bl w:val="nil"/>
                  </w:tcBorders>
                  <w:vAlign w:val="center"/>
                </w:tcPr>
                <w:p>
                  <w:pPr>
                    <w:pStyle w:val="117"/>
                    <w:ind w:firstLine="0" w:firstLineChars="0"/>
                    <w:rPr>
                      <w:color w:val="auto"/>
                      <w:highlight w:val="none"/>
                      <w:lang w:eastAsia="en-US"/>
                    </w:rPr>
                  </w:pPr>
                </w:p>
              </w:tc>
              <w:tc>
                <w:tcPr>
                  <w:tcW w:w="1547" w:type="dxa"/>
                  <w:tcBorders>
                    <w:tl2br w:val="nil"/>
                    <w:tr2bl w:val="nil"/>
                  </w:tcBorders>
                  <w:vAlign w:val="center"/>
                </w:tcPr>
                <w:p>
                  <w:pPr>
                    <w:pStyle w:val="117"/>
                    <w:ind w:firstLine="0" w:firstLineChars="0"/>
                    <w:rPr>
                      <w:color w:val="auto"/>
                      <w:highlight w:val="none"/>
                      <w:lang w:eastAsia="en-US"/>
                    </w:rPr>
                  </w:pPr>
                </w:p>
              </w:tc>
              <w:tc>
                <w:tcPr>
                  <w:tcW w:w="1546" w:type="dxa"/>
                  <w:tcBorders>
                    <w:tl2br w:val="nil"/>
                    <w:tr2bl w:val="nil"/>
                  </w:tcBorders>
                  <w:vAlign w:val="center"/>
                </w:tcPr>
                <w:p>
                  <w:pPr>
                    <w:pStyle w:val="117"/>
                    <w:ind w:firstLine="0" w:firstLineChars="0"/>
                    <w:rPr>
                      <w:color w:val="auto"/>
                      <w:highlight w:val="none"/>
                      <w:lang w:eastAsia="en-US"/>
                    </w:rPr>
                  </w:pP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08" w:type="dxa"/>
                  <w:tcBorders>
                    <w:tl2br w:val="nil"/>
                    <w:tr2bl w:val="nil"/>
                  </w:tcBorders>
                  <w:vAlign w:val="center"/>
                </w:tcPr>
                <w:p>
                  <w:pPr>
                    <w:pStyle w:val="117"/>
                    <w:ind w:firstLine="0" w:firstLineChars="0"/>
                    <w:rPr>
                      <w:rFonts w:hint="default" w:eastAsia="宋体"/>
                      <w:color w:val="auto"/>
                      <w:highlight w:val="none"/>
                      <w:lang w:val="en-US" w:eastAsia="zh-CN"/>
                    </w:rPr>
                  </w:pPr>
                </w:p>
              </w:tc>
              <w:tc>
                <w:tcPr>
                  <w:tcW w:w="2519" w:type="dxa"/>
                  <w:tcBorders>
                    <w:tl2br w:val="nil"/>
                    <w:tr2bl w:val="nil"/>
                  </w:tcBorders>
                  <w:vAlign w:val="center"/>
                </w:tcPr>
                <w:p>
                  <w:pPr>
                    <w:pStyle w:val="117"/>
                    <w:ind w:firstLine="0" w:firstLineChars="0"/>
                    <w:rPr>
                      <w:color w:val="auto"/>
                      <w:highlight w:val="none"/>
                      <w:lang w:eastAsia="en-US"/>
                    </w:rPr>
                  </w:pPr>
                </w:p>
              </w:tc>
              <w:tc>
                <w:tcPr>
                  <w:tcW w:w="3777" w:type="dxa"/>
                  <w:tcBorders>
                    <w:tl2br w:val="nil"/>
                    <w:tr2bl w:val="nil"/>
                  </w:tcBorders>
                  <w:vAlign w:val="center"/>
                </w:tcPr>
                <w:p>
                  <w:pPr>
                    <w:pStyle w:val="117"/>
                    <w:ind w:firstLine="0" w:firstLineChars="0"/>
                    <w:rPr>
                      <w:color w:val="auto"/>
                      <w:highlight w:val="none"/>
                      <w:lang w:eastAsia="en-US"/>
                    </w:rPr>
                  </w:pPr>
                </w:p>
              </w:tc>
              <w:tc>
                <w:tcPr>
                  <w:tcW w:w="1546" w:type="dxa"/>
                  <w:tcBorders>
                    <w:tl2br w:val="nil"/>
                    <w:tr2bl w:val="nil"/>
                  </w:tcBorders>
                  <w:vAlign w:val="center"/>
                </w:tcPr>
                <w:p>
                  <w:pPr>
                    <w:pStyle w:val="117"/>
                    <w:ind w:firstLine="0" w:firstLineChars="0"/>
                    <w:rPr>
                      <w:color w:val="auto"/>
                      <w:highlight w:val="none"/>
                      <w:lang w:eastAsia="en-US"/>
                    </w:rPr>
                  </w:pPr>
                </w:p>
              </w:tc>
              <w:tc>
                <w:tcPr>
                  <w:tcW w:w="1547" w:type="dxa"/>
                  <w:tcBorders>
                    <w:tl2br w:val="nil"/>
                    <w:tr2bl w:val="nil"/>
                  </w:tcBorders>
                  <w:vAlign w:val="center"/>
                </w:tcPr>
                <w:p>
                  <w:pPr>
                    <w:pStyle w:val="117"/>
                    <w:ind w:firstLine="0" w:firstLineChars="0"/>
                    <w:rPr>
                      <w:color w:val="auto"/>
                      <w:highlight w:val="none"/>
                      <w:lang w:eastAsia="en-US"/>
                    </w:rPr>
                  </w:pPr>
                </w:p>
              </w:tc>
              <w:tc>
                <w:tcPr>
                  <w:tcW w:w="1546" w:type="dxa"/>
                  <w:tcBorders>
                    <w:tl2br w:val="nil"/>
                    <w:tr2bl w:val="nil"/>
                  </w:tcBorders>
                  <w:vAlign w:val="center"/>
                </w:tcPr>
                <w:p>
                  <w:pPr>
                    <w:pStyle w:val="117"/>
                    <w:ind w:firstLine="0" w:firstLineChars="0"/>
                    <w:rPr>
                      <w:color w:val="auto"/>
                      <w:highlight w:val="none"/>
                      <w:lang w:eastAsia="en-US"/>
                    </w:rPr>
                  </w:pP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08" w:type="dxa"/>
                  <w:tcBorders>
                    <w:tl2br w:val="nil"/>
                    <w:tr2bl w:val="nil"/>
                  </w:tcBorders>
                  <w:vAlign w:val="center"/>
                </w:tcPr>
                <w:p>
                  <w:pPr>
                    <w:pStyle w:val="117"/>
                    <w:ind w:firstLine="0" w:firstLineChars="0"/>
                    <w:rPr>
                      <w:rFonts w:hint="default" w:eastAsia="宋体"/>
                      <w:color w:val="auto"/>
                      <w:highlight w:val="none"/>
                      <w:lang w:val="en-US" w:eastAsia="zh-CN"/>
                    </w:rPr>
                  </w:pPr>
                </w:p>
              </w:tc>
              <w:tc>
                <w:tcPr>
                  <w:tcW w:w="2519" w:type="dxa"/>
                  <w:tcBorders>
                    <w:tl2br w:val="nil"/>
                    <w:tr2bl w:val="nil"/>
                  </w:tcBorders>
                  <w:vAlign w:val="center"/>
                </w:tcPr>
                <w:p>
                  <w:pPr>
                    <w:pStyle w:val="117"/>
                    <w:ind w:firstLine="0" w:firstLineChars="0"/>
                    <w:rPr>
                      <w:color w:val="auto"/>
                      <w:highlight w:val="none"/>
                      <w:lang w:eastAsia="en-US"/>
                    </w:rPr>
                  </w:pPr>
                </w:p>
              </w:tc>
              <w:tc>
                <w:tcPr>
                  <w:tcW w:w="3777" w:type="dxa"/>
                  <w:tcBorders>
                    <w:tl2br w:val="nil"/>
                    <w:tr2bl w:val="nil"/>
                  </w:tcBorders>
                  <w:vAlign w:val="center"/>
                </w:tcPr>
                <w:p>
                  <w:pPr>
                    <w:pStyle w:val="117"/>
                    <w:ind w:firstLine="0" w:firstLineChars="0"/>
                    <w:rPr>
                      <w:color w:val="auto"/>
                      <w:highlight w:val="none"/>
                      <w:lang w:eastAsia="en-US"/>
                    </w:rPr>
                  </w:pPr>
                </w:p>
              </w:tc>
              <w:tc>
                <w:tcPr>
                  <w:tcW w:w="1546" w:type="dxa"/>
                  <w:tcBorders>
                    <w:tl2br w:val="nil"/>
                    <w:tr2bl w:val="nil"/>
                  </w:tcBorders>
                  <w:vAlign w:val="center"/>
                </w:tcPr>
                <w:p>
                  <w:pPr>
                    <w:pStyle w:val="117"/>
                    <w:ind w:firstLine="0" w:firstLineChars="0"/>
                    <w:rPr>
                      <w:color w:val="auto"/>
                      <w:highlight w:val="none"/>
                      <w:lang w:eastAsia="en-US"/>
                    </w:rPr>
                  </w:pPr>
                </w:p>
              </w:tc>
              <w:tc>
                <w:tcPr>
                  <w:tcW w:w="1547" w:type="dxa"/>
                  <w:tcBorders>
                    <w:tl2br w:val="nil"/>
                    <w:tr2bl w:val="nil"/>
                  </w:tcBorders>
                  <w:vAlign w:val="center"/>
                </w:tcPr>
                <w:p>
                  <w:pPr>
                    <w:pStyle w:val="117"/>
                    <w:ind w:firstLine="0" w:firstLineChars="0"/>
                    <w:rPr>
                      <w:color w:val="auto"/>
                      <w:highlight w:val="none"/>
                      <w:lang w:eastAsia="en-US"/>
                    </w:rPr>
                  </w:pPr>
                </w:p>
              </w:tc>
              <w:tc>
                <w:tcPr>
                  <w:tcW w:w="1546" w:type="dxa"/>
                  <w:tcBorders>
                    <w:tl2br w:val="nil"/>
                    <w:tr2bl w:val="nil"/>
                  </w:tcBorders>
                  <w:vAlign w:val="center"/>
                </w:tcPr>
                <w:p>
                  <w:pPr>
                    <w:pStyle w:val="117"/>
                    <w:ind w:firstLine="0" w:firstLineChars="0"/>
                    <w:rPr>
                      <w:color w:val="auto"/>
                      <w:highlight w:val="none"/>
                      <w:lang w:eastAsia="en-US"/>
                    </w:rPr>
                  </w:pPr>
                </w:p>
              </w:tc>
            </w:tr>
          </w:tbl>
          <w:p>
            <w:pPr>
              <w:pStyle w:val="15"/>
              <w:bidi w:val="0"/>
              <w:jc w:val="both"/>
              <w:rPr>
                <w:rFonts w:hint="default"/>
                <w:color w:val="auto"/>
                <w:highlight w:val="none"/>
                <w:lang w:val="en-US" w:eastAsia="zh-CN"/>
              </w:rPr>
            </w:pPr>
            <w:r>
              <w:rPr>
                <w:rFonts w:hint="eastAsia"/>
                <w:color w:val="auto"/>
                <w:highlight w:val="none"/>
                <w:lang w:val="en-US" w:eastAsia="zh-CN"/>
              </w:rPr>
              <w:t>一期工程地块与现有工程不存在设备依托关系，故一期工程的设备不在表2.3-1中体现。</w:t>
            </w:r>
          </w:p>
          <w:p>
            <w:pPr>
              <w:ind w:firstLine="420"/>
              <w:rPr>
                <w:rStyle w:val="58"/>
                <w:color w:val="auto"/>
                <w:highlight w:val="none"/>
              </w:rPr>
            </w:pPr>
          </w:p>
          <w:p>
            <w:pPr>
              <w:ind w:firstLine="420"/>
              <w:rPr>
                <w:rStyle w:val="58"/>
                <w:color w:val="auto"/>
                <w:highlight w:val="none"/>
              </w:rPr>
            </w:pPr>
          </w:p>
          <w:p>
            <w:pPr>
              <w:pStyle w:val="554"/>
              <w:ind w:firstLine="480"/>
              <w:rPr>
                <w:color w:val="auto"/>
                <w:highlight w:val="none"/>
              </w:rPr>
            </w:pPr>
          </w:p>
        </w:tc>
      </w:tr>
    </w:tbl>
    <w:p>
      <w:pPr>
        <w:pStyle w:val="99"/>
        <w:rPr>
          <w:color w:val="auto"/>
          <w:highlight w:val="none"/>
        </w:rPr>
        <w:sectPr>
          <w:pgSz w:w="16838" w:h="11906" w:orient="landscape"/>
          <w:pgMar w:top="1418" w:right="1418" w:bottom="1418" w:left="1418" w:header="851" w:footer="851" w:gutter="0"/>
          <w:pgBorders>
            <w:top w:val="none" w:sz="0" w:space="0"/>
            <w:left w:val="none" w:sz="0" w:space="0"/>
            <w:bottom w:val="none" w:sz="0" w:space="0"/>
            <w:right w:val="none" w:sz="0" w:space="0"/>
          </w:pgBorders>
          <w:cols w:space="720" w:num="1"/>
          <w:docGrid w:linePitch="326" w:charSpace="0"/>
        </w:sectPr>
      </w:pPr>
    </w:p>
    <w:tbl>
      <w:tblPr>
        <w:tblStyle w:val="49"/>
        <w:tblW w:w="912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266"/>
        <w:gridCol w:w="886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3923" w:hRule="atLeast"/>
          <w:jc w:val="center"/>
        </w:trPr>
        <w:tc>
          <w:tcPr>
            <w:tcW w:w="266" w:type="dxa"/>
            <w:vAlign w:val="center"/>
          </w:tcPr>
          <w:p>
            <w:pPr>
              <w:pStyle w:val="11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建设内容</w:t>
            </w:r>
          </w:p>
        </w:tc>
        <w:tc>
          <w:tcPr>
            <w:tcW w:w="8860" w:type="dxa"/>
            <w:vAlign w:val="center"/>
          </w:tcPr>
          <w:p>
            <w:pPr>
              <w:pStyle w:val="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2.1.4产品方案</w:t>
            </w:r>
          </w:p>
          <w:p>
            <w:pPr>
              <w:ind w:firstLine="480"/>
              <w:rPr>
                <w:rFonts w:hint="default" w:ascii="Times New Roman" w:hAnsi="Times New Roman" w:eastAsia="宋体" w:cs="Times New Roman"/>
                <w:color w:val="auto"/>
                <w:highlight w:val="none"/>
              </w:rPr>
            </w:pPr>
            <w:r>
              <w:rPr>
                <w:rFonts w:hint="eastAsia"/>
                <w:color w:val="auto"/>
                <w:highlight w:val="none"/>
                <w:lang w:val="en-US" w:eastAsia="zh-CN"/>
              </w:rPr>
              <w:t>涉密删除！</w:t>
            </w:r>
            <w:r>
              <w:rPr>
                <w:rFonts w:hint="default" w:ascii="Times New Roman" w:hAnsi="Times New Roman" w:eastAsia="宋体" w:cs="Times New Roman"/>
                <w:color w:val="auto"/>
                <w:highlight w:val="none"/>
              </w:rPr>
              <w:t>。</w:t>
            </w:r>
          </w:p>
          <w:p>
            <w:pPr>
              <w:pStyle w:val="120"/>
              <w:rPr>
                <w:rFonts w:hint="default" w:ascii="Times New Roman" w:hAnsi="Times New Roman" w:eastAsia="宋体" w:cs="Times New Roman"/>
                <w:color w:val="auto"/>
                <w:highlight w:val="none"/>
                <w:lang w:val="en-US"/>
              </w:rPr>
            </w:pPr>
            <w:r>
              <w:rPr>
                <w:rFonts w:hint="default" w:ascii="Times New Roman" w:hAnsi="Times New Roman" w:eastAsia="宋体" w:cs="Times New Roman"/>
                <w:color w:val="auto"/>
                <w:highlight w:val="none"/>
              </w:rPr>
              <w:t>表2.</w:t>
            </w:r>
            <w:r>
              <w:rPr>
                <w:rFonts w:hint="default" w:ascii="Times New Roman" w:hAnsi="Times New Roman" w:eastAsia="宋体" w:cs="Times New Roman"/>
                <w:color w:val="auto"/>
                <w:highlight w:val="none"/>
                <w:lang w:val="en-US"/>
              </w:rPr>
              <w:t>1</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val="en-US"/>
              </w:rPr>
              <w:t>3</w:t>
            </w:r>
            <w:r>
              <w:rPr>
                <w:rFonts w:hint="default" w:ascii="Times New Roman" w:hAnsi="Times New Roman" w:eastAsia="宋体" w:cs="Times New Roman"/>
                <w:color w:val="auto"/>
                <w:highlight w:val="none"/>
              </w:rPr>
              <w:t xml:space="preserve"> 产品方案</w:t>
            </w:r>
            <w:r>
              <w:rPr>
                <w:rFonts w:hint="default" w:ascii="Times New Roman" w:hAnsi="Times New Roman" w:eastAsia="宋体" w:cs="Times New Roman"/>
                <w:color w:val="auto"/>
                <w:highlight w:val="none"/>
                <w:lang w:val="en-US"/>
              </w:rPr>
              <w:t xml:space="preserve">  单位：万t/a</w:t>
            </w:r>
          </w:p>
          <w:tbl>
            <w:tblPr>
              <w:tblStyle w:val="49"/>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032"/>
              <w:gridCol w:w="2769"/>
              <w:gridCol w:w="2189"/>
              <w:gridCol w:w="2814"/>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55" w:type="dxa"/>
                  <w:vAlign w:val="center"/>
                </w:tcPr>
                <w:p>
                  <w:pPr>
                    <w:pStyle w:val="113"/>
                    <w:rPr>
                      <w:rFonts w:hint="default" w:ascii="Times New Roman" w:hAnsi="Times New Roman" w:eastAsia="宋体" w:cs="Times New Roman"/>
                      <w:color w:val="auto"/>
                      <w:highlight w:val="none"/>
                    </w:rPr>
                  </w:pPr>
                </w:p>
              </w:tc>
              <w:tc>
                <w:tcPr>
                  <w:tcW w:w="2027" w:type="dxa"/>
                  <w:tcBorders>
                    <w:left w:val="single" w:color="auto" w:sz="4" w:space="0"/>
                  </w:tcBorders>
                  <w:vAlign w:val="center"/>
                </w:tcPr>
                <w:p>
                  <w:pPr>
                    <w:pStyle w:val="113"/>
                    <w:rPr>
                      <w:rFonts w:hint="default" w:ascii="Times New Roman" w:hAnsi="Times New Roman" w:eastAsia="宋体" w:cs="Times New Roman"/>
                      <w:color w:val="auto"/>
                      <w:highlight w:val="none"/>
                    </w:rPr>
                  </w:pPr>
                </w:p>
              </w:tc>
              <w:tc>
                <w:tcPr>
                  <w:tcW w:w="1602" w:type="dxa"/>
                  <w:tcBorders>
                    <w:left w:val="single" w:color="auto" w:sz="4" w:space="0"/>
                  </w:tcBorders>
                  <w:vAlign w:val="center"/>
                </w:tcPr>
                <w:p>
                  <w:pPr>
                    <w:pStyle w:val="113"/>
                    <w:rPr>
                      <w:rFonts w:hint="default" w:ascii="Times New Roman" w:hAnsi="Times New Roman" w:eastAsia="宋体" w:cs="Times New Roman"/>
                      <w:color w:val="auto"/>
                      <w:highlight w:val="none"/>
                    </w:rPr>
                  </w:pPr>
                </w:p>
              </w:tc>
              <w:tc>
                <w:tcPr>
                  <w:tcW w:w="2060" w:type="dxa"/>
                  <w:tcBorders>
                    <w:left w:val="single" w:color="auto" w:sz="4" w:space="0"/>
                  </w:tcBorders>
                  <w:vAlign w:val="center"/>
                </w:tcPr>
                <w:p>
                  <w:pPr>
                    <w:pStyle w:val="113"/>
                    <w:rPr>
                      <w:rFonts w:hint="default" w:ascii="Times New Roman" w:hAnsi="Times New Roman" w:eastAsia="宋体" w:cs="Times New Roman"/>
                      <w:color w:val="auto"/>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79" w:hRule="atLeast"/>
                <w:jc w:val="center"/>
              </w:trPr>
              <w:tc>
                <w:tcPr>
                  <w:tcW w:w="755" w:type="dxa"/>
                  <w:vAlign w:val="center"/>
                </w:tcPr>
                <w:p>
                  <w:pPr>
                    <w:pStyle w:val="113"/>
                    <w:rPr>
                      <w:rFonts w:hint="default" w:ascii="Times New Roman" w:hAnsi="Times New Roman" w:eastAsia="宋体" w:cs="Times New Roman"/>
                      <w:color w:val="auto"/>
                      <w:highlight w:val="none"/>
                    </w:rPr>
                  </w:pPr>
                </w:p>
              </w:tc>
              <w:tc>
                <w:tcPr>
                  <w:tcW w:w="2027" w:type="dxa"/>
                  <w:tcBorders>
                    <w:left w:val="single" w:color="auto" w:sz="4" w:space="0"/>
                  </w:tcBorders>
                  <w:vAlign w:val="center"/>
                </w:tcPr>
                <w:p>
                  <w:pPr>
                    <w:pStyle w:val="113"/>
                    <w:rPr>
                      <w:rFonts w:hint="default" w:ascii="Times New Roman" w:hAnsi="Times New Roman" w:eastAsia="宋体" w:cs="Times New Roman"/>
                      <w:color w:val="auto"/>
                      <w:highlight w:val="none"/>
                    </w:rPr>
                  </w:pPr>
                </w:p>
              </w:tc>
              <w:tc>
                <w:tcPr>
                  <w:tcW w:w="1602" w:type="dxa"/>
                  <w:tcBorders>
                    <w:left w:val="single" w:color="auto" w:sz="4" w:space="0"/>
                  </w:tcBorders>
                  <w:vAlign w:val="center"/>
                </w:tcPr>
                <w:p>
                  <w:pPr>
                    <w:pStyle w:val="113"/>
                    <w:rPr>
                      <w:rFonts w:hint="default" w:ascii="Times New Roman" w:hAnsi="Times New Roman" w:eastAsia="宋体" w:cs="Times New Roman"/>
                      <w:color w:val="auto"/>
                      <w:highlight w:val="none"/>
                      <w:lang w:val="en-US" w:eastAsia="zh-CN"/>
                    </w:rPr>
                  </w:pPr>
                </w:p>
              </w:tc>
              <w:tc>
                <w:tcPr>
                  <w:tcW w:w="2060" w:type="dxa"/>
                  <w:tcBorders>
                    <w:left w:val="single" w:color="auto" w:sz="4" w:space="0"/>
                  </w:tcBorders>
                  <w:vAlign w:val="center"/>
                </w:tcPr>
                <w:p>
                  <w:pPr>
                    <w:pStyle w:val="113"/>
                    <w:rPr>
                      <w:rFonts w:hint="default" w:ascii="Times New Roman" w:hAnsi="Times New Roman" w:eastAsia="宋体" w:cs="Times New Roman"/>
                      <w:color w:val="auto"/>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79" w:hRule="atLeast"/>
                <w:jc w:val="center"/>
              </w:trPr>
              <w:tc>
                <w:tcPr>
                  <w:tcW w:w="755" w:type="dxa"/>
                  <w:vAlign w:val="center"/>
                </w:tcPr>
                <w:p>
                  <w:pPr>
                    <w:pStyle w:val="113"/>
                    <w:rPr>
                      <w:rFonts w:hint="default" w:ascii="Times New Roman" w:hAnsi="Times New Roman" w:eastAsia="宋体" w:cs="Times New Roman"/>
                      <w:color w:val="auto"/>
                      <w:highlight w:val="none"/>
                      <w:lang w:val="en-US" w:eastAsia="zh-CN"/>
                    </w:rPr>
                  </w:pPr>
                </w:p>
              </w:tc>
              <w:tc>
                <w:tcPr>
                  <w:tcW w:w="2027" w:type="dxa"/>
                  <w:tcBorders>
                    <w:left w:val="single" w:color="auto" w:sz="4" w:space="0"/>
                  </w:tcBorders>
                  <w:vAlign w:val="center"/>
                </w:tcPr>
                <w:p>
                  <w:pPr>
                    <w:pStyle w:val="113"/>
                    <w:rPr>
                      <w:rFonts w:hint="default" w:ascii="Times New Roman" w:hAnsi="Times New Roman" w:eastAsia="宋体" w:cs="Times New Roman"/>
                      <w:color w:val="auto"/>
                      <w:highlight w:val="none"/>
                    </w:rPr>
                  </w:pPr>
                </w:p>
              </w:tc>
              <w:tc>
                <w:tcPr>
                  <w:tcW w:w="1602" w:type="dxa"/>
                  <w:tcBorders>
                    <w:left w:val="single" w:color="auto" w:sz="4" w:space="0"/>
                  </w:tcBorders>
                  <w:vAlign w:val="center"/>
                </w:tcPr>
                <w:p>
                  <w:pPr>
                    <w:pStyle w:val="113"/>
                    <w:rPr>
                      <w:rFonts w:hint="default" w:ascii="Times New Roman" w:hAnsi="Times New Roman" w:eastAsia="宋体" w:cs="Times New Roman"/>
                      <w:color w:val="auto"/>
                      <w:highlight w:val="none"/>
                      <w:lang w:val="en-US" w:eastAsia="zh-CN"/>
                    </w:rPr>
                  </w:pPr>
                </w:p>
              </w:tc>
              <w:tc>
                <w:tcPr>
                  <w:tcW w:w="2060" w:type="dxa"/>
                  <w:tcBorders>
                    <w:left w:val="single" w:color="auto" w:sz="4" w:space="0"/>
                  </w:tcBorders>
                  <w:vAlign w:val="center"/>
                </w:tcPr>
                <w:p>
                  <w:pPr>
                    <w:pStyle w:val="113"/>
                    <w:rPr>
                      <w:rFonts w:hint="default" w:ascii="Times New Roman" w:hAnsi="Times New Roman" w:eastAsia="宋体" w:cs="Times New Roman"/>
                      <w:color w:val="auto"/>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55" w:type="dxa"/>
                  <w:vAlign w:val="center"/>
                </w:tcPr>
                <w:p>
                  <w:pPr>
                    <w:pStyle w:val="113"/>
                    <w:rPr>
                      <w:rFonts w:hint="default" w:ascii="Times New Roman" w:hAnsi="Times New Roman" w:eastAsia="宋体" w:cs="Times New Roman"/>
                      <w:color w:val="auto"/>
                      <w:highlight w:val="none"/>
                      <w:lang w:eastAsia="zh-CN"/>
                    </w:rPr>
                  </w:pPr>
                </w:p>
              </w:tc>
              <w:tc>
                <w:tcPr>
                  <w:tcW w:w="2027" w:type="dxa"/>
                  <w:tcBorders>
                    <w:left w:val="single" w:color="auto" w:sz="4" w:space="0"/>
                  </w:tcBorders>
                  <w:vAlign w:val="center"/>
                </w:tcPr>
                <w:p>
                  <w:pPr>
                    <w:pStyle w:val="113"/>
                    <w:rPr>
                      <w:rFonts w:hint="default" w:ascii="Times New Roman" w:hAnsi="Times New Roman" w:eastAsia="宋体" w:cs="Times New Roman"/>
                      <w:color w:val="auto"/>
                      <w:highlight w:val="none"/>
                    </w:rPr>
                  </w:pPr>
                </w:p>
              </w:tc>
              <w:tc>
                <w:tcPr>
                  <w:tcW w:w="1602" w:type="dxa"/>
                  <w:tcBorders>
                    <w:left w:val="single" w:color="auto" w:sz="4" w:space="0"/>
                  </w:tcBorders>
                  <w:vAlign w:val="center"/>
                </w:tcPr>
                <w:p>
                  <w:pPr>
                    <w:pStyle w:val="113"/>
                    <w:rPr>
                      <w:rFonts w:hint="default" w:ascii="Times New Roman" w:hAnsi="Times New Roman" w:eastAsia="宋体" w:cs="Times New Roman"/>
                      <w:color w:val="auto"/>
                      <w:highlight w:val="none"/>
                    </w:rPr>
                  </w:pPr>
                </w:p>
              </w:tc>
              <w:tc>
                <w:tcPr>
                  <w:tcW w:w="2060" w:type="dxa"/>
                  <w:tcBorders>
                    <w:left w:val="single" w:color="auto" w:sz="4" w:space="0"/>
                  </w:tcBorders>
                  <w:vAlign w:val="center"/>
                </w:tcPr>
                <w:p>
                  <w:pPr>
                    <w:pStyle w:val="113"/>
                    <w:rPr>
                      <w:rFonts w:hint="default" w:ascii="Times New Roman" w:hAnsi="Times New Roman" w:eastAsia="宋体" w:cs="Times New Roman"/>
                      <w:color w:val="auto"/>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55" w:type="dxa"/>
                  <w:vAlign w:val="center"/>
                </w:tcPr>
                <w:p>
                  <w:pPr>
                    <w:pStyle w:val="113"/>
                    <w:rPr>
                      <w:rFonts w:hint="default" w:ascii="Times New Roman" w:hAnsi="Times New Roman" w:eastAsia="宋体" w:cs="Times New Roman"/>
                      <w:color w:val="auto"/>
                      <w:highlight w:val="none"/>
                      <w:lang w:eastAsia="zh-CN"/>
                    </w:rPr>
                  </w:pPr>
                </w:p>
              </w:tc>
              <w:tc>
                <w:tcPr>
                  <w:tcW w:w="2027" w:type="dxa"/>
                  <w:tcBorders>
                    <w:left w:val="single" w:color="auto" w:sz="4" w:space="0"/>
                  </w:tcBorders>
                  <w:vAlign w:val="center"/>
                </w:tcPr>
                <w:p>
                  <w:pPr>
                    <w:pStyle w:val="113"/>
                    <w:rPr>
                      <w:rFonts w:hint="default" w:ascii="Times New Roman" w:hAnsi="Times New Roman" w:eastAsia="宋体" w:cs="Times New Roman"/>
                      <w:color w:val="auto"/>
                      <w:highlight w:val="none"/>
                    </w:rPr>
                  </w:pPr>
                </w:p>
              </w:tc>
              <w:tc>
                <w:tcPr>
                  <w:tcW w:w="1602" w:type="dxa"/>
                  <w:tcBorders>
                    <w:left w:val="single" w:color="auto" w:sz="4" w:space="0"/>
                  </w:tcBorders>
                  <w:vAlign w:val="center"/>
                </w:tcPr>
                <w:p>
                  <w:pPr>
                    <w:pStyle w:val="113"/>
                    <w:rPr>
                      <w:rFonts w:hint="default" w:ascii="Times New Roman" w:hAnsi="Times New Roman" w:eastAsia="宋体" w:cs="Times New Roman"/>
                      <w:color w:val="auto"/>
                      <w:highlight w:val="none"/>
                      <w:lang w:val="en-US" w:eastAsia="zh-CN"/>
                    </w:rPr>
                  </w:pPr>
                </w:p>
              </w:tc>
              <w:tc>
                <w:tcPr>
                  <w:tcW w:w="2060" w:type="dxa"/>
                  <w:tcBorders>
                    <w:left w:val="single" w:color="auto" w:sz="4" w:space="0"/>
                  </w:tcBorders>
                  <w:vAlign w:val="center"/>
                </w:tcPr>
                <w:p>
                  <w:pPr>
                    <w:pStyle w:val="113"/>
                    <w:rPr>
                      <w:rFonts w:hint="default" w:ascii="Times New Roman" w:hAnsi="Times New Roman" w:eastAsia="宋体" w:cs="Times New Roman"/>
                      <w:color w:val="auto"/>
                      <w:highlight w:val="none"/>
                      <w:lang w:val="en-US" w:eastAsia="zh-CN"/>
                    </w:rPr>
                  </w:pPr>
                </w:p>
              </w:tc>
            </w:tr>
          </w:tbl>
          <w:p>
            <w:pPr>
              <w:pStyle w:val="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2.2主要原辅材料</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b w:val="0"/>
                <w:bCs w:val="0"/>
                <w:color w:val="auto"/>
                <w:szCs w:val="20"/>
                <w:highlight w:val="none"/>
                <w:lang w:val="en-US" w:eastAsia="zh-CN"/>
              </w:rPr>
              <w:t>技改项目</w:t>
            </w:r>
            <w:r>
              <w:rPr>
                <w:rFonts w:hint="default" w:ascii="Times New Roman" w:hAnsi="Times New Roman" w:eastAsia="宋体" w:cs="Times New Roman"/>
                <w:color w:val="auto"/>
                <w:highlight w:val="none"/>
              </w:rPr>
              <w:t>主要原辅材料消耗一览表详见表2.2-1。</w:t>
            </w:r>
          </w:p>
          <w:p>
            <w:pPr>
              <w:pStyle w:val="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2.3主要生产设备</w:t>
            </w:r>
          </w:p>
          <w:p>
            <w:pPr>
              <w:pStyle w:val="6"/>
              <w:spacing w:line="36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b w:val="0"/>
                <w:bCs w:val="0"/>
                <w:color w:val="auto"/>
                <w:szCs w:val="20"/>
                <w:highlight w:val="none"/>
                <w:lang w:val="en-US" w:eastAsia="zh-CN"/>
              </w:rPr>
              <w:t>技改项目</w:t>
            </w:r>
            <w:r>
              <w:rPr>
                <w:rFonts w:hint="default" w:ascii="Times New Roman" w:hAnsi="Times New Roman" w:eastAsia="宋体" w:cs="Times New Roman"/>
                <w:b w:val="0"/>
                <w:bCs w:val="0"/>
                <w:color w:val="auto"/>
                <w:szCs w:val="20"/>
                <w:highlight w:val="none"/>
              </w:rPr>
              <w:t>主要生产设备清单详见表2.3-1。</w:t>
            </w:r>
          </w:p>
          <w:p>
            <w:pPr>
              <w:pStyle w:val="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2.4物料平衡和水平衡</w:t>
            </w:r>
          </w:p>
          <w:p>
            <w:pPr>
              <w:pStyle w:val="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2.4.1物料平衡</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w:t>
            </w:r>
            <w:r>
              <w:rPr>
                <w:rFonts w:hint="default" w:ascii="Times New Roman" w:hAnsi="Times New Roman" w:eastAsia="宋体" w:cs="Times New Roman"/>
                <w:color w:val="auto"/>
                <w:highlight w:val="none"/>
                <w:lang w:val="en-US" w:eastAsia="zh-CN"/>
              </w:rPr>
              <w:t>生产车间一</w:t>
            </w:r>
            <w:r>
              <w:rPr>
                <w:rFonts w:hint="default" w:ascii="Times New Roman" w:hAnsi="Times New Roman" w:eastAsia="宋体" w:cs="Times New Roman"/>
                <w:color w:val="auto"/>
                <w:highlight w:val="none"/>
              </w:rPr>
              <w:t>物料平衡见下表。</w:t>
            </w:r>
          </w:p>
          <w:p>
            <w:pPr>
              <w:pStyle w:val="6"/>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表2.4-1 物料平衡一览表</w:t>
            </w:r>
          </w:p>
          <w:tbl>
            <w:tblPr>
              <w:tblStyle w:val="49"/>
              <w:tblW w:w="850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427"/>
              <w:gridCol w:w="2158"/>
              <w:gridCol w:w="2760"/>
              <w:gridCol w:w="215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585" w:type="dxa"/>
                  <w:gridSpan w:val="2"/>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p>
              </w:tc>
              <w:tc>
                <w:tcPr>
                  <w:tcW w:w="4919" w:type="dxa"/>
                  <w:gridSpan w:val="2"/>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27" w:type="dxa"/>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p>
              </w:tc>
              <w:tc>
                <w:tcPr>
                  <w:tcW w:w="2158" w:type="dxa"/>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p>
              </w:tc>
              <w:tc>
                <w:tcPr>
                  <w:tcW w:w="2760" w:type="dxa"/>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p>
              </w:tc>
              <w:tc>
                <w:tcPr>
                  <w:tcW w:w="2159" w:type="dxa"/>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27" w:type="dxa"/>
                  <w:vMerge w:val="restar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eastAsia="zh-CN"/>
                    </w:rPr>
                  </w:pPr>
                </w:p>
              </w:tc>
              <w:tc>
                <w:tcPr>
                  <w:tcW w:w="2158" w:type="dxa"/>
                  <w:vMerge w:val="restart"/>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p>
              </w:tc>
              <w:tc>
                <w:tcPr>
                  <w:tcW w:w="2760" w:type="dxa"/>
                  <w:tcBorders>
                    <w:tl2br w:val="nil"/>
                    <w:tr2bl w:val="nil"/>
                  </w:tcBorders>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159" w:type="dxa"/>
                  <w:tcBorders>
                    <w:tl2br w:val="nil"/>
                    <w:tr2bl w:val="nil"/>
                  </w:tcBorders>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27" w:type="dxa"/>
                  <w:vMerge w:val="continue"/>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p>
              </w:tc>
              <w:tc>
                <w:tcPr>
                  <w:tcW w:w="2158" w:type="dxa"/>
                  <w:vMerge w:val="continue"/>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p>
              </w:tc>
              <w:tc>
                <w:tcPr>
                  <w:tcW w:w="2760" w:type="dxa"/>
                  <w:tcBorders>
                    <w:tl2br w:val="nil"/>
                    <w:tr2bl w:val="nil"/>
                  </w:tcBorders>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159" w:type="dxa"/>
                  <w:tcBorders>
                    <w:tl2br w:val="nil"/>
                    <w:tr2bl w:val="nil"/>
                  </w:tcBorders>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27" w:type="dxa"/>
                  <w:vMerge w:val="continue"/>
                  <w:tcBorders>
                    <w:tl2br w:val="nil"/>
                    <w:tr2bl w:val="nil"/>
                  </w:tcBorders>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158" w:type="dxa"/>
                  <w:vMerge w:val="continue"/>
                  <w:tcBorders>
                    <w:tl2br w:val="nil"/>
                    <w:tr2bl w:val="nil"/>
                  </w:tcBorders>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760" w:type="dxa"/>
                  <w:tcBorders>
                    <w:tl2br w:val="nil"/>
                    <w:tr2bl w:val="nil"/>
                  </w:tcBorders>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c>
                <w:tcPr>
                  <w:tcW w:w="2159" w:type="dxa"/>
                  <w:tcBorders>
                    <w:tl2br w:val="nil"/>
                    <w:tr2bl w:val="nil"/>
                  </w:tcBorders>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27" w:type="dxa"/>
                  <w:vMerge w:val="continue"/>
                  <w:tcBorders>
                    <w:tl2br w:val="nil"/>
                    <w:tr2bl w:val="nil"/>
                  </w:tcBorders>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158" w:type="dxa"/>
                  <w:vMerge w:val="continue"/>
                  <w:tcBorders>
                    <w:tl2br w:val="nil"/>
                    <w:tr2bl w:val="nil"/>
                  </w:tcBorders>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760" w:type="dxa"/>
                  <w:tcBorders>
                    <w:tl2br w:val="nil"/>
                    <w:tr2bl w:val="nil"/>
                  </w:tcBorders>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159" w:type="dxa"/>
                  <w:tcBorders>
                    <w:tl2br w:val="nil"/>
                    <w:tr2bl w:val="nil"/>
                  </w:tcBorders>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27" w:type="dxa"/>
                  <w:vMerge w:val="continue"/>
                  <w:tcBorders>
                    <w:tl2br w:val="nil"/>
                    <w:tr2bl w:val="nil"/>
                  </w:tcBorders>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158" w:type="dxa"/>
                  <w:vMerge w:val="continue"/>
                  <w:tcBorders>
                    <w:tl2br w:val="nil"/>
                    <w:tr2bl w:val="nil"/>
                  </w:tcBorders>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c>
                <w:tcPr>
                  <w:tcW w:w="2760" w:type="dxa"/>
                  <w:tcBorders>
                    <w:tl2br w:val="nil"/>
                    <w:tr2bl w:val="nil"/>
                  </w:tcBorders>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159" w:type="dxa"/>
                  <w:tcBorders>
                    <w:tl2br w:val="nil"/>
                    <w:tr2bl w:val="nil"/>
                  </w:tcBorders>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0" w:hRule="atLeast"/>
                <w:jc w:val="center"/>
              </w:trPr>
              <w:tc>
                <w:tcPr>
                  <w:tcW w:w="1427" w:type="dxa"/>
                  <w:vMerge w:val="continue"/>
                  <w:tcBorders>
                    <w:tl2br w:val="nil"/>
                    <w:tr2bl w:val="nil"/>
                  </w:tcBorders>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158" w:type="dxa"/>
                  <w:vMerge w:val="continue"/>
                  <w:tcBorders>
                    <w:tl2br w:val="nil"/>
                    <w:tr2bl w:val="nil"/>
                  </w:tcBorders>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760" w:type="dxa"/>
                  <w:tcBorders>
                    <w:tl2br w:val="nil"/>
                    <w:tr2bl w:val="nil"/>
                  </w:tcBorders>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159" w:type="dxa"/>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27" w:type="dxa"/>
                  <w:tcBorders>
                    <w:tl2br w:val="nil"/>
                    <w:tr2bl w:val="nil"/>
                  </w:tcBorders>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158" w:type="dxa"/>
                  <w:tcBorders>
                    <w:tl2br w:val="nil"/>
                    <w:tr2bl w:val="nil"/>
                  </w:tcBorders>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rPr>
                  </w:pPr>
                </w:p>
              </w:tc>
              <w:tc>
                <w:tcPr>
                  <w:tcW w:w="2760" w:type="dxa"/>
                  <w:tcBorders>
                    <w:tl2br w:val="nil"/>
                    <w:tr2bl w:val="nil"/>
                  </w:tcBorders>
                  <w:shd w:val="clear" w:color="auto" w:fill="auto"/>
                  <w:vAlign w:val="center"/>
                </w:tcPr>
                <w:p>
                  <w:pPr>
                    <w:spacing w:line="240" w:lineRule="auto"/>
                    <w:ind w:firstLine="0" w:firstLineChars="0"/>
                    <w:jc w:val="center"/>
                    <w:rPr>
                      <w:rFonts w:hint="default" w:ascii="Times New Roman" w:hAnsi="Times New Roman" w:eastAsia="宋体" w:cs="Times New Roman"/>
                      <w:color w:val="auto"/>
                      <w:kern w:val="0"/>
                      <w:sz w:val="21"/>
                      <w:szCs w:val="21"/>
                      <w:highlight w:val="none"/>
                      <w:lang w:bidi="ar"/>
                    </w:rPr>
                  </w:pPr>
                </w:p>
              </w:tc>
              <w:tc>
                <w:tcPr>
                  <w:tcW w:w="2159" w:type="dxa"/>
                  <w:tcBorders>
                    <w:tl2br w:val="nil"/>
                    <w:tr2bl w:val="nil"/>
                  </w:tcBorders>
                  <w:shd w:val="clear" w:color="auto" w:fill="auto"/>
                  <w:vAlign w:val="center"/>
                </w:tcPr>
                <w:p>
                  <w:pPr>
                    <w:widowControl/>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rPr>
                  </w:pPr>
                </w:p>
              </w:tc>
            </w:tr>
          </w:tbl>
          <w:p>
            <w:pPr>
              <w:ind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生产车间二物料平衡见表2.4-2。</w:t>
            </w:r>
          </w:p>
          <w:p>
            <w:pPr>
              <w:pStyle w:val="6"/>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表2.4-</w:t>
            </w:r>
            <w:r>
              <w:rPr>
                <w:rFonts w:hint="default"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rPr>
              <w:t>物料平衡一览表</w:t>
            </w:r>
          </w:p>
          <w:tbl>
            <w:tblPr>
              <w:tblStyle w:val="49"/>
              <w:tblW w:w="850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427"/>
              <w:gridCol w:w="2158"/>
              <w:gridCol w:w="2760"/>
              <w:gridCol w:w="215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585" w:type="dxa"/>
                  <w:gridSpan w:val="2"/>
                  <w:tcBorders>
                    <w:tl2br w:val="nil"/>
                    <w:tr2bl w:val="nil"/>
                  </w:tcBorders>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4919" w:type="dxa"/>
                  <w:gridSpan w:val="2"/>
                  <w:tcBorders>
                    <w:tl2br w:val="nil"/>
                    <w:tr2bl w:val="nil"/>
                  </w:tcBorders>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27" w:type="dxa"/>
                  <w:tcBorders>
                    <w:tl2br w:val="nil"/>
                    <w:tr2bl w:val="nil"/>
                  </w:tcBorders>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158" w:type="dxa"/>
                  <w:tcBorders>
                    <w:tl2br w:val="nil"/>
                    <w:tr2bl w:val="nil"/>
                  </w:tcBorders>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760" w:type="dxa"/>
                  <w:tcBorders>
                    <w:tl2br w:val="nil"/>
                    <w:tr2bl w:val="nil"/>
                  </w:tcBorders>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159" w:type="dxa"/>
                  <w:tcBorders>
                    <w:tl2br w:val="nil"/>
                    <w:tr2bl w:val="nil"/>
                  </w:tcBorders>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27" w:type="dxa"/>
                  <w:vMerge w:val="restart"/>
                  <w:tcBorders>
                    <w:tl2br w:val="nil"/>
                    <w:tr2bl w:val="nil"/>
                  </w:tcBorders>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158" w:type="dxa"/>
                  <w:vMerge w:val="restart"/>
                  <w:tcBorders>
                    <w:tl2br w:val="nil"/>
                    <w:tr2bl w:val="nil"/>
                  </w:tcBorders>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c>
                <w:tcPr>
                  <w:tcW w:w="2760" w:type="dxa"/>
                  <w:tcBorders>
                    <w:tl2br w:val="nil"/>
                    <w:tr2bl w:val="nil"/>
                  </w:tcBorders>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eastAsia="zh-CN"/>
                    </w:rPr>
                  </w:pPr>
                </w:p>
              </w:tc>
              <w:tc>
                <w:tcPr>
                  <w:tcW w:w="2159" w:type="dxa"/>
                  <w:tcBorders>
                    <w:tl2br w:val="nil"/>
                    <w:tr2bl w:val="nil"/>
                  </w:tcBorders>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27" w:type="dxa"/>
                  <w:vMerge w:val="continue"/>
                  <w:tcBorders>
                    <w:tl2br w:val="nil"/>
                    <w:tr2bl w:val="nil"/>
                  </w:tcBorders>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158" w:type="dxa"/>
                  <w:vMerge w:val="continue"/>
                  <w:tcBorders>
                    <w:tl2br w:val="nil"/>
                    <w:tr2bl w:val="nil"/>
                  </w:tcBorders>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760" w:type="dxa"/>
                  <w:tcBorders>
                    <w:tl2br w:val="nil"/>
                    <w:tr2bl w:val="nil"/>
                  </w:tcBorders>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159" w:type="dxa"/>
                  <w:tcBorders>
                    <w:tl2br w:val="nil"/>
                    <w:tr2bl w:val="nil"/>
                  </w:tcBorders>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27" w:type="dxa"/>
                  <w:vMerge w:val="continue"/>
                  <w:tcBorders>
                    <w:tl2br w:val="nil"/>
                    <w:tr2bl w:val="nil"/>
                  </w:tcBorders>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158" w:type="dxa"/>
                  <w:vMerge w:val="continue"/>
                  <w:tcBorders>
                    <w:tl2br w:val="nil"/>
                    <w:tr2bl w:val="nil"/>
                  </w:tcBorders>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760" w:type="dxa"/>
                  <w:tcBorders>
                    <w:tl2br w:val="nil"/>
                    <w:tr2bl w:val="nil"/>
                  </w:tcBorders>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159" w:type="dxa"/>
                  <w:tcBorders>
                    <w:tl2br w:val="nil"/>
                    <w:tr2bl w:val="nil"/>
                  </w:tcBorders>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27" w:type="dxa"/>
                  <w:vMerge w:val="restart"/>
                  <w:tcBorders>
                    <w:tl2br w:val="nil"/>
                    <w:tr2bl w:val="nil"/>
                  </w:tcBorders>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158" w:type="dxa"/>
                  <w:vMerge w:val="restart"/>
                  <w:tcBorders>
                    <w:tl2br w:val="nil"/>
                    <w:tr2bl w:val="nil"/>
                  </w:tcBorders>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c>
                <w:tcPr>
                  <w:tcW w:w="2760" w:type="dxa"/>
                  <w:tcBorders>
                    <w:tl2br w:val="nil"/>
                    <w:tr2bl w:val="nil"/>
                  </w:tcBorders>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159" w:type="dxa"/>
                  <w:tcBorders>
                    <w:tl2br w:val="nil"/>
                    <w:tr2bl w:val="nil"/>
                  </w:tcBorders>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427" w:type="dxa"/>
                  <w:vMerge w:val="continue"/>
                  <w:tcBorders>
                    <w:tl2br w:val="nil"/>
                    <w:tr2bl w:val="nil"/>
                  </w:tcBorders>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158" w:type="dxa"/>
                  <w:vMerge w:val="continue"/>
                  <w:tcBorders>
                    <w:tl2br w:val="nil"/>
                    <w:tr2bl w:val="nil"/>
                  </w:tcBorders>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760" w:type="dxa"/>
                  <w:tcBorders>
                    <w:tl2br w:val="nil"/>
                    <w:tr2bl w:val="nil"/>
                  </w:tcBorders>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159" w:type="dxa"/>
                  <w:tcBorders>
                    <w:tl2br w:val="nil"/>
                    <w:tr2bl w:val="nil"/>
                  </w:tcBorders>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427" w:type="dxa"/>
                  <w:vMerge w:val="continue"/>
                  <w:tcBorders>
                    <w:tl2br w:val="nil"/>
                    <w:tr2bl w:val="nil"/>
                  </w:tcBorders>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158" w:type="dxa"/>
                  <w:vMerge w:val="continue"/>
                  <w:tcBorders>
                    <w:tl2br w:val="nil"/>
                    <w:tr2bl w:val="nil"/>
                  </w:tcBorders>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760" w:type="dxa"/>
                  <w:tcBorders>
                    <w:tl2br w:val="nil"/>
                    <w:tr2bl w:val="nil"/>
                  </w:tcBorders>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159" w:type="dxa"/>
                  <w:tcBorders>
                    <w:tl2br w:val="nil"/>
                    <w:tr2bl w:val="nil"/>
                  </w:tcBorders>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27" w:type="dxa"/>
                  <w:tcBorders>
                    <w:tl2br w:val="nil"/>
                    <w:tr2bl w:val="nil"/>
                  </w:tcBorders>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158" w:type="dxa"/>
                  <w:tcBorders>
                    <w:tl2br w:val="nil"/>
                    <w:tr2bl w:val="nil"/>
                  </w:tcBorders>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760" w:type="dxa"/>
                  <w:tcBorders>
                    <w:tl2br w:val="nil"/>
                    <w:tr2bl w:val="nil"/>
                  </w:tcBorders>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2159" w:type="dxa"/>
                  <w:tcBorders>
                    <w:tl2br w:val="nil"/>
                    <w:tr2bl w:val="nil"/>
                  </w:tcBorders>
                  <w:shd w:val="clear" w:color="auto" w:fill="auto"/>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r>
          </w:tbl>
          <w:p>
            <w:pPr>
              <w:pStyle w:val="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2.4.2水平衡</w:t>
            </w:r>
          </w:p>
          <w:p>
            <w:pPr>
              <w:ind w:firstLine="480"/>
              <w:rPr>
                <w:color w:val="auto"/>
                <w:highlight w:val="none"/>
              </w:rPr>
            </w:pPr>
            <w:r>
              <w:rPr>
                <w:rFonts w:hint="eastAsia"/>
                <w:color w:val="auto"/>
                <w:highlight w:val="none"/>
                <w:lang w:val="en-US" w:eastAsia="zh-CN"/>
              </w:rPr>
              <w:t>涉密删除！</w:t>
            </w:r>
            <w:r>
              <w:rPr>
                <w:rFonts w:hint="default" w:ascii="Times New Roman" w:hAnsi="Times New Roman" w:eastAsia="宋体" w:cs="Times New Roman"/>
                <w:color w:val="auto"/>
                <w:highlight w:val="none"/>
              </w:rPr>
              <w:t>。</w:t>
            </w:r>
          </w:p>
          <w:p>
            <w:pPr>
              <w:ind w:firstLine="0" w:firstLineChars="0"/>
              <w:jc w:val="center"/>
              <w:rPr>
                <w:rFonts w:hint="default" w:ascii="Times New Roman" w:hAnsi="Times New Roman" w:eastAsia="宋体" w:cs="Times New Roman"/>
                <w:color w:val="auto"/>
                <w:highlight w:val="none"/>
                <w:lang w:eastAsia="zh-CN"/>
              </w:rPr>
            </w:pPr>
          </w:p>
          <w:p>
            <w:pPr>
              <w:ind w:firstLine="0" w:firstLineChars="0"/>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图2.4-2水平衡图（单位：t/a）</w:t>
            </w:r>
          </w:p>
          <w:p>
            <w:pPr>
              <w:pStyle w:val="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2.5总平面布置</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项目所在区域主导风向为NNE（东北偏北风）。经现场勘查，项目周边最近环境敏感点为</w:t>
            </w:r>
            <w:r>
              <w:rPr>
                <w:rFonts w:hint="eastAsia" w:cs="Times New Roman"/>
                <w:color w:val="auto"/>
                <w:highlight w:val="none"/>
                <w:lang w:val="en-US" w:eastAsia="zh-CN"/>
              </w:rPr>
              <w:t>地块三车间</w:t>
            </w:r>
            <w:r>
              <w:rPr>
                <w:rFonts w:hint="default" w:ascii="Times New Roman" w:hAnsi="Times New Roman" w:eastAsia="宋体" w:cs="Times New Roman"/>
                <w:color w:val="auto"/>
                <w:highlight w:val="none"/>
              </w:rPr>
              <w:t>厂界西侧外205m处的73125部队营房。综合项目工艺布局及污染控制措施分析，在确保环保设施有效运行的前提下，本次技改项目产生的噪声及废气污染物可稳定实现达标排放。因此，从环境影响角度评估，项目平面布置方案具备环境合理性。项目厂区平面布置见附图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53" w:hRule="atLeast"/>
          <w:jc w:val="center"/>
        </w:trPr>
        <w:tc>
          <w:tcPr>
            <w:tcW w:w="266" w:type="dxa"/>
            <w:vAlign w:val="center"/>
          </w:tcPr>
          <w:p>
            <w:pPr>
              <w:pStyle w:val="11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工艺流程和产排污环节</w:t>
            </w:r>
          </w:p>
        </w:tc>
        <w:tc>
          <w:tcPr>
            <w:tcW w:w="8860" w:type="dxa"/>
            <w:vAlign w:val="center"/>
          </w:tcPr>
          <w:p>
            <w:pPr>
              <w:pStyle w:val="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2.6工艺流程及产污排污环节</w:t>
            </w:r>
          </w:p>
          <w:p>
            <w:pPr>
              <w:pStyle w:val="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2.6.1工艺流程</w:t>
            </w:r>
          </w:p>
          <w:p>
            <w:pPr>
              <w:ind w:firstLine="480"/>
              <w:rPr>
                <w:rFonts w:hint="default" w:ascii="Times New Roman" w:hAnsi="Times New Roman" w:eastAsia="宋体" w:cs="Times New Roman"/>
                <w:color w:val="auto"/>
                <w:highlight w:val="none"/>
              </w:rPr>
            </w:pPr>
            <w:r>
              <w:rPr>
                <w:rFonts w:hint="eastAsia"/>
                <w:color w:val="auto"/>
                <w:highlight w:val="none"/>
                <w:lang w:val="en-US" w:eastAsia="zh-CN"/>
              </w:rPr>
              <w:t>涉密删除！</w:t>
            </w:r>
          </w:p>
          <w:p>
            <w:pPr>
              <w:pStyle w:val="96"/>
              <w:keepNext w:val="0"/>
              <w:keepLines w:val="0"/>
              <w:pageBreakBefore w:val="0"/>
              <w:widowControl w:val="0"/>
              <w:kinsoku/>
              <w:wordWrap/>
              <w:overflowPunct/>
              <w:topLinePunct w:val="0"/>
              <w:autoSpaceDE w:val="0"/>
              <w:autoSpaceDN w:val="0"/>
              <w:bidi w:val="0"/>
              <w:adjustRightInd w:val="0"/>
              <w:snapToGrid w:val="0"/>
              <w:ind w:firstLine="0" w:firstLineChars="0"/>
              <w:textAlignment w:val="auto"/>
              <w:rPr>
                <w:rFonts w:hint="default" w:ascii="Times New Roman" w:hAnsi="Times New Roman" w:eastAsia="宋体" w:cs="Times New Roman"/>
                <w:color w:val="auto"/>
                <w:highlight w:val="none"/>
                <w:lang w:eastAsia="zh-CN"/>
              </w:rPr>
            </w:pPr>
          </w:p>
          <w:p>
            <w:pPr>
              <w:pStyle w:val="6"/>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图2.6-1 工艺流程及产污环节分析图</w:t>
            </w:r>
          </w:p>
          <w:p>
            <w:pPr>
              <w:pStyle w:val="4"/>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highlight w:val="none"/>
              </w:rPr>
              <w:t>2.6.2产污环节</w:t>
            </w:r>
          </w:p>
          <w:p>
            <w:pPr>
              <w:pStyle w:val="6"/>
              <w:spacing w:line="36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b w:val="0"/>
                <w:color w:val="auto"/>
                <w:highlight w:val="none"/>
              </w:rPr>
              <w:t>本项目产污环节见下表。</w:t>
            </w:r>
          </w:p>
          <w:p>
            <w:pPr>
              <w:pStyle w:val="6"/>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表2.6-1 项目产排污环节一览表</w:t>
            </w:r>
          </w:p>
          <w:tbl>
            <w:tblPr>
              <w:tblStyle w:val="49"/>
              <w:tblW w:w="8804" w:type="dxa"/>
              <w:jc w:val="center"/>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440"/>
              <w:gridCol w:w="717"/>
              <w:gridCol w:w="849"/>
              <w:gridCol w:w="1603"/>
              <w:gridCol w:w="1806"/>
              <w:gridCol w:w="3389"/>
            </w:tblGrid>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57" w:type="dxa"/>
                  <w:gridSpan w:val="2"/>
                  <w:tcBorders>
                    <w:tl2br w:val="nil"/>
                    <w:tr2bl w:val="nil"/>
                  </w:tcBorders>
                  <w:vAlign w:val="center"/>
                </w:tcPr>
                <w:p>
                  <w:pPr>
                    <w:pStyle w:val="113"/>
                    <w:rPr>
                      <w:rFonts w:hint="default" w:ascii="Times New Roman" w:hAnsi="Times New Roman" w:eastAsia="宋体" w:cs="Times New Roman"/>
                      <w:color w:val="auto"/>
                      <w:highlight w:val="none"/>
                    </w:rPr>
                  </w:pPr>
                </w:p>
              </w:tc>
              <w:tc>
                <w:tcPr>
                  <w:tcW w:w="2452" w:type="dxa"/>
                  <w:gridSpan w:val="2"/>
                  <w:tcBorders>
                    <w:tl2br w:val="nil"/>
                    <w:tr2bl w:val="nil"/>
                  </w:tcBorders>
                  <w:vAlign w:val="center"/>
                </w:tcPr>
                <w:p>
                  <w:pPr>
                    <w:pStyle w:val="113"/>
                    <w:rPr>
                      <w:rFonts w:hint="default" w:ascii="Times New Roman" w:hAnsi="Times New Roman" w:eastAsia="宋体" w:cs="Times New Roman"/>
                      <w:color w:val="auto"/>
                      <w:highlight w:val="none"/>
                    </w:rPr>
                  </w:pPr>
                </w:p>
              </w:tc>
              <w:tc>
                <w:tcPr>
                  <w:tcW w:w="1806" w:type="dxa"/>
                  <w:tcBorders>
                    <w:tl2br w:val="nil"/>
                    <w:tr2bl w:val="nil"/>
                  </w:tcBorders>
                  <w:vAlign w:val="center"/>
                </w:tcPr>
                <w:p>
                  <w:pPr>
                    <w:pStyle w:val="113"/>
                    <w:rPr>
                      <w:rFonts w:hint="default" w:ascii="Times New Roman" w:hAnsi="Times New Roman" w:eastAsia="宋体" w:cs="Times New Roman"/>
                      <w:color w:val="auto"/>
                      <w:highlight w:val="none"/>
                    </w:rPr>
                  </w:pPr>
                </w:p>
              </w:tc>
              <w:tc>
                <w:tcPr>
                  <w:tcW w:w="3389" w:type="dxa"/>
                  <w:tcBorders>
                    <w:tl2br w:val="nil"/>
                    <w:tr2bl w:val="nil"/>
                  </w:tcBorders>
                  <w:vAlign w:val="center"/>
                </w:tcPr>
                <w:p>
                  <w:pPr>
                    <w:pStyle w:val="113"/>
                    <w:rPr>
                      <w:rFonts w:hint="default" w:ascii="Times New Roman" w:hAnsi="Times New Roman" w:eastAsia="宋体" w:cs="Times New Roman"/>
                      <w:color w:val="auto"/>
                      <w:highlight w:val="none"/>
                    </w:rPr>
                  </w:pP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57" w:type="dxa"/>
                  <w:gridSpan w:val="2"/>
                  <w:vMerge w:val="restart"/>
                  <w:tcBorders>
                    <w:tl2br w:val="nil"/>
                    <w:tr2bl w:val="nil"/>
                  </w:tcBorders>
                  <w:vAlign w:val="center"/>
                </w:tcPr>
                <w:p>
                  <w:pPr>
                    <w:pStyle w:val="113"/>
                    <w:rPr>
                      <w:rFonts w:hint="default" w:ascii="Times New Roman" w:hAnsi="Times New Roman" w:eastAsia="宋体" w:cs="Times New Roman"/>
                      <w:color w:val="auto"/>
                      <w:highlight w:val="none"/>
                    </w:rPr>
                  </w:pPr>
                </w:p>
              </w:tc>
              <w:tc>
                <w:tcPr>
                  <w:tcW w:w="2452" w:type="dxa"/>
                  <w:gridSpan w:val="2"/>
                  <w:tcBorders>
                    <w:tl2br w:val="nil"/>
                    <w:tr2bl w:val="nil"/>
                  </w:tcBorders>
                  <w:vAlign w:val="center"/>
                </w:tcPr>
                <w:p>
                  <w:pPr>
                    <w:pStyle w:val="113"/>
                    <w:rPr>
                      <w:rFonts w:hint="default" w:ascii="Times New Roman" w:hAnsi="Times New Roman" w:eastAsia="宋体" w:cs="Times New Roman"/>
                      <w:color w:val="auto"/>
                      <w:highlight w:val="none"/>
                    </w:rPr>
                  </w:pPr>
                </w:p>
              </w:tc>
              <w:tc>
                <w:tcPr>
                  <w:tcW w:w="1806" w:type="dxa"/>
                  <w:tcBorders>
                    <w:tl2br w:val="nil"/>
                    <w:tr2bl w:val="nil"/>
                  </w:tcBorders>
                  <w:vAlign w:val="center"/>
                </w:tcPr>
                <w:p>
                  <w:pPr>
                    <w:pStyle w:val="113"/>
                    <w:rPr>
                      <w:rFonts w:hint="default" w:ascii="Times New Roman" w:hAnsi="Times New Roman" w:eastAsia="宋体" w:cs="Times New Roman"/>
                      <w:color w:val="auto"/>
                      <w:highlight w:val="none"/>
                    </w:rPr>
                  </w:pPr>
                </w:p>
              </w:tc>
              <w:tc>
                <w:tcPr>
                  <w:tcW w:w="3389" w:type="dxa"/>
                  <w:tcBorders>
                    <w:tl2br w:val="nil"/>
                    <w:tr2bl w:val="nil"/>
                  </w:tcBorders>
                  <w:vAlign w:val="center"/>
                </w:tcPr>
                <w:p>
                  <w:pPr>
                    <w:pStyle w:val="113"/>
                    <w:rPr>
                      <w:rFonts w:hint="default" w:ascii="Times New Roman" w:hAnsi="Times New Roman" w:eastAsia="宋体" w:cs="Times New Roman"/>
                      <w:color w:val="auto"/>
                      <w:highlight w:val="none"/>
                    </w:rPr>
                  </w:pP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57" w:type="dxa"/>
                  <w:gridSpan w:val="2"/>
                  <w:vMerge w:val="continue"/>
                  <w:tcBorders>
                    <w:tl2br w:val="nil"/>
                    <w:tr2bl w:val="nil"/>
                  </w:tcBorders>
                  <w:vAlign w:val="center"/>
                </w:tcPr>
                <w:p>
                  <w:pPr>
                    <w:pStyle w:val="113"/>
                    <w:rPr>
                      <w:rFonts w:hint="default" w:ascii="Times New Roman" w:hAnsi="Times New Roman" w:eastAsia="宋体" w:cs="Times New Roman"/>
                      <w:color w:val="auto"/>
                      <w:highlight w:val="none"/>
                    </w:rPr>
                  </w:pPr>
                </w:p>
              </w:tc>
              <w:tc>
                <w:tcPr>
                  <w:tcW w:w="849" w:type="dxa"/>
                  <w:vMerge w:val="restart"/>
                  <w:tcBorders>
                    <w:tl2br w:val="nil"/>
                    <w:tr2bl w:val="nil"/>
                  </w:tcBorders>
                  <w:vAlign w:val="center"/>
                </w:tcPr>
                <w:p>
                  <w:pPr>
                    <w:pStyle w:val="113"/>
                    <w:rPr>
                      <w:rFonts w:hint="default" w:ascii="Times New Roman" w:hAnsi="Times New Roman" w:eastAsia="宋体" w:cs="Times New Roman"/>
                      <w:color w:val="auto"/>
                      <w:highlight w:val="none"/>
                    </w:rPr>
                  </w:pPr>
                </w:p>
              </w:tc>
              <w:tc>
                <w:tcPr>
                  <w:tcW w:w="1603" w:type="dxa"/>
                  <w:tcBorders>
                    <w:tl2br w:val="nil"/>
                    <w:tr2bl w:val="nil"/>
                  </w:tcBorders>
                  <w:vAlign w:val="center"/>
                </w:tcPr>
                <w:p>
                  <w:pPr>
                    <w:pStyle w:val="113"/>
                    <w:rPr>
                      <w:rFonts w:hint="default" w:ascii="Times New Roman" w:hAnsi="Times New Roman" w:eastAsia="宋体" w:cs="Times New Roman"/>
                      <w:color w:val="auto"/>
                      <w:highlight w:val="none"/>
                    </w:rPr>
                  </w:pPr>
                </w:p>
              </w:tc>
              <w:tc>
                <w:tcPr>
                  <w:tcW w:w="1806" w:type="dxa"/>
                  <w:tcBorders>
                    <w:tl2br w:val="nil"/>
                    <w:tr2bl w:val="nil"/>
                  </w:tcBorders>
                  <w:vAlign w:val="center"/>
                </w:tcPr>
                <w:p>
                  <w:pPr>
                    <w:pStyle w:val="113"/>
                    <w:rPr>
                      <w:rFonts w:hint="default" w:ascii="Times New Roman" w:hAnsi="Times New Roman" w:eastAsia="宋体" w:cs="Times New Roman"/>
                      <w:color w:val="auto"/>
                      <w:highlight w:val="none"/>
                    </w:rPr>
                  </w:pPr>
                </w:p>
              </w:tc>
              <w:tc>
                <w:tcPr>
                  <w:tcW w:w="3389" w:type="dxa"/>
                  <w:vMerge w:val="restart"/>
                  <w:tcBorders>
                    <w:tl2br w:val="nil"/>
                    <w:tr2bl w:val="nil"/>
                  </w:tcBorders>
                  <w:vAlign w:val="center"/>
                </w:tcPr>
                <w:p>
                  <w:pPr>
                    <w:pStyle w:val="113"/>
                    <w:rPr>
                      <w:rFonts w:hint="default" w:ascii="Times New Roman" w:hAnsi="Times New Roman" w:eastAsia="宋体" w:cs="Times New Roman"/>
                      <w:color w:val="auto"/>
                      <w:highlight w:val="none"/>
                    </w:rPr>
                  </w:pP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57" w:type="dxa"/>
                  <w:gridSpan w:val="2"/>
                  <w:vMerge w:val="continue"/>
                  <w:tcBorders>
                    <w:tl2br w:val="nil"/>
                    <w:tr2bl w:val="nil"/>
                  </w:tcBorders>
                  <w:vAlign w:val="center"/>
                </w:tcPr>
                <w:p>
                  <w:pPr>
                    <w:pStyle w:val="113"/>
                    <w:rPr>
                      <w:rFonts w:hint="default" w:ascii="Times New Roman" w:hAnsi="Times New Roman" w:eastAsia="宋体" w:cs="Times New Roman"/>
                      <w:color w:val="auto"/>
                      <w:highlight w:val="none"/>
                    </w:rPr>
                  </w:pPr>
                </w:p>
              </w:tc>
              <w:tc>
                <w:tcPr>
                  <w:tcW w:w="849" w:type="dxa"/>
                  <w:vMerge w:val="continue"/>
                  <w:tcBorders>
                    <w:tl2br w:val="nil"/>
                    <w:tr2bl w:val="nil"/>
                  </w:tcBorders>
                  <w:vAlign w:val="center"/>
                </w:tcPr>
                <w:p>
                  <w:pPr>
                    <w:pStyle w:val="113"/>
                    <w:rPr>
                      <w:rFonts w:hint="default" w:ascii="Times New Roman" w:hAnsi="Times New Roman" w:eastAsia="宋体" w:cs="Times New Roman"/>
                      <w:color w:val="auto"/>
                      <w:highlight w:val="none"/>
                    </w:rPr>
                  </w:pPr>
                </w:p>
              </w:tc>
              <w:tc>
                <w:tcPr>
                  <w:tcW w:w="1603" w:type="dxa"/>
                  <w:tcBorders>
                    <w:tl2br w:val="nil"/>
                    <w:tr2bl w:val="nil"/>
                  </w:tcBorders>
                  <w:vAlign w:val="center"/>
                </w:tcPr>
                <w:p>
                  <w:pPr>
                    <w:pStyle w:val="113"/>
                    <w:rPr>
                      <w:rFonts w:hint="default" w:ascii="Times New Roman" w:hAnsi="Times New Roman" w:eastAsia="宋体" w:cs="Times New Roman"/>
                      <w:color w:val="auto"/>
                      <w:highlight w:val="none"/>
                    </w:rPr>
                  </w:pPr>
                </w:p>
              </w:tc>
              <w:tc>
                <w:tcPr>
                  <w:tcW w:w="1806" w:type="dxa"/>
                  <w:tcBorders>
                    <w:tl2br w:val="nil"/>
                    <w:tr2bl w:val="nil"/>
                  </w:tcBorders>
                  <w:vAlign w:val="center"/>
                </w:tcPr>
                <w:p>
                  <w:pPr>
                    <w:pStyle w:val="113"/>
                    <w:rPr>
                      <w:rFonts w:hint="default" w:ascii="Times New Roman" w:hAnsi="Times New Roman" w:eastAsia="宋体" w:cs="Times New Roman"/>
                      <w:color w:val="auto"/>
                      <w:highlight w:val="none"/>
                    </w:rPr>
                  </w:pPr>
                </w:p>
              </w:tc>
              <w:tc>
                <w:tcPr>
                  <w:tcW w:w="3389" w:type="dxa"/>
                  <w:vMerge w:val="continue"/>
                  <w:tcBorders>
                    <w:tl2br w:val="nil"/>
                    <w:tr2bl w:val="nil"/>
                  </w:tcBorders>
                  <w:vAlign w:val="center"/>
                </w:tcPr>
                <w:p>
                  <w:pPr>
                    <w:pStyle w:val="113"/>
                    <w:rPr>
                      <w:rFonts w:hint="default" w:ascii="Times New Roman" w:hAnsi="Times New Roman" w:eastAsia="宋体" w:cs="Times New Roman"/>
                      <w:color w:val="auto"/>
                      <w:highlight w:val="none"/>
                    </w:rPr>
                  </w:pP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57" w:type="dxa"/>
                  <w:gridSpan w:val="2"/>
                  <w:vMerge w:val="restart"/>
                  <w:tcBorders>
                    <w:tl2br w:val="nil"/>
                    <w:tr2bl w:val="nil"/>
                  </w:tcBorders>
                  <w:vAlign w:val="center"/>
                </w:tcPr>
                <w:p>
                  <w:pPr>
                    <w:pStyle w:val="113"/>
                    <w:rPr>
                      <w:rFonts w:hint="default" w:ascii="Times New Roman" w:hAnsi="Times New Roman" w:eastAsia="宋体" w:cs="Times New Roman"/>
                      <w:color w:val="auto"/>
                      <w:highlight w:val="none"/>
                    </w:rPr>
                  </w:pPr>
                </w:p>
              </w:tc>
              <w:tc>
                <w:tcPr>
                  <w:tcW w:w="2452" w:type="dxa"/>
                  <w:gridSpan w:val="2"/>
                  <w:tcBorders>
                    <w:tl2br w:val="nil"/>
                    <w:tr2bl w:val="nil"/>
                  </w:tcBorders>
                  <w:vAlign w:val="center"/>
                </w:tcPr>
                <w:p>
                  <w:pPr>
                    <w:pStyle w:val="113"/>
                    <w:rPr>
                      <w:rFonts w:hint="default" w:ascii="Times New Roman" w:hAnsi="Times New Roman" w:eastAsia="宋体" w:cs="Times New Roman"/>
                      <w:color w:val="auto"/>
                      <w:highlight w:val="none"/>
                    </w:rPr>
                  </w:pPr>
                </w:p>
              </w:tc>
              <w:tc>
                <w:tcPr>
                  <w:tcW w:w="1806" w:type="dxa"/>
                  <w:tcBorders>
                    <w:tl2br w:val="nil"/>
                    <w:tr2bl w:val="nil"/>
                  </w:tcBorders>
                  <w:vAlign w:val="center"/>
                </w:tcPr>
                <w:p>
                  <w:pPr>
                    <w:pStyle w:val="113"/>
                    <w:rPr>
                      <w:rFonts w:hint="default" w:ascii="Times New Roman" w:hAnsi="Times New Roman" w:eastAsia="宋体" w:cs="Times New Roman"/>
                      <w:color w:val="auto"/>
                      <w:highlight w:val="none"/>
                    </w:rPr>
                  </w:pPr>
                </w:p>
              </w:tc>
              <w:tc>
                <w:tcPr>
                  <w:tcW w:w="3389" w:type="dxa"/>
                  <w:tcBorders>
                    <w:tl2br w:val="nil"/>
                    <w:tr2bl w:val="nil"/>
                  </w:tcBorders>
                  <w:vAlign w:val="center"/>
                </w:tcPr>
                <w:p>
                  <w:pPr>
                    <w:pStyle w:val="113"/>
                    <w:rPr>
                      <w:rFonts w:hint="default" w:ascii="Times New Roman" w:hAnsi="Times New Roman" w:eastAsia="宋体" w:cs="Times New Roman"/>
                      <w:color w:val="auto"/>
                      <w:highlight w:val="none"/>
                    </w:rPr>
                  </w:pP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57" w:type="dxa"/>
                  <w:gridSpan w:val="2"/>
                  <w:vMerge w:val="continue"/>
                  <w:tcBorders>
                    <w:tl2br w:val="nil"/>
                    <w:tr2bl w:val="nil"/>
                  </w:tcBorders>
                  <w:vAlign w:val="center"/>
                </w:tcPr>
                <w:p>
                  <w:pPr>
                    <w:pStyle w:val="113"/>
                    <w:rPr>
                      <w:rFonts w:hint="default" w:ascii="Times New Roman" w:hAnsi="Times New Roman" w:eastAsia="宋体" w:cs="Times New Roman"/>
                      <w:color w:val="auto"/>
                      <w:highlight w:val="none"/>
                    </w:rPr>
                  </w:pPr>
                </w:p>
              </w:tc>
              <w:tc>
                <w:tcPr>
                  <w:tcW w:w="2452" w:type="dxa"/>
                  <w:gridSpan w:val="2"/>
                  <w:tcBorders>
                    <w:tl2br w:val="nil"/>
                    <w:tr2bl w:val="nil"/>
                  </w:tcBorders>
                  <w:vAlign w:val="center"/>
                </w:tcPr>
                <w:p>
                  <w:pPr>
                    <w:pStyle w:val="113"/>
                    <w:rPr>
                      <w:rFonts w:hint="default" w:ascii="Times New Roman" w:hAnsi="Times New Roman" w:eastAsia="宋体" w:cs="Times New Roman"/>
                      <w:color w:val="auto"/>
                      <w:highlight w:val="none"/>
                      <w:lang w:val="en-US" w:eastAsia="zh-CN"/>
                    </w:rPr>
                  </w:pPr>
                </w:p>
              </w:tc>
              <w:tc>
                <w:tcPr>
                  <w:tcW w:w="1806" w:type="dxa"/>
                  <w:tcBorders>
                    <w:tl2br w:val="nil"/>
                    <w:tr2bl w:val="nil"/>
                  </w:tcBorders>
                  <w:vAlign w:val="center"/>
                </w:tcPr>
                <w:p>
                  <w:pPr>
                    <w:pStyle w:val="113"/>
                    <w:rPr>
                      <w:rFonts w:hint="default" w:ascii="Times New Roman" w:hAnsi="Times New Roman" w:eastAsia="宋体" w:cs="Times New Roman"/>
                      <w:color w:val="auto"/>
                      <w:highlight w:val="none"/>
                    </w:rPr>
                  </w:pPr>
                </w:p>
              </w:tc>
              <w:tc>
                <w:tcPr>
                  <w:tcW w:w="3389" w:type="dxa"/>
                  <w:tcBorders>
                    <w:tl2br w:val="nil"/>
                    <w:tr2bl w:val="nil"/>
                  </w:tcBorders>
                  <w:vAlign w:val="center"/>
                </w:tcPr>
                <w:p>
                  <w:pPr>
                    <w:pStyle w:val="113"/>
                    <w:rPr>
                      <w:rFonts w:hint="default" w:ascii="Times New Roman" w:hAnsi="Times New Roman" w:eastAsia="宋体" w:cs="Times New Roman"/>
                      <w:color w:val="auto"/>
                      <w:highlight w:val="none"/>
                      <w:lang w:val="en-US" w:eastAsia="zh-CN"/>
                    </w:rPr>
                  </w:pP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57" w:type="dxa"/>
                  <w:gridSpan w:val="2"/>
                  <w:vMerge w:val="continue"/>
                  <w:tcBorders>
                    <w:tl2br w:val="nil"/>
                    <w:tr2bl w:val="nil"/>
                  </w:tcBorders>
                  <w:vAlign w:val="center"/>
                </w:tcPr>
                <w:p>
                  <w:pPr>
                    <w:pStyle w:val="113"/>
                    <w:rPr>
                      <w:rFonts w:hint="default" w:ascii="Times New Roman" w:hAnsi="Times New Roman" w:eastAsia="宋体" w:cs="Times New Roman"/>
                      <w:color w:val="auto"/>
                      <w:highlight w:val="none"/>
                    </w:rPr>
                  </w:pPr>
                </w:p>
              </w:tc>
              <w:tc>
                <w:tcPr>
                  <w:tcW w:w="2452" w:type="dxa"/>
                  <w:gridSpan w:val="2"/>
                  <w:tcBorders>
                    <w:tl2br w:val="nil"/>
                    <w:tr2bl w:val="nil"/>
                  </w:tcBorders>
                  <w:vAlign w:val="center"/>
                </w:tcPr>
                <w:p>
                  <w:pPr>
                    <w:pStyle w:val="113"/>
                    <w:rPr>
                      <w:rFonts w:hint="default" w:ascii="Times New Roman" w:hAnsi="Times New Roman" w:eastAsia="宋体" w:cs="Times New Roman"/>
                      <w:color w:val="auto"/>
                      <w:highlight w:val="none"/>
                      <w:lang w:val="en-US" w:eastAsia="zh-CN"/>
                    </w:rPr>
                  </w:pPr>
                </w:p>
              </w:tc>
              <w:tc>
                <w:tcPr>
                  <w:tcW w:w="1806" w:type="dxa"/>
                  <w:tcBorders>
                    <w:tl2br w:val="nil"/>
                    <w:tr2bl w:val="nil"/>
                  </w:tcBorders>
                  <w:vAlign w:val="center"/>
                </w:tcPr>
                <w:p>
                  <w:pPr>
                    <w:pStyle w:val="113"/>
                    <w:rPr>
                      <w:rFonts w:hint="default" w:ascii="Times New Roman" w:hAnsi="Times New Roman" w:eastAsia="宋体" w:cs="Times New Roman"/>
                      <w:color w:val="auto"/>
                      <w:highlight w:val="none"/>
                    </w:rPr>
                  </w:pPr>
                </w:p>
              </w:tc>
              <w:tc>
                <w:tcPr>
                  <w:tcW w:w="3389" w:type="dxa"/>
                  <w:tcBorders>
                    <w:tl2br w:val="nil"/>
                    <w:tr2bl w:val="nil"/>
                  </w:tcBorders>
                  <w:vAlign w:val="center"/>
                </w:tcPr>
                <w:p>
                  <w:pPr>
                    <w:pStyle w:val="113"/>
                    <w:rPr>
                      <w:rFonts w:hint="default" w:ascii="Times New Roman" w:hAnsi="Times New Roman" w:eastAsia="宋体" w:cs="Times New Roman"/>
                      <w:color w:val="auto"/>
                      <w:highlight w:val="none"/>
                      <w:lang w:val="en-US" w:eastAsia="zh-CN"/>
                    </w:rPr>
                  </w:pP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57" w:type="dxa"/>
                  <w:gridSpan w:val="2"/>
                  <w:vMerge w:val="continue"/>
                  <w:tcBorders>
                    <w:tl2br w:val="nil"/>
                    <w:tr2bl w:val="nil"/>
                  </w:tcBorders>
                  <w:vAlign w:val="center"/>
                </w:tcPr>
                <w:p>
                  <w:pPr>
                    <w:pStyle w:val="113"/>
                    <w:rPr>
                      <w:rFonts w:hint="default" w:ascii="Times New Roman" w:hAnsi="Times New Roman" w:eastAsia="宋体" w:cs="Times New Roman"/>
                      <w:color w:val="auto"/>
                      <w:highlight w:val="none"/>
                    </w:rPr>
                  </w:pPr>
                </w:p>
              </w:tc>
              <w:tc>
                <w:tcPr>
                  <w:tcW w:w="2452" w:type="dxa"/>
                  <w:gridSpan w:val="2"/>
                  <w:tcBorders>
                    <w:tl2br w:val="nil"/>
                    <w:tr2bl w:val="nil"/>
                  </w:tcBorders>
                  <w:vAlign w:val="center"/>
                </w:tcPr>
                <w:p>
                  <w:pPr>
                    <w:pStyle w:val="113"/>
                    <w:rPr>
                      <w:rFonts w:hint="default" w:ascii="Times New Roman" w:hAnsi="Times New Roman" w:eastAsia="宋体" w:cs="Times New Roman"/>
                      <w:color w:val="auto"/>
                      <w:highlight w:val="none"/>
                    </w:rPr>
                  </w:pPr>
                </w:p>
              </w:tc>
              <w:tc>
                <w:tcPr>
                  <w:tcW w:w="1806" w:type="dxa"/>
                  <w:tcBorders>
                    <w:tl2br w:val="nil"/>
                    <w:tr2bl w:val="nil"/>
                  </w:tcBorders>
                  <w:vAlign w:val="center"/>
                </w:tcPr>
                <w:p>
                  <w:pPr>
                    <w:pStyle w:val="113"/>
                    <w:rPr>
                      <w:rFonts w:hint="default" w:ascii="Times New Roman" w:hAnsi="Times New Roman" w:eastAsia="宋体" w:cs="Times New Roman"/>
                      <w:color w:val="auto"/>
                      <w:highlight w:val="none"/>
                    </w:rPr>
                  </w:pPr>
                </w:p>
              </w:tc>
              <w:tc>
                <w:tcPr>
                  <w:tcW w:w="3389" w:type="dxa"/>
                  <w:tcBorders>
                    <w:tl2br w:val="nil"/>
                    <w:tr2bl w:val="nil"/>
                  </w:tcBorders>
                  <w:vAlign w:val="center"/>
                </w:tcPr>
                <w:p>
                  <w:pPr>
                    <w:pStyle w:val="113"/>
                    <w:rPr>
                      <w:rFonts w:hint="default" w:ascii="Times New Roman" w:hAnsi="Times New Roman" w:eastAsia="宋体" w:cs="Times New Roman"/>
                      <w:color w:val="auto"/>
                      <w:highlight w:val="none"/>
                    </w:rPr>
                  </w:pP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57" w:type="dxa"/>
                  <w:gridSpan w:val="2"/>
                  <w:vMerge w:val="continue"/>
                  <w:tcBorders>
                    <w:tl2br w:val="nil"/>
                    <w:tr2bl w:val="nil"/>
                  </w:tcBorders>
                  <w:vAlign w:val="center"/>
                </w:tcPr>
                <w:p>
                  <w:pPr>
                    <w:pStyle w:val="113"/>
                    <w:rPr>
                      <w:rFonts w:hint="default" w:ascii="Times New Roman" w:hAnsi="Times New Roman" w:eastAsia="宋体" w:cs="Times New Roman"/>
                      <w:color w:val="auto"/>
                      <w:highlight w:val="none"/>
                    </w:rPr>
                  </w:pPr>
                </w:p>
              </w:tc>
              <w:tc>
                <w:tcPr>
                  <w:tcW w:w="2452" w:type="dxa"/>
                  <w:gridSpan w:val="2"/>
                  <w:tcBorders>
                    <w:tl2br w:val="nil"/>
                    <w:tr2bl w:val="nil"/>
                  </w:tcBorders>
                  <w:vAlign w:val="center"/>
                </w:tcPr>
                <w:p>
                  <w:pPr>
                    <w:pStyle w:val="113"/>
                    <w:rPr>
                      <w:rFonts w:hint="default" w:ascii="Times New Roman" w:hAnsi="Times New Roman" w:eastAsia="宋体" w:cs="Times New Roman"/>
                      <w:color w:val="auto"/>
                      <w:highlight w:val="none"/>
                    </w:rPr>
                  </w:pPr>
                </w:p>
              </w:tc>
              <w:tc>
                <w:tcPr>
                  <w:tcW w:w="1806" w:type="dxa"/>
                  <w:tcBorders>
                    <w:tl2br w:val="nil"/>
                    <w:tr2bl w:val="nil"/>
                  </w:tcBorders>
                  <w:vAlign w:val="center"/>
                </w:tcPr>
                <w:p>
                  <w:pPr>
                    <w:pStyle w:val="113"/>
                    <w:rPr>
                      <w:rFonts w:hint="default" w:ascii="Times New Roman" w:hAnsi="Times New Roman" w:eastAsia="宋体" w:cs="Times New Roman"/>
                      <w:color w:val="auto"/>
                      <w:highlight w:val="none"/>
                    </w:rPr>
                  </w:pPr>
                </w:p>
              </w:tc>
              <w:tc>
                <w:tcPr>
                  <w:tcW w:w="3389" w:type="dxa"/>
                  <w:tcBorders>
                    <w:tl2br w:val="nil"/>
                    <w:tr2bl w:val="nil"/>
                  </w:tcBorders>
                  <w:vAlign w:val="center"/>
                </w:tcPr>
                <w:p>
                  <w:pPr>
                    <w:pStyle w:val="113"/>
                    <w:rPr>
                      <w:rFonts w:hint="default" w:ascii="Times New Roman" w:hAnsi="Times New Roman" w:eastAsia="宋体" w:cs="Times New Roman"/>
                      <w:color w:val="auto"/>
                      <w:highlight w:val="none"/>
                    </w:rPr>
                  </w:pP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57" w:type="dxa"/>
                  <w:gridSpan w:val="2"/>
                  <w:vMerge w:val="continue"/>
                  <w:tcBorders>
                    <w:tl2br w:val="nil"/>
                    <w:tr2bl w:val="nil"/>
                  </w:tcBorders>
                  <w:vAlign w:val="center"/>
                </w:tcPr>
                <w:p>
                  <w:pPr>
                    <w:pStyle w:val="113"/>
                    <w:rPr>
                      <w:rFonts w:hint="default" w:ascii="Times New Roman" w:hAnsi="Times New Roman" w:eastAsia="宋体" w:cs="Times New Roman"/>
                      <w:color w:val="auto"/>
                      <w:highlight w:val="none"/>
                    </w:rPr>
                  </w:pPr>
                </w:p>
              </w:tc>
              <w:tc>
                <w:tcPr>
                  <w:tcW w:w="2452" w:type="dxa"/>
                  <w:gridSpan w:val="2"/>
                  <w:tcBorders>
                    <w:tl2br w:val="nil"/>
                    <w:tr2bl w:val="nil"/>
                  </w:tcBorders>
                  <w:vAlign w:val="center"/>
                </w:tcPr>
                <w:p>
                  <w:pPr>
                    <w:pStyle w:val="113"/>
                    <w:rPr>
                      <w:rFonts w:hint="default" w:ascii="Times New Roman" w:hAnsi="Times New Roman" w:eastAsia="宋体" w:cs="Times New Roman"/>
                      <w:color w:val="auto"/>
                      <w:highlight w:val="none"/>
                    </w:rPr>
                  </w:pPr>
                </w:p>
              </w:tc>
              <w:tc>
                <w:tcPr>
                  <w:tcW w:w="1806" w:type="dxa"/>
                  <w:tcBorders>
                    <w:tl2br w:val="nil"/>
                    <w:tr2bl w:val="nil"/>
                  </w:tcBorders>
                  <w:vAlign w:val="center"/>
                </w:tcPr>
                <w:p>
                  <w:pPr>
                    <w:pStyle w:val="113"/>
                    <w:rPr>
                      <w:rFonts w:hint="default" w:ascii="Times New Roman" w:hAnsi="Times New Roman" w:eastAsia="宋体" w:cs="Times New Roman"/>
                      <w:color w:val="auto"/>
                      <w:highlight w:val="none"/>
                    </w:rPr>
                  </w:pPr>
                </w:p>
              </w:tc>
              <w:tc>
                <w:tcPr>
                  <w:tcW w:w="3389" w:type="dxa"/>
                  <w:tcBorders>
                    <w:tl2br w:val="nil"/>
                    <w:tr2bl w:val="nil"/>
                  </w:tcBorders>
                  <w:vAlign w:val="center"/>
                </w:tcPr>
                <w:p>
                  <w:pPr>
                    <w:pStyle w:val="113"/>
                    <w:rPr>
                      <w:rFonts w:hint="default" w:ascii="Times New Roman" w:hAnsi="Times New Roman" w:eastAsia="宋体" w:cs="Times New Roman"/>
                      <w:color w:val="auto"/>
                      <w:highlight w:val="none"/>
                    </w:rPr>
                  </w:pP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57" w:type="dxa"/>
                  <w:gridSpan w:val="2"/>
                  <w:tcBorders>
                    <w:tl2br w:val="nil"/>
                    <w:tr2bl w:val="nil"/>
                  </w:tcBorders>
                  <w:vAlign w:val="center"/>
                </w:tcPr>
                <w:p>
                  <w:pPr>
                    <w:pStyle w:val="113"/>
                    <w:rPr>
                      <w:rFonts w:hint="default" w:ascii="Times New Roman" w:hAnsi="Times New Roman" w:eastAsia="宋体" w:cs="Times New Roman"/>
                      <w:color w:val="auto"/>
                      <w:highlight w:val="none"/>
                    </w:rPr>
                  </w:pPr>
                </w:p>
              </w:tc>
              <w:tc>
                <w:tcPr>
                  <w:tcW w:w="2452" w:type="dxa"/>
                  <w:gridSpan w:val="2"/>
                  <w:tcBorders>
                    <w:tl2br w:val="nil"/>
                    <w:tr2bl w:val="nil"/>
                  </w:tcBorders>
                  <w:vAlign w:val="center"/>
                </w:tcPr>
                <w:p>
                  <w:pPr>
                    <w:pStyle w:val="544"/>
                    <w:rPr>
                      <w:rFonts w:hint="default" w:ascii="Times New Roman" w:hAnsi="Times New Roman" w:eastAsia="宋体" w:cs="Times New Roman"/>
                      <w:color w:val="auto"/>
                      <w:highlight w:val="none"/>
                      <w:lang w:val="en-US"/>
                    </w:rPr>
                  </w:pPr>
                </w:p>
              </w:tc>
              <w:tc>
                <w:tcPr>
                  <w:tcW w:w="1806" w:type="dxa"/>
                  <w:tcBorders>
                    <w:tl2br w:val="nil"/>
                    <w:tr2bl w:val="nil"/>
                  </w:tcBorders>
                  <w:vAlign w:val="center"/>
                </w:tcPr>
                <w:p>
                  <w:pPr>
                    <w:pStyle w:val="544"/>
                    <w:rPr>
                      <w:rFonts w:hint="default" w:ascii="Times New Roman" w:hAnsi="Times New Roman" w:eastAsia="宋体" w:cs="Times New Roman"/>
                      <w:color w:val="auto"/>
                      <w:highlight w:val="none"/>
                      <w:lang w:val="en-US"/>
                    </w:rPr>
                  </w:pPr>
                </w:p>
              </w:tc>
              <w:tc>
                <w:tcPr>
                  <w:tcW w:w="3389" w:type="dxa"/>
                  <w:tcBorders>
                    <w:tl2br w:val="nil"/>
                    <w:tr2bl w:val="nil"/>
                  </w:tcBorders>
                  <w:vAlign w:val="center"/>
                </w:tcPr>
                <w:p>
                  <w:pPr>
                    <w:pStyle w:val="544"/>
                    <w:rPr>
                      <w:rFonts w:hint="default" w:ascii="Times New Roman" w:hAnsi="Times New Roman" w:eastAsia="宋体" w:cs="Times New Roman"/>
                      <w:color w:val="auto"/>
                      <w:highlight w:val="none"/>
                      <w:lang w:val="en-US"/>
                    </w:rPr>
                  </w:pP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0" w:type="dxa"/>
                  <w:vMerge w:val="restart"/>
                  <w:tcBorders>
                    <w:tl2br w:val="nil"/>
                    <w:tr2bl w:val="nil"/>
                  </w:tcBorders>
                  <w:vAlign w:val="center"/>
                </w:tcPr>
                <w:p>
                  <w:pPr>
                    <w:pStyle w:val="113"/>
                    <w:rPr>
                      <w:rFonts w:hint="default" w:ascii="Times New Roman" w:hAnsi="Times New Roman" w:eastAsia="宋体" w:cs="Times New Roman"/>
                      <w:color w:val="auto"/>
                      <w:highlight w:val="none"/>
                    </w:rPr>
                  </w:pPr>
                </w:p>
              </w:tc>
              <w:tc>
                <w:tcPr>
                  <w:tcW w:w="717" w:type="dxa"/>
                  <w:vMerge w:val="restart"/>
                  <w:tcBorders>
                    <w:tl2br w:val="nil"/>
                    <w:tr2bl w:val="nil"/>
                  </w:tcBorders>
                  <w:vAlign w:val="center"/>
                </w:tcPr>
                <w:p>
                  <w:pPr>
                    <w:pStyle w:val="113"/>
                    <w:rPr>
                      <w:rFonts w:hint="default" w:ascii="Times New Roman" w:hAnsi="Times New Roman" w:eastAsia="宋体" w:cs="Times New Roman"/>
                      <w:color w:val="auto"/>
                      <w:highlight w:val="none"/>
                    </w:rPr>
                  </w:pPr>
                </w:p>
              </w:tc>
              <w:tc>
                <w:tcPr>
                  <w:tcW w:w="2452" w:type="dxa"/>
                  <w:gridSpan w:val="2"/>
                  <w:tcBorders>
                    <w:tl2br w:val="nil"/>
                    <w:tr2bl w:val="nil"/>
                  </w:tcBorders>
                  <w:vAlign w:val="center"/>
                </w:tcPr>
                <w:p>
                  <w:pPr>
                    <w:pStyle w:val="113"/>
                    <w:rPr>
                      <w:rFonts w:hint="default" w:ascii="Times New Roman" w:hAnsi="Times New Roman" w:eastAsia="宋体" w:cs="Times New Roman"/>
                      <w:color w:val="auto"/>
                      <w:highlight w:val="none"/>
                    </w:rPr>
                  </w:pPr>
                </w:p>
              </w:tc>
              <w:tc>
                <w:tcPr>
                  <w:tcW w:w="1806" w:type="dxa"/>
                  <w:tcBorders>
                    <w:tl2br w:val="nil"/>
                    <w:tr2bl w:val="nil"/>
                  </w:tcBorders>
                  <w:vAlign w:val="center"/>
                </w:tcPr>
                <w:p>
                  <w:pPr>
                    <w:pStyle w:val="113"/>
                    <w:rPr>
                      <w:rFonts w:hint="default" w:ascii="Times New Roman" w:hAnsi="Times New Roman" w:eastAsia="宋体" w:cs="Times New Roman"/>
                      <w:color w:val="auto"/>
                      <w:highlight w:val="none"/>
                    </w:rPr>
                  </w:pPr>
                </w:p>
              </w:tc>
              <w:tc>
                <w:tcPr>
                  <w:tcW w:w="3389" w:type="dxa"/>
                  <w:tcBorders>
                    <w:tl2br w:val="nil"/>
                    <w:tr2bl w:val="nil"/>
                  </w:tcBorders>
                  <w:vAlign w:val="center"/>
                </w:tcPr>
                <w:p>
                  <w:pPr>
                    <w:pStyle w:val="113"/>
                    <w:rPr>
                      <w:rFonts w:hint="default" w:ascii="Times New Roman" w:hAnsi="Times New Roman" w:eastAsia="宋体" w:cs="Times New Roman"/>
                      <w:color w:val="auto"/>
                      <w:highlight w:val="none"/>
                    </w:rPr>
                  </w:pP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0" w:type="dxa"/>
                  <w:vMerge w:val="continue"/>
                  <w:tcBorders>
                    <w:tl2br w:val="nil"/>
                    <w:tr2bl w:val="nil"/>
                  </w:tcBorders>
                  <w:vAlign w:val="center"/>
                </w:tcPr>
                <w:p>
                  <w:pPr>
                    <w:pStyle w:val="113"/>
                    <w:rPr>
                      <w:rFonts w:hint="default" w:ascii="Times New Roman" w:hAnsi="Times New Roman" w:eastAsia="宋体" w:cs="Times New Roman"/>
                      <w:color w:val="auto"/>
                      <w:highlight w:val="none"/>
                    </w:rPr>
                  </w:pPr>
                </w:p>
              </w:tc>
              <w:tc>
                <w:tcPr>
                  <w:tcW w:w="717" w:type="dxa"/>
                  <w:vMerge w:val="continue"/>
                  <w:tcBorders>
                    <w:tl2br w:val="nil"/>
                    <w:tr2bl w:val="nil"/>
                  </w:tcBorders>
                  <w:vAlign w:val="center"/>
                </w:tcPr>
                <w:p>
                  <w:pPr>
                    <w:pStyle w:val="113"/>
                    <w:rPr>
                      <w:rFonts w:hint="default" w:ascii="Times New Roman" w:hAnsi="Times New Roman" w:eastAsia="宋体" w:cs="Times New Roman"/>
                      <w:color w:val="auto"/>
                      <w:highlight w:val="none"/>
                    </w:rPr>
                  </w:pPr>
                </w:p>
              </w:tc>
              <w:tc>
                <w:tcPr>
                  <w:tcW w:w="2452" w:type="dxa"/>
                  <w:gridSpan w:val="2"/>
                  <w:tcBorders>
                    <w:tl2br w:val="nil"/>
                    <w:tr2bl w:val="nil"/>
                  </w:tcBorders>
                  <w:vAlign w:val="center"/>
                </w:tcPr>
                <w:p>
                  <w:pPr>
                    <w:pStyle w:val="113"/>
                    <w:rPr>
                      <w:rFonts w:hint="default" w:ascii="Times New Roman" w:hAnsi="Times New Roman" w:eastAsia="宋体" w:cs="Times New Roman"/>
                      <w:color w:val="auto"/>
                      <w:highlight w:val="none"/>
                    </w:rPr>
                  </w:pPr>
                </w:p>
              </w:tc>
              <w:tc>
                <w:tcPr>
                  <w:tcW w:w="1806" w:type="dxa"/>
                  <w:tcBorders>
                    <w:tl2br w:val="nil"/>
                    <w:tr2bl w:val="nil"/>
                  </w:tcBorders>
                  <w:vAlign w:val="center"/>
                </w:tcPr>
                <w:p>
                  <w:pPr>
                    <w:pStyle w:val="113"/>
                    <w:rPr>
                      <w:rFonts w:hint="default" w:ascii="Times New Roman" w:hAnsi="Times New Roman" w:eastAsia="宋体" w:cs="Times New Roman"/>
                      <w:color w:val="auto"/>
                      <w:highlight w:val="none"/>
                    </w:rPr>
                  </w:pPr>
                </w:p>
              </w:tc>
              <w:tc>
                <w:tcPr>
                  <w:tcW w:w="3389" w:type="dxa"/>
                  <w:tcBorders>
                    <w:tl2br w:val="nil"/>
                    <w:tr2bl w:val="nil"/>
                  </w:tcBorders>
                  <w:vAlign w:val="center"/>
                </w:tcPr>
                <w:p>
                  <w:pPr>
                    <w:pStyle w:val="113"/>
                    <w:rPr>
                      <w:rFonts w:hint="default" w:ascii="Times New Roman" w:hAnsi="Times New Roman" w:eastAsia="宋体" w:cs="Times New Roman"/>
                      <w:color w:val="auto"/>
                      <w:highlight w:val="none"/>
                      <w:lang w:val="en-US" w:eastAsia="zh-CN"/>
                    </w:rPr>
                  </w:pP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0" w:type="dxa"/>
                  <w:vMerge w:val="continue"/>
                  <w:tcBorders>
                    <w:tl2br w:val="nil"/>
                    <w:tr2bl w:val="nil"/>
                  </w:tcBorders>
                  <w:vAlign w:val="center"/>
                </w:tcPr>
                <w:p>
                  <w:pPr>
                    <w:pStyle w:val="113"/>
                    <w:rPr>
                      <w:rFonts w:hint="default" w:ascii="Times New Roman" w:hAnsi="Times New Roman" w:eastAsia="宋体" w:cs="Times New Roman"/>
                      <w:color w:val="auto"/>
                      <w:highlight w:val="none"/>
                    </w:rPr>
                  </w:pPr>
                </w:p>
              </w:tc>
              <w:tc>
                <w:tcPr>
                  <w:tcW w:w="717" w:type="dxa"/>
                  <w:tcBorders>
                    <w:tl2br w:val="nil"/>
                    <w:tr2bl w:val="nil"/>
                  </w:tcBorders>
                  <w:vAlign w:val="center"/>
                </w:tcPr>
                <w:p>
                  <w:pPr>
                    <w:pStyle w:val="113"/>
                    <w:rPr>
                      <w:rFonts w:hint="default" w:ascii="Times New Roman" w:hAnsi="Times New Roman" w:eastAsia="宋体" w:cs="Times New Roman"/>
                      <w:color w:val="auto"/>
                      <w:highlight w:val="none"/>
                    </w:rPr>
                  </w:pPr>
                </w:p>
              </w:tc>
              <w:tc>
                <w:tcPr>
                  <w:tcW w:w="2452" w:type="dxa"/>
                  <w:gridSpan w:val="2"/>
                  <w:tcBorders>
                    <w:tl2br w:val="nil"/>
                    <w:tr2bl w:val="nil"/>
                  </w:tcBorders>
                  <w:vAlign w:val="center"/>
                </w:tcPr>
                <w:p>
                  <w:pPr>
                    <w:pStyle w:val="113"/>
                    <w:rPr>
                      <w:rFonts w:hint="default" w:ascii="Times New Roman" w:hAnsi="Times New Roman" w:eastAsia="宋体" w:cs="Times New Roman"/>
                      <w:color w:val="auto"/>
                      <w:highlight w:val="none"/>
                    </w:rPr>
                  </w:pPr>
                </w:p>
              </w:tc>
              <w:tc>
                <w:tcPr>
                  <w:tcW w:w="1806" w:type="dxa"/>
                  <w:tcBorders>
                    <w:tl2br w:val="nil"/>
                    <w:tr2bl w:val="nil"/>
                  </w:tcBorders>
                  <w:vAlign w:val="center"/>
                </w:tcPr>
                <w:p>
                  <w:pPr>
                    <w:pStyle w:val="113"/>
                    <w:rPr>
                      <w:rFonts w:hint="default" w:ascii="Times New Roman" w:hAnsi="Times New Roman" w:eastAsia="宋体" w:cs="Times New Roman"/>
                      <w:color w:val="auto"/>
                      <w:highlight w:val="none"/>
                    </w:rPr>
                  </w:pPr>
                </w:p>
              </w:tc>
              <w:tc>
                <w:tcPr>
                  <w:tcW w:w="3389" w:type="dxa"/>
                  <w:tcBorders>
                    <w:tl2br w:val="nil"/>
                    <w:tr2bl w:val="nil"/>
                  </w:tcBorders>
                  <w:vAlign w:val="center"/>
                </w:tcPr>
                <w:p>
                  <w:pPr>
                    <w:pStyle w:val="113"/>
                    <w:rPr>
                      <w:rFonts w:hint="default" w:ascii="Times New Roman" w:hAnsi="Times New Roman" w:eastAsia="宋体" w:cs="Times New Roman"/>
                      <w:color w:val="auto"/>
                      <w:highlight w:val="none"/>
                    </w:rPr>
                  </w:pPr>
                </w:p>
              </w:tc>
            </w:tr>
            <w:tr>
              <w:tblPrEx>
                <w:tblBorders>
                  <w:top w:val="single" w:color="000000" w:sz="12" w:space="0"/>
                  <w:left w:val="none" w:color="auto" w:sz="0" w:space="0"/>
                  <w:bottom w:val="single" w:color="000000"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40" w:type="dxa"/>
                  <w:vMerge w:val="continue"/>
                  <w:tcBorders>
                    <w:tl2br w:val="nil"/>
                    <w:tr2bl w:val="nil"/>
                  </w:tcBorders>
                  <w:vAlign w:val="center"/>
                </w:tcPr>
                <w:p>
                  <w:pPr>
                    <w:pStyle w:val="113"/>
                    <w:rPr>
                      <w:rFonts w:hint="default" w:ascii="Times New Roman" w:hAnsi="Times New Roman" w:eastAsia="宋体" w:cs="Times New Roman"/>
                      <w:color w:val="auto"/>
                      <w:highlight w:val="none"/>
                    </w:rPr>
                  </w:pPr>
                </w:p>
              </w:tc>
              <w:tc>
                <w:tcPr>
                  <w:tcW w:w="717" w:type="dxa"/>
                  <w:tcBorders>
                    <w:tl2br w:val="nil"/>
                    <w:tr2bl w:val="nil"/>
                  </w:tcBorders>
                  <w:vAlign w:val="center"/>
                </w:tcPr>
                <w:p>
                  <w:pPr>
                    <w:pStyle w:val="113"/>
                    <w:rPr>
                      <w:rFonts w:hint="default" w:ascii="Times New Roman" w:hAnsi="Times New Roman" w:eastAsia="宋体" w:cs="Times New Roman"/>
                      <w:color w:val="auto"/>
                      <w:highlight w:val="none"/>
                    </w:rPr>
                  </w:pPr>
                </w:p>
              </w:tc>
              <w:tc>
                <w:tcPr>
                  <w:tcW w:w="2452" w:type="dxa"/>
                  <w:gridSpan w:val="2"/>
                  <w:tcBorders>
                    <w:tl2br w:val="nil"/>
                    <w:tr2bl w:val="nil"/>
                  </w:tcBorders>
                  <w:vAlign w:val="center"/>
                </w:tcPr>
                <w:p>
                  <w:pPr>
                    <w:pStyle w:val="113"/>
                    <w:rPr>
                      <w:rFonts w:hint="default" w:ascii="Times New Roman" w:hAnsi="Times New Roman" w:eastAsia="宋体" w:cs="Times New Roman"/>
                      <w:color w:val="auto"/>
                      <w:highlight w:val="none"/>
                    </w:rPr>
                  </w:pPr>
                </w:p>
              </w:tc>
              <w:tc>
                <w:tcPr>
                  <w:tcW w:w="1806" w:type="dxa"/>
                  <w:tcBorders>
                    <w:tl2br w:val="nil"/>
                    <w:tr2bl w:val="nil"/>
                  </w:tcBorders>
                  <w:vAlign w:val="center"/>
                </w:tcPr>
                <w:p>
                  <w:pPr>
                    <w:pStyle w:val="113"/>
                    <w:rPr>
                      <w:rFonts w:hint="default" w:ascii="Times New Roman" w:hAnsi="Times New Roman" w:eastAsia="宋体" w:cs="Times New Roman"/>
                      <w:color w:val="auto"/>
                      <w:highlight w:val="none"/>
                    </w:rPr>
                  </w:pPr>
                </w:p>
              </w:tc>
              <w:tc>
                <w:tcPr>
                  <w:tcW w:w="3389" w:type="dxa"/>
                  <w:tcBorders>
                    <w:tl2br w:val="nil"/>
                    <w:tr2bl w:val="nil"/>
                  </w:tcBorders>
                  <w:vAlign w:val="center"/>
                </w:tcPr>
                <w:p>
                  <w:pPr>
                    <w:pStyle w:val="113"/>
                    <w:rPr>
                      <w:rFonts w:hint="default" w:ascii="Times New Roman" w:hAnsi="Times New Roman" w:eastAsia="宋体" w:cs="Times New Roman"/>
                      <w:color w:val="auto"/>
                      <w:highlight w:val="none"/>
                    </w:rPr>
                  </w:pPr>
                </w:p>
              </w:tc>
            </w:tr>
          </w:tbl>
          <w:p>
            <w:pPr>
              <w:ind w:firstLine="0" w:firstLineChars="0"/>
              <w:rPr>
                <w:rFonts w:hint="default" w:ascii="Times New Roman" w:hAnsi="Times New Roman" w:eastAsia="宋体" w:cs="Times New Roman"/>
                <w:color w:val="auto"/>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266" w:hRule="atLeast"/>
          <w:jc w:val="center"/>
        </w:trPr>
        <w:tc>
          <w:tcPr>
            <w:tcW w:w="266" w:type="dxa"/>
            <w:vAlign w:val="center"/>
          </w:tcPr>
          <w:p>
            <w:pPr>
              <w:pStyle w:val="113"/>
              <w:jc w:val="both"/>
              <w:rPr>
                <w:rFonts w:hint="default" w:ascii="Times New Roman" w:hAnsi="Times New Roman" w:eastAsia="宋体" w:cs="Times New Roman"/>
                <w:color w:val="auto"/>
                <w:highlight w:val="none"/>
              </w:rPr>
            </w:pPr>
            <w:r>
              <w:rPr>
                <w:rFonts w:hint="default" w:ascii="Times New Roman" w:hAnsi="Times New Roman" w:eastAsia="宋体" w:cs="Times New Roman"/>
                <w:bCs/>
                <w:color w:val="auto"/>
                <w:highlight w:val="none"/>
              </w:rPr>
              <w:t>与项目有关的原有环境污染问题</w:t>
            </w:r>
          </w:p>
        </w:tc>
        <w:tc>
          <w:tcPr>
            <w:tcW w:w="8860" w:type="dxa"/>
            <w:vAlign w:val="center"/>
          </w:tcPr>
          <w:p>
            <w:pPr>
              <w:pStyle w:val="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2.7与项目有关的原有环境污染问题</w:t>
            </w:r>
          </w:p>
          <w:p>
            <w:pPr>
              <w:rPr>
                <w:rFonts w:hint="default" w:ascii="Times New Roman" w:hAnsi="Times New Roman" w:eastAsia="宋体" w:cs="Times New Roman"/>
                <w:color w:val="auto"/>
                <w:highlight w:val="none"/>
                <w:lang w:val="en-US" w:eastAsia="zh-CN"/>
              </w:rPr>
            </w:pPr>
            <w:r>
              <w:rPr>
                <w:rFonts w:hint="eastAsia"/>
                <w:color w:val="auto"/>
                <w:highlight w:val="none"/>
                <w:lang w:val="en-US" w:eastAsia="zh-CN"/>
              </w:rPr>
              <w:t>涉密删除！</w:t>
            </w:r>
            <w:r>
              <w:rPr>
                <w:rFonts w:hint="eastAsia" w:cs="Times New Roman"/>
                <w:color w:val="auto"/>
                <w:sz w:val="21"/>
                <w:szCs w:val="21"/>
                <w:highlight w:val="none"/>
                <w:lang w:val="en-US" w:eastAsia="zh-CN"/>
              </w:rPr>
              <w:t>。</w:t>
            </w:r>
          </w:p>
        </w:tc>
      </w:tr>
    </w:tbl>
    <w:p>
      <w:pPr>
        <w:ind w:firstLine="480"/>
        <w:rPr>
          <w:snapToGrid w:val="0"/>
          <w:color w:val="auto"/>
          <w:highlight w:val="none"/>
        </w:rPr>
        <w:sectPr>
          <w:pgSz w:w="11906" w:h="16838"/>
          <w:pgMar w:top="1418" w:right="1418" w:bottom="1418" w:left="1418" w:header="851" w:footer="851" w:gutter="0"/>
          <w:pgBorders>
            <w:top w:val="none" w:sz="0" w:space="0"/>
            <w:left w:val="none" w:sz="0" w:space="0"/>
            <w:bottom w:val="none" w:sz="0" w:space="0"/>
            <w:right w:val="none" w:sz="0" w:space="0"/>
          </w:pgBorders>
          <w:cols w:space="720" w:num="1"/>
          <w:docGrid w:linePitch="326" w:charSpace="0"/>
        </w:sectPr>
      </w:pPr>
    </w:p>
    <w:p>
      <w:pPr>
        <w:pStyle w:val="2"/>
        <w:ind w:left="0"/>
        <w:rPr>
          <w:snapToGrid w:val="0"/>
          <w:color w:val="auto"/>
          <w:highlight w:val="none"/>
        </w:rPr>
      </w:pPr>
      <w:r>
        <w:rPr>
          <w:snapToGrid w:val="0"/>
          <w:color w:val="auto"/>
          <w:highlight w:val="none"/>
        </w:rPr>
        <w:t>区域环境质量现状、环境保护目标及评价标准</w:t>
      </w:r>
    </w:p>
    <w:tbl>
      <w:tblPr>
        <w:tblStyle w:val="49"/>
        <w:tblW w:w="917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6"/>
        <w:gridCol w:w="875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426" w:type="dxa"/>
            <w:vAlign w:val="center"/>
          </w:tcPr>
          <w:p>
            <w:pPr>
              <w:pStyle w:val="11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区域</w:t>
            </w:r>
          </w:p>
          <w:p>
            <w:pPr>
              <w:pStyle w:val="11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环境</w:t>
            </w:r>
          </w:p>
          <w:p>
            <w:pPr>
              <w:pStyle w:val="11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质量</w:t>
            </w:r>
          </w:p>
          <w:p>
            <w:pPr>
              <w:pStyle w:val="11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现状</w:t>
            </w:r>
          </w:p>
        </w:tc>
        <w:tc>
          <w:tcPr>
            <w:tcW w:w="8752" w:type="dxa"/>
            <w:vAlign w:val="center"/>
          </w:tcPr>
          <w:p>
            <w:pPr>
              <w:pStyle w:val="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3.1环境质量现状</w:t>
            </w:r>
          </w:p>
          <w:p>
            <w:pPr>
              <w:pStyle w:val="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3.1.1大气环境质量现状</w:t>
            </w:r>
          </w:p>
          <w:p>
            <w:pPr>
              <w:ind w:firstLine="480"/>
              <w:rPr>
                <w:rFonts w:hint="default" w:ascii="Times New Roman" w:hAnsi="Times New Roman" w:eastAsia="宋体" w:cs="Times New Roman"/>
                <w:color w:val="auto"/>
                <w:highlight w:val="none"/>
                <w:lang w:val="en-US" w:eastAsia="zh-CN"/>
              </w:rPr>
            </w:pPr>
            <w:r>
              <w:rPr>
                <w:rFonts w:hint="eastAsia" w:cs="Times New Roman"/>
                <w:color w:val="auto"/>
                <w:highlight w:val="none"/>
                <w:lang w:eastAsia="zh-CN"/>
              </w:rPr>
              <w:t>（</w:t>
            </w:r>
            <w:r>
              <w:rPr>
                <w:rFonts w:hint="eastAsia" w:cs="Times New Roman"/>
                <w:color w:val="auto"/>
                <w:highlight w:val="none"/>
                <w:lang w:val="en-US" w:eastAsia="zh-CN"/>
              </w:rPr>
              <w:t>1</w:t>
            </w:r>
            <w:r>
              <w:rPr>
                <w:rFonts w:hint="eastAsia" w:cs="Times New Roman"/>
                <w:color w:val="auto"/>
                <w:highlight w:val="none"/>
                <w:lang w:eastAsia="zh-CN"/>
              </w:rPr>
              <w:t>）</w:t>
            </w:r>
            <w:r>
              <w:rPr>
                <w:rFonts w:hint="eastAsia" w:cs="Times New Roman"/>
                <w:color w:val="auto"/>
                <w:highlight w:val="none"/>
                <w:lang w:val="en-US" w:eastAsia="zh-CN"/>
              </w:rPr>
              <w:t>大气环境质量标准</w:t>
            </w:r>
          </w:p>
          <w:p>
            <w:pPr>
              <w:ind w:firstLine="480"/>
              <w:rPr>
                <w:rFonts w:hint="default" w:ascii="Times New Roman" w:hAnsi="Times New Roman" w:eastAsia="宋体" w:cs="Times New Roman"/>
                <w:color w:val="auto"/>
                <w:highlight w:val="none"/>
              </w:rPr>
            </w:pPr>
            <w:r>
              <w:rPr>
                <w:rFonts w:hint="default"/>
                <w:color w:val="auto"/>
                <w:highlight w:val="none"/>
              </w:rPr>
              <w:t>根据《福州市人民政府关于印发福州市环境空气质量功能区划和福州市声环境质量功能区划的通知》（榕政综〔2014〕30号），</w:t>
            </w:r>
            <w:r>
              <w:rPr>
                <w:rFonts w:hint="eastAsia"/>
                <w:color w:val="auto"/>
                <w:highlight w:val="none"/>
                <w:lang w:val="en-US" w:eastAsia="zh-CN"/>
              </w:rPr>
              <w:t>技改</w:t>
            </w:r>
            <w:r>
              <w:rPr>
                <w:rFonts w:hint="default"/>
                <w:color w:val="auto"/>
                <w:highlight w:val="none"/>
              </w:rPr>
              <w:t>项目位于福州市长乐区营前街道，区域环境空气质量功能区为二类区域，环境空气执行《环境空气质量标准》（GB3095-2012）中的二级标准。</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r>
              <w:rPr>
                <w:rFonts w:hint="eastAsia" w:cs="Times New Roman"/>
                <w:color w:val="auto"/>
                <w:highlight w:val="none"/>
                <w:lang w:val="en-US" w:eastAsia="zh-CN"/>
              </w:rPr>
              <w:t>2</w:t>
            </w:r>
            <w:r>
              <w:rPr>
                <w:rFonts w:hint="default" w:ascii="Times New Roman" w:hAnsi="Times New Roman" w:eastAsia="宋体" w:cs="Times New Roman"/>
                <w:color w:val="auto"/>
                <w:highlight w:val="none"/>
              </w:rPr>
              <w:t>）达标区分析</w:t>
            </w:r>
          </w:p>
          <w:p>
            <w:pPr>
              <w:ind w:firstLine="480"/>
              <w:rPr>
                <w:rFonts w:hint="default" w:ascii="Times New Roman" w:hAnsi="Times New Roman" w:eastAsia="宋体" w:cs="Times New Roman"/>
                <w:color w:val="auto"/>
                <w:kern w:val="0"/>
                <w:szCs w:val="24"/>
                <w:highlight w:val="none"/>
                <w:lang w:val="zh-CN"/>
              </w:rPr>
            </w:pPr>
            <w:r>
              <w:rPr>
                <w:rFonts w:hint="default" w:ascii="Times New Roman" w:hAnsi="Times New Roman" w:eastAsia="宋体" w:cs="Times New Roman"/>
                <w:color w:val="auto"/>
                <w:kern w:val="0"/>
                <w:szCs w:val="24"/>
                <w:highlight w:val="none"/>
                <w:lang w:val="zh-CN"/>
              </w:rPr>
              <w:t>根据《环境影响评价技术导则大气环境》</w:t>
            </w:r>
            <w:r>
              <w:rPr>
                <w:rFonts w:hint="eastAsia" w:ascii="Times New Roman" w:hAnsi="Times New Roman" w:eastAsia="宋体" w:cs="Times New Roman"/>
                <w:color w:val="auto"/>
                <w:kern w:val="0"/>
                <w:szCs w:val="24"/>
                <w:highlight w:val="none"/>
                <w:lang w:val="en-US" w:eastAsia="zh-CN"/>
              </w:rPr>
              <w:t>(</w:t>
            </w:r>
            <w:r>
              <w:rPr>
                <w:rFonts w:hint="default" w:ascii="Times New Roman" w:hAnsi="Times New Roman" w:eastAsia="宋体" w:cs="Times New Roman"/>
                <w:color w:val="auto"/>
                <w:kern w:val="0"/>
                <w:szCs w:val="24"/>
                <w:highlight w:val="none"/>
                <w:lang w:val="zh-CN"/>
              </w:rPr>
              <w:t>HJ2.2-2018</w:t>
            </w:r>
            <w:r>
              <w:rPr>
                <w:rFonts w:hint="eastAsia" w:ascii="Times New Roman" w:hAnsi="Times New Roman" w:eastAsia="宋体" w:cs="Times New Roman"/>
                <w:color w:val="auto"/>
                <w:kern w:val="0"/>
                <w:szCs w:val="24"/>
                <w:highlight w:val="none"/>
                <w:lang w:val="en-US" w:eastAsia="zh-CN"/>
              </w:rPr>
              <w:t>)</w:t>
            </w:r>
            <w:r>
              <w:rPr>
                <w:rFonts w:hint="default" w:ascii="Times New Roman" w:hAnsi="Times New Roman" w:eastAsia="宋体" w:cs="Times New Roman"/>
                <w:color w:val="auto"/>
                <w:kern w:val="0"/>
                <w:szCs w:val="24"/>
                <w:highlight w:val="none"/>
                <w:lang w:val="zh-CN"/>
              </w:rPr>
              <w:t>中环境空气质量现状调查与评价，项目所在区域的基本污染物环境质量现状数据优先采用国家或地方生态环境主管部门公开发布的评价基准年环境质量公告数据或结论。</w:t>
            </w:r>
          </w:p>
          <w:p>
            <w:pPr>
              <w:ind w:firstLine="480"/>
              <w:rPr>
                <w:rFonts w:hint="default" w:ascii="Times New Roman" w:hAnsi="Times New Roman" w:eastAsia="宋体" w:cs="Times New Roman"/>
                <w:color w:val="auto"/>
                <w:kern w:val="0"/>
                <w:szCs w:val="24"/>
                <w:highlight w:val="none"/>
                <w:lang w:val="zh-CN"/>
              </w:rPr>
            </w:pPr>
            <w:r>
              <w:rPr>
                <w:rFonts w:hint="default" w:ascii="Times New Roman" w:hAnsi="Times New Roman" w:eastAsia="宋体" w:cs="Times New Roman"/>
                <w:color w:val="auto"/>
                <w:kern w:val="0"/>
                <w:szCs w:val="24"/>
                <w:highlight w:val="none"/>
                <w:lang w:val="zh-CN"/>
              </w:rPr>
              <w:t>根据福州市长乐区人民政府网站公布的2024年1月-12月福州市长乐区环境质量月通报报表可知，长乐区</w:t>
            </w:r>
            <w:r>
              <w:rPr>
                <w:rFonts w:hint="default" w:ascii="Times New Roman" w:hAnsi="Times New Roman" w:eastAsia="宋体" w:cs="Times New Roman"/>
                <w:color w:val="auto"/>
                <w:kern w:val="0"/>
                <w:szCs w:val="24"/>
                <w:highlight w:val="none"/>
              </w:rPr>
              <w:t>2024</w:t>
            </w:r>
            <w:r>
              <w:rPr>
                <w:rFonts w:hint="default" w:ascii="Times New Roman" w:hAnsi="Times New Roman" w:eastAsia="宋体" w:cs="Times New Roman"/>
                <w:color w:val="auto"/>
                <w:kern w:val="0"/>
                <w:szCs w:val="24"/>
                <w:highlight w:val="none"/>
                <w:lang w:val="zh-CN"/>
              </w:rPr>
              <w:t>年连续 1 年的大气常规因子环境空气质量监测数据如下：</w:t>
            </w:r>
          </w:p>
          <w:p>
            <w:pPr>
              <w:spacing w:line="240" w:lineRule="auto"/>
              <w:ind w:firstLine="0" w:firstLineChars="0"/>
              <w:jc w:val="center"/>
              <w:rPr>
                <w:rFonts w:hint="default" w:ascii="Times New Roman" w:hAnsi="Times New Roman" w:eastAsia="宋体" w:cs="Times New Roman"/>
                <w:b/>
                <w:bCs/>
                <w:color w:val="auto"/>
                <w:szCs w:val="28"/>
                <w:highlight w:val="none"/>
              </w:rPr>
            </w:pPr>
            <w:r>
              <w:rPr>
                <w:rFonts w:hint="default" w:ascii="Times New Roman" w:hAnsi="Times New Roman" w:eastAsia="宋体" w:cs="Times New Roman"/>
                <w:b/>
                <w:bCs/>
                <w:color w:val="auto"/>
                <w:szCs w:val="28"/>
                <w:highlight w:val="none"/>
              </w:rPr>
              <w:t>表3.1-1 福州市长乐区 2024 年 1 月份～2024 年 12 月份环境空气质量统计</w:t>
            </w:r>
          </w:p>
          <w:tbl>
            <w:tblPr>
              <w:tblStyle w:val="49"/>
              <w:tblW w:w="8536" w:type="dxa"/>
              <w:jc w:val="center"/>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2098"/>
              <w:gridCol w:w="972"/>
              <w:gridCol w:w="1037"/>
              <w:gridCol w:w="1037"/>
              <w:gridCol w:w="1050"/>
              <w:gridCol w:w="1149"/>
              <w:gridCol w:w="1193"/>
            </w:tblGrid>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098" w:type="dxa"/>
                  <w:vMerge w:val="restart"/>
                  <w:tcBorders>
                    <w:tl2br w:val="nil"/>
                    <w:tr2bl w:val="nil"/>
                  </w:tcBorders>
                  <w:shd w:val="clear" w:color="auto" w:fill="auto"/>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时间</w:t>
                  </w:r>
                </w:p>
              </w:tc>
              <w:tc>
                <w:tcPr>
                  <w:tcW w:w="6438" w:type="dxa"/>
                  <w:gridSpan w:val="6"/>
                  <w:tcBorders>
                    <w:tl2br w:val="nil"/>
                    <w:tr2bl w:val="nil"/>
                  </w:tcBorders>
                  <w:shd w:val="clear" w:color="auto" w:fill="auto"/>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月均值 mg/m</w:t>
                  </w:r>
                  <w:r>
                    <w:rPr>
                      <w:rFonts w:hint="default" w:ascii="Times New Roman" w:hAnsi="Times New Roman" w:eastAsia="宋体" w:cs="Times New Roman"/>
                      <w:color w:val="auto"/>
                      <w:highlight w:val="none"/>
                      <w:vertAlign w:val="superscript"/>
                    </w:rPr>
                    <w:t>3</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098" w:type="dxa"/>
                  <w:vMerge w:val="continue"/>
                  <w:tcBorders>
                    <w:tl2br w:val="nil"/>
                    <w:tr2bl w:val="nil"/>
                  </w:tcBorders>
                  <w:shd w:val="clear" w:color="auto" w:fill="auto"/>
                  <w:vAlign w:val="center"/>
                </w:tcPr>
                <w:p>
                  <w:pPr>
                    <w:pStyle w:val="530"/>
                    <w:tabs>
                      <w:tab w:val="left" w:pos="0"/>
                    </w:tabs>
                    <w:rPr>
                      <w:rFonts w:hint="default" w:ascii="Times New Roman" w:hAnsi="Times New Roman" w:eastAsia="宋体" w:cs="Times New Roman"/>
                      <w:color w:val="auto"/>
                      <w:highlight w:val="none"/>
                    </w:rPr>
                  </w:pPr>
                </w:p>
              </w:tc>
              <w:tc>
                <w:tcPr>
                  <w:tcW w:w="972" w:type="dxa"/>
                  <w:tcBorders>
                    <w:tl2br w:val="nil"/>
                    <w:tr2bl w:val="nil"/>
                  </w:tcBorders>
                  <w:shd w:val="clear" w:color="auto" w:fill="auto"/>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SO</w:t>
                  </w:r>
                  <w:r>
                    <w:rPr>
                      <w:rFonts w:hint="default" w:ascii="Times New Roman" w:hAnsi="Times New Roman" w:eastAsia="宋体" w:cs="Times New Roman"/>
                      <w:color w:val="auto"/>
                      <w:highlight w:val="none"/>
                      <w:vertAlign w:val="subscript"/>
                    </w:rPr>
                    <w:t>2</w:t>
                  </w:r>
                </w:p>
              </w:tc>
              <w:tc>
                <w:tcPr>
                  <w:tcW w:w="1037" w:type="dxa"/>
                  <w:tcBorders>
                    <w:tl2br w:val="nil"/>
                    <w:tr2bl w:val="nil"/>
                  </w:tcBorders>
                  <w:shd w:val="clear" w:color="auto" w:fill="auto"/>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NO</w:t>
                  </w:r>
                  <w:r>
                    <w:rPr>
                      <w:rFonts w:hint="default" w:ascii="Times New Roman" w:hAnsi="Times New Roman" w:eastAsia="宋体" w:cs="Times New Roman"/>
                      <w:color w:val="auto"/>
                      <w:highlight w:val="none"/>
                      <w:vertAlign w:val="subscript"/>
                    </w:rPr>
                    <w:t>2</w:t>
                  </w:r>
                </w:p>
              </w:tc>
              <w:tc>
                <w:tcPr>
                  <w:tcW w:w="1037" w:type="dxa"/>
                  <w:tcBorders>
                    <w:tl2br w:val="nil"/>
                    <w:tr2bl w:val="nil"/>
                  </w:tcBorders>
                  <w:shd w:val="clear" w:color="auto" w:fill="auto"/>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PM</w:t>
                  </w:r>
                  <w:r>
                    <w:rPr>
                      <w:rFonts w:hint="default" w:ascii="Times New Roman" w:hAnsi="Times New Roman" w:eastAsia="宋体" w:cs="Times New Roman"/>
                      <w:color w:val="auto"/>
                      <w:highlight w:val="none"/>
                      <w:vertAlign w:val="subscript"/>
                    </w:rPr>
                    <w:t>10</w:t>
                  </w:r>
                </w:p>
              </w:tc>
              <w:tc>
                <w:tcPr>
                  <w:tcW w:w="1050" w:type="dxa"/>
                  <w:tcBorders>
                    <w:tl2br w:val="nil"/>
                    <w:tr2bl w:val="nil"/>
                  </w:tcBorders>
                  <w:shd w:val="clear" w:color="auto" w:fill="auto"/>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CO</w:t>
                  </w:r>
                </w:p>
              </w:tc>
              <w:tc>
                <w:tcPr>
                  <w:tcW w:w="1149" w:type="dxa"/>
                  <w:tcBorders>
                    <w:tl2br w:val="nil"/>
                    <w:tr2bl w:val="nil"/>
                  </w:tcBorders>
                  <w:shd w:val="clear" w:color="auto" w:fill="auto"/>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O</w:t>
                  </w:r>
                  <w:r>
                    <w:rPr>
                      <w:rFonts w:hint="default" w:ascii="Times New Roman" w:hAnsi="Times New Roman" w:eastAsia="宋体" w:cs="Times New Roman"/>
                      <w:color w:val="auto"/>
                      <w:highlight w:val="none"/>
                      <w:vertAlign w:val="subscript"/>
                    </w:rPr>
                    <w:t>3</w:t>
                  </w:r>
                  <w:r>
                    <w:rPr>
                      <w:rFonts w:hint="default" w:ascii="Times New Roman" w:hAnsi="Times New Roman" w:eastAsia="宋体" w:cs="Times New Roman"/>
                      <w:color w:val="auto"/>
                      <w:highlight w:val="none"/>
                    </w:rPr>
                    <w:t>-8h</w:t>
                  </w:r>
                </w:p>
              </w:tc>
              <w:tc>
                <w:tcPr>
                  <w:tcW w:w="1193" w:type="dxa"/>
                  <w:tcBorders>
                    <w:tl2br w:val="nil"/>
                    <w:tr2bl w:val="nil"/>
                  </w:tcBorders>
                  <w:shd w:val="clear" w:color="auto" w:fill="auto"/>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  PM2.5</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098" w:type="dxa"/>
                  <w:tcBorders>
                    <w:tl2br w:val="nil"/>
                    <w:tr2bl w:val="nil"/>
                  </w:tcBorders>
                  <w:shd w:val="clear" w:color="auto" w:fill="auto"/>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2024年1月</w:t>
                  </w:r>
                </w:p>
              </w:tc>
              <w:tc>
                <w:tcPr>
                  <w:tcW w:w="972" w:type="dxa"/>
                  <w:tcBorders>
                    <w:tl2br w:val="nil"/>
                    <w:tr2bl w:val="nil"/>
                  </w:tcBorders>
                  <w:shd w:val="clear" w:color="auto" w:fill="auto"/>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0.004 </w:t>
                  </w:r>
                </w:p>
              </w:tc>
              <w:tc>
                <w:tcPr>
                  <w:tcW w:w="1037" w:type="dxa"/>
                  <w:tcBorders>
                    <w:tl2br w:val="nil"/>
                    <w:tr2bl w:val="nil"/>
                  </w:tcBorders>
                  <w:shd w:val="clear" w:color="auto" w:fill="auto"/>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0.021 </w:t>
                  </w:r>
                </w:p>
              </w:tc>
              <w:tc>
                <w:tcPr>
                  <w:tcW w:w="1037" w:type="dxa"/>
                  <w:tcBorders>
                    <w:tl2br w:val="nil"/>
                    <w:tr2bl w:val="nil"/>
                  </w:tcBorders>
                  <w:shd w:val="clear" w:color="auto" w:fill="auto"/>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0.049 </w:t>
                  </w:r>
                </w:p>
              </w:tc>
              <w:tc>
                <w:tcPr>
                  <w:tcW w:w="1050" w:type="dxa"/>
                  <w:tcBorders>
                    <w:tl2br w:val="nil"/>
                    <w:tr2bl w:val="nil"/>
                  </w:tcBorders>
                  <w:shd w:val="clear" w:color="auto" w:fill="auto"/>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0.7 </w:t>
                  </w:r>
                </w:p>
              </w:tc>
              <w:tc>
                <w:tcPr>
                  <w:tcW w:w="1149" w:type="dxa"/>
                  <w:tcBorders>
                    <w:tl2br w:val="nil"/>
                    <w:tr2bl w:val="nil"/>
                  </w:tcBorders>
                  <w:shd w:val="clear" w:color="auto" w:fill="auto"/>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0.089 </w:t>
                  </w:r>
                </w:p>
              </w:tc>
              <w:tc>
                <w:tcPr>
                  <w:tcW w:w="1193" w:type="dxa"/>
                  <w:tcBorders>
                    <w:tl2br w:val="nil"/>
                    <w:tr2bl w:val="nil"/>
                  </w:tcBorders>
                  <w:shd w:val="clear" w:color="auto" w:fill="auto"/>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    0.032 </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098" w:type="dxa"/>
                  <w:tcBorders>
                    <w:tl2br w:val="nil"/>
                    <w:tr2bl w:val="nil"/>
                  </w:tcBorders>
                  <w:shd w:val="clear" w:color="auto" w:fill="auto"/>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2024年</w:t>
                  </w:r>
                  <w:r>
                    <w:rPr>
                      <w:rFonts w:hint="default"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rPr>
                    <w:t>月</w:t>
                  </w:r>
                </w:p>
              </w:tc>
              <w:tc>
                <w:tcPr>
                  <w:tcW w:w="972" w:type="dxa"/>
                  <w:tcBorders>
                    <w:tl2br w:val="nil"/>
                    <w:tr2bl w:val="nil"/>
                  </w:tcBorders>
                  <w:shd w:val="clear" w:color="auto" w:fill="auto"/>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0.004 </w:t>
                  </w:r>
                </w:p>
              </w:tc>
              <w:tc>
                <w:tcPr>
                  <w:tcW w:w="1037" w:type="dxa"/>
                  <w:tcBorders>
                    <w:tl2br w:val="nil"/>
                    <w:tr2bl w:val="nil"/>
                  </w:tcBorders>
                  <w:shd w:val="clear" w:color="auto" w:fill="auto"/>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0.010 </w:t>
                  </w:r>
                </w:p>
              </w:tc>
              <w:tc>
                <w:tcPr>
                  <w:tcW w:w="1037" w:type="dxa"/>
                  <w:tcBorders>
                    <w:tl2br w:val="nil"/>
                    <w:tr2bl w:val="nil"/>
                  </w:tcBorders>
                  <w:shd w:val="clear" w:color="auto" w:fill="auto"/>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0.031 </w:t>
                  </w:r>
                </w:p>
              </w:tc>
              <w:tc>
                <w:tcPr>
                  <w:tcW w:w="1050" w:type="dxa"/>
                  <w:tcBorders>
                    <w:tl2br w:val="nil"/>
                    <w:tr2bl w:val="nil"/>
                  </w:tcBorders>
                  <w:shd w:val="clear" w:color="auto" w:fill="auto"/>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0.6 </w:t>
                  </w:r>
                </w:p>
              </w:tc>
              <w:tc>
                <w:tcPr>
                  <w:tcW w:w="1149" w:type="dxa"/>
                  <w:tcBorders>
                    <w:tl2br w:val="nil"/>
                    <w:tr2bl w:val="nil"/>
                  </w:tcBorders>
                  <w:shd w:val="clear" w:color="auto" w:fill="auto"/>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0.078 </w:t>
                  </w:r>
                </w:p>
              </w:tc>
              <w:tc>
                <w:tcPr>
                  <w:tcW w:w="1193" w:type="dxa"/>
                  <w:tcBorders>
                    <w:tl2br w:val="nil"/>
                    <w:tr2bl w:val="nil"/>
                  </w:tcBorders>
                  <w:shd w:val="clear" w:color="auto" w:fill="auto"/>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    0.023 </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098" w:type="dxa"/>
                  <w:tcBorders>
                    <w:tl2br w:val="nil"/>
                    <w:tr2bl w:val="nil"/>
                  </w:tcBorders>
                  <w:shd w:val="clear" w:color="auto" w:fill="auto"/>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2024年</w:t>
                  </w: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rPr>
                    <w:t>月</w:t>
                  </w:r>
                </w:p>
              </w:tc>
              <w:tc>
                <w:tcPr>
                  <w:tcW w:w="972" w:type="dxa"/>
                  <w:tcBorders>
                    <w:tl2br w:val="nil"/>
                    <w:tr2bl w:val="nil"/>
                  </w:tcBorders>
                  <w:shd w:val="clear" w:color="auto" w:fill="auto"/>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0.005 </w:t>
                  </w:r>
                </w:p>
              </w:tc>
              <w:tc>
                <w:tcPr>
                  <w:tcW w:w="1037" w:type="dxa"/>
                  <w:tcBorders>
                    <w:tl2br w:val="nil"/>
                    <w:tr2bl w:val="nil"/>
                  </w:tcBorders>
                  <w:shd w:val="clear" w:color="auto" w:fill="auto"/>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0.019 </w:t>
                  </w:r>
                </w:p>
              </w:tc>
              <w:tc>
                <w:tcPr>
                  <w:tcW w:w="1037" w:type="dxa"/>
                  <w:tcBorders>
                    <w:tl2br w:val="nil"/>
                    <w:tr2bl w:val="nil"/>
                  </w:tcBorders>
                  <w:shd w:val="clear" w:color="auto" w:fill="auto"/>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0.044 </w:t>
                  </w:r>
                </w:p>
              </w:tc>
              <w:tc>
                <w:tcPr>
                  <w:tcW w:w="1050" w:type="dxa"/>
                  <w:tcBorders>
                    <w:tl2br w:val="nil"/>
                    <w:tr2bl w:val="nil"/>
                  </w:tcBorders>
                  <w:shd w:val="clear" w:color="auto" w:fill="auto"/>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0.6 </w:t>
                  </w:r>
                </w:p>
              </w:tc>
              <w:tc>
                <w:tcPr>
                  <w:tcW w:w="1149" w:type="dxa"/>
                  <w:tcBorders>
                    <w:tl2br w:val="nil"/>
                    <w:tr2bl w:val="nil"/>
                  </w:tcBorders>
                  <w:shd w:val="clear" w:color="auto" w:fill="auto"/>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0.101 </w:t>
                  </w:r>
                </w:p>
              </w:tc>
              <w:tc>
                <w:tcPr>
                  <w:tcW w:w="1193" w:type="dxa"/>
                  <w:tcBorders>
                    <w:tl2br w:val="nil"/>
                    <w:tr2bl w:val="nil"/>
                  </w:tcBorders>
                  <w:shd w:val="clear" w:color="auto" w:fill="auto"/>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    0.024 </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098" w:type="dxa"/>
                  <w:tcBorders>
                    <w:tl2br w:val="nil"/>
                    <w:tr2bl w:val="nil"/>
                  </w:tcBorders>
                  <w:shd w:val="clear" w:color="auto" w:fill="auto"/>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2024年</w:t>
                  </w:r>
                  <w:r>
                    <w:rPr>
                      <w:rFonts w:hint="default" w:ascii="Times New Roman" w:hAnsi="Times New Roman" w:eastAsia="宋体" w:cs="Times New Roman"/>
                      <w:color w:val="auto"/>
                      <w:highlight w:val="none"/>
                      <w:lang w:val="en-US" w:eastAsia="zh-CN"/>
                    </w:rPr>
                    <w:t>4</w:t>
                  </w:r>
                  <w:r>
                    <w:rPr>
                      <w:rFonts w:hint="default" w:ascii="Times New Roman" w:hAnsi="Times New Roman" w:eastAsia="宋体" w:cs="Times New Roman"/>
                      <w:color w:val="auto"/>
                      <w:highlight w:val="none"/>
                    </w:rPr>
                    <w:t>月</w:t>
                  </w:r>
                </w:p>
              </w:tc>
              <w:tc>
                <w:tcPr>
                  <w:tcW w:w="972" w:type="dxa"/>
                  <w:tcBorders>
                    <w:tl2br w:val="nil"/>
                    <w:tr2bl w:val="nil"/>
                  </w:tcBorders>
                  <w:shd w:val="clear" w:color="auto" w:fill="auto"/>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0.003 </w:t>
                  </w:r>
                </w:p>
              </w:tc>
              <w:tc>
                <w:tcPr>
                  <w:tcW w:w="1037" w:type="dxa"/>
                  <w:tcBorders>
                    <w:tl2br w:val="nil"/>
                    <w:tr2bl w:val="nil"/>
                  </w:tcBorders>
                  <w:shd w:val="clear" w:color="auto" w:fill="auto"/>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0.012 </w:t>
                  </w:r>
                </w:p>
              </w:tc>
              <w:tc>
                <w:tcPr>
                  <w:tcW w:w="1037" w:type="dxa"/>
                  <w:tcBorders>
                    <w:tl2br w:val="nil"/>
                    <w:tr2bl w:val="nil"/>
                  </w:tcBorders>
                  <w:shd w:val="clear" w:color="auto" w:fill="auto"/>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0.038 </w:t>
                  </w:r>
                </w:p>
              </w:tc>
              <w:tc>
                <w:tcPr>
                  <w:tcW w:w="1050" w:type="dxa"/>
                  <w:tcBorders>
                    <w:tl2br w:val="nil"/>
                    <w:tr2bl w:val="nil"/>
                  </w:tcBorders>
                  <w:shd w:val="clear" w:color="auto" w:fill="auto"/>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0.5 </w:t>
                  </w:r>
                </w:p>
              </w:tc>
              <w:tc>
                <w:tcPr>
                  <w:tcW w:w="1149" w:type="dxa"/>
                  <w:tcBorders>
                    <w:tl2br w:val="nil"/>
                    <w:tr2bl w:val="nil"/>
                  </w:tcBorders>
                  <w:shd w:val="clear" w:color="auto" w:fill="auto"/>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0.101 </w:t>
                  </w:r>
                </w:p>
              </w:tc>
              <w:tc>
                <w:tcPr>
                  <w:tcW w:w="1193" w:type="dxa"/>
                  <w:tcBorders>
                    <w:tl2br w:val="nil"/>
                    <w:tr2bl w:val="nil"/>
                  </w:tcBorders>
                  <w:shd w:val="clear" w:color="auto" w:fill="auto"/>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    0.023 </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098" w:type="dxa"/>
                  <w:tcBorders>
                    <w:tl2br w:val="nil"/>
                    <w:tr2bl w:val="nil"/>
                  </w:tcBorders>
                  <w:shd w:val="clear" w:color="auto" w:fill="auto"/>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2024年</w:t>
                  </w:r>
                  <w:r>
                    <w:rPr>
                      <w:rFonts w:hint="default"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rPr>
                    <w:t>月</w:t>
                  </w:r>
                </w:p>
              </w:tc>
              <w:tc>
                <w:tcPr>
                  <w:tcW w:w="972" w:type="dxa"/>
                  <w:tcBorders>
                    <w:tl2br w:val="nil"/>
                    <w:tr2bl w:val="nil"/>
                  </w:tcBorders>
                  <w:shd w:val="clear" w:color="auto" w:fill="auto"/>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0.003 </w:t>
                  </w:r>
                </w:p>
              </w:tc>
              <w:tc>
                <w:tcPr>
                  <w:tcW w:w="1037" w:type="dxa"/>
                  <w:tcBorders>
                    <w:tl2br w:val="nil"/>
                    <w:tr2bl w:val="nil"/>
                  </w:tcBorders>
                  <w:shd w:val="clear" w:color="auto" w:fill="auto"/>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0.010 </w:t>
                  </w:r>
                </w:p>
              </w:tc>
              <w:tc>
                <w:tcPr>
                  <w:tcW w:w="1037" w:type="dxa"/>
                  <w:tcBorders>
                    <w:tl2br w:val="nil"/>
                    <w:tr2bl w:val="nil"/>
                  </w:tcBorders>
                  <w:shd w:val="clear" w:color="auto" w:fill="auto"/>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0.025 </w:t>
                  </w:r>
                </w:p>
              </w:tc>
              <w:tc>
                <w:tcPr>
                  <w:tcW w:w="1050" w:type="dxa"/>
                  <w:tcBorders>
                    <w:tl2br w:val="nil"/>
                    <w:tr2bl w:val="nil"/>
                  </w:tcBorders>
                  <w:shd w:val="clear" w:color="auto" w:fill="auto"/>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0.5 </w:t>
                  </w:r>
                </w:p>
              </w:tc>
              <w:tc>
                <w:tcPr>
                  <w:tcW w:w="1149" w:type="dxa"/>
                  <w:tcBorders>
                    <w:tl2br w:val="nil"/>
                    <w:tr2bl w:val="nil"/>
                  </w:tcBorders>
                  <w:shd w:val="clear" w:color="auto" w:fill="auto"/>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0.105 </w:t>
                  </w:r>
                </w:p>
              </w:tc>
              <w:tc>
                <w:tcPr>
                  <w:tcW w:w="1193" w:type="dxa"/>
                  <w:tcBorders>
                    <w:tl2br w:val="nil"/>
                    <w:tr2bl w:val="nil"/>
                  </w:tcBorders>
                  <w:shd w:val="clear" w:color="auto" w:fill="auto"/>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    0.014 </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098" w:type="dxa"/>
                  <w:tcBorders>
                    <w:tl2br w:val="nil"/>
                    <w:tr2bl w:val="nil"/>
                  </w:tcBorders>
                  <w:shd w:val="clear" w:color="auto" w:fill="auto"/>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2024年</w:t>
                  </w:r>
                  <w:r>
                    <w:rPr>
                      <w:rFonts w:hint="default" w:ascii="Times New Roman" w:hAnsi="Times New Roman" w:eastAsia="宋体" w:cs="Times New Roman"/>
                      <w:color w:val="auto"/>
                      <w:highlight w:val="none"/>
                      <w:lang w:val="en-US" w:eastAsia="zh-CN"/>
                    </w:rPr>
                    <w:t>6</w:t>
                  </w:r>
                  <w:r>
                    <w:rPr>
                      <w:rFonts w:hint="default" w:ascii="Times New Roman" w:hAnsi="Times New Roman" w:eastAsia="宋体" w:cs="Times New Roman"/>
                      <w:color w:val="auto"/>
                      <w:highlight w:val="none"/>
                    </w:rPr>
                    <w:t>月</w:t>
                  </w:r>
                </w:p>
              </w:tc>
              <w:tc>
                <w:tcPr>
                  <w:tcW w:w="972" w:type="dxa"/>
                  <w:tcBorders>
                    <w:tl2br w:val="nil"/>
                    <w:tr2bl w:val="nil"/>
                  </w:tcBorders>
                  <w:shd w:val="clear" w:color="auto" w:fill="auto"/>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0.003 </w:t>
                  </w:r>
                </w:p>
              </w:tc>
              <w:tc>
                <w:tcPr>
                  <w:tcW w:w="1037" w:type="dxa"/>
                  <w:tcBorders>
                    <w:tl2br w:val="nil"/>
                    <w:tr2bl w:val="nil"/>
                  </w:tcBorders>
                  <w:shd w:val="clear" w:color="auto" w:fill="auto"/>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0.009 </w:t>
                  </w:r>
                </w:p>
              </w:tc>
              <w:tc>
                <w:tcPr>
                  <w:tcW w:w="1037" w:type="dxa"/>
                  <w:tcBorders>
                    <w:tl2br w:val="nil"/>
                    <w:tr2bl w:val="nil"/>
                  </w:tcBorders>
                  <w:shd w:val="clear" w:color="auto" w:fill="auto"/>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0.019 </w:t>
                  </w:r>
                </w:p>
              </w:tc>
              <w:tc>
                <w:tcPr>
                  <w:tcW w:w="1050" w:type="dxa"/>
                  <w:tcBorders>
                    <w:tl2br w:val="nil"/>
                    <w:tr2bl w:val="nil"/>
                  </w:tcBorders>
                  <w:shd w:val="clear" w:color="auto" w:fill="auto"/>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0.5 </w:t>
                  </w:r>
                </w:p>
              </w:tc>
              <w:tc>
                <w:tcPr>
                  <w:tcW w:w="1149" w:type="dxa"/>
                  <w:tcBorders>
                    <w:tl2br w:val="nil"/>
                    <w:tr2bl w:val="nil"/>
                  </w:tcBorders>
                  <w:shd w:val="clear" w:color="auto" w:fill="auto"/>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0.085 </w:t>
                  </w:r>
                </w:p>
              </w:tc>
              <w:tc>
                <w:tcPr>
                  <w:tcW w:w="1193" w:type="dxa"/>
                  <w:tcBorders>
                    <w:tl2br w:val="nil"/>
                    <w:tr2bl w:val="nil"/>
                  </w:tcBorders>
                  <w:shd w:val="clear" w:color="auto" w:fill="auto"/>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    0.011 </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098" w:type="dxa"/>
                  <w:tcBorders>
                    <w:tl2br w:val="nil"/>
                    <w:tr2bl w:val="nil"/>
                  </w:tcBorders>
                  <w:shd w:val="clear" w:color="auto" w:fill="auto"/>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2024年</w:t>
                  </w:r>
                  <w:r>
                    <w:rPr>
                      <w:rFonts w:hint="default" w:ascii="Times New Roman" w:hAnsi="Times New Roman" w:eastAsia="宋体" w:cs="Times New Roman"/>
                      <w:color w:val="auto"/>
                      <w:highlight w:val="none"/>
                      <w:lang w:val="en-US" w:eastAsia="zh-CN"/>
                    </w:rPr>
                    <w:t>7</w:t>
                  </w:r>
                  <w:r>
                    <w:rPr>
                      <w:rFonts w:hint="default" w:ascii="Times New Roman" w:hAnsi="Times New Roman" w:eastAsia="宋体" w:cs="Times New Roman"/>
                      <w:color w:val="auto"/>
                      <w:highlight w:val="none"/>
                    </w:rPr>
                    <w:t>月</w:t>
                  </w:r>
                </w:p>
              </w:tc>
              <w:tc>
                <w:tcPr>
                  <w:tcW w:w="972" w:type="dxa"/>
                  <w:tcBorders>
                    <w:tl2br w:val="nil"/>
                    <w:tr2bl w:val="nil"/>
                  </w:tcBorders>
                  <w:shd w:val="clear" w:color="auto" w:fill="auto"/>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0.004 </w:t>
                  </w:r>
                </w:p>
              </w:tc>
              <w:tc>
                <w:tcPr>
                  <w:tcW w:w="1037" w:type="dxa"/>
                  <w:tcBorders>
                    <w:tl2br w:val="nil"/>
                    <w:tr2bl w:val="nil"/>
                  </w:tcBorders>
                  <w:shd w:val="clear" w:color="auto" w:fill="auto"/>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0.006 </w:t>
                  </w:r>
                </w:p>
              </w:tc>
              <w:tc>
                <w:tcPr>
                  <w:tcW w:w="1037" w:type="dxa"/>
                  <w:tcBorders>
                    <w:tl2br w:val="nil"/>
                    <w:tr2bl w:val="nil"/>
                  </w:tcBorders>
                  <w:shd w:val="clear" w:color="auto" w:fill="auto"/>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0.018 </w:t>
                  </w:r>
                </w:p>
              </w:tc>
              <w:tc>
                <w:tcPr>
                  <w:tcW w:w="1050" w:type="dxa"/>
                  <w:tcBorders>
                    <w:tl2br w:val="nil"/>
                    <w:tr2bl w:val="nil"/>
                  </w:tcBorders>
                  <w:shd w:val="clear" w:color="auto" w:fill="auto"/>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0.4 </w:t>
                  </w:r>
                </w:p>
              </w:tc>
              <w:tc>
                <w:tcPr>
                  <w:tcW w:w="1149" w:type="dxa"/>
                  <w:tcBorders>
                    <w:tl2br w:val="nil"/>
                    <w:tr2bl w:val="nil"/>
                  </w:tcBorders>
                  <w:shd w:val="clear" w:color="auto" w:fill="auto"/>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0.081 </w:t>
                  </w:r>
                </w:p>
              </w:tc>
              <w:tc>
                <w:tcPr>
                  <w:tcW w:w="1193" w:type="dxa"/>
                  <w:tcBorders>
                    <w:tl2br w:val="nil"/>
                    <w:tr2bl w:val="nil"/>
                  </w:tcBorders>
                  <w:shd w:val="clear" w:color="auto" w:fill="auto"/>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    0.009 </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098" w:type="dxa"/>
                  <w:tcBorders>
                    <w:tl2br w:val="nil"/>
                    <w:tr2bl w:val="nil"/>
                  </w:tcBorders>
                  <w:shd w:val="clear" w:color="auto" w:fill="auto"/>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2024年</w:t>
                  </w:r>
                  <w:r>
                    <w:rPr>
                      <w:rFonts w:hint="default" w:ascii="Times New Roman" w:hAnsi="Times New Roman" w:eastAsia="宋体" w:cs="Times New Roman"/>
                      <w:color w:val="auto"/>
                      <w:highlight w:val="none"/>
                      <w:lang w:val="en-US" w:eastAsia="zh-CN"/>
                    </w:rPr>
                    <w:t>8</w:t>
                  </w:r>
                  <w:r>
                    <w:rPr>
                      <w:rFonts w:hint="default" w:ascii="Times New Roman" w:hAnsi="Times New Roman" w:eastAsia="宋体" w:cs="Times New Roman"/>
                      <w:color w:val="auto"/>
                      <w:highlight w:val="none"/>
                    </w:rPr>
                    <w:t>月</w:t>
                  </w:r>
                </w:p>
              </w:tc>
              <w:tc>
                <w:tcPr>
                  <w:tcW w:w="972" w:type="dxa"/>
                  <w:tcBorders>
                    <w:tl2br w:val="nil"/>
                    <w:tr2bl w:val="nil"/>
                  </w:tcBorders>
                  <w:shd w:val="clear" w:color="auto" w:fill="auto"/>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0.004 </w:t>
                  </w:r>
                </w:p>
              </w:tc>
              <w:tc>
                <w:tcPr>
                  <w:tcW w:w="1037" w:type="dxa"/>
                  <w:tcBorders>
                    <w:tl2br w:val="nil"/>
                    <w:tr2bl w:val="nil"/>
                  </w:tcBorders>
                  <w:shd w:val="clear" w:color="auto" w:fill="auto"/>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0.009 </w:t>
                  </w:r>
                </w:p>
              </w:tc>
              <w:tc>
                <w:tcPr>
                  <w:tcW w:w="1037" w:type="dxa"/>
                  <w:tcBorders>
                    <w:tl2br w:val="nil"/>
                    <w:tr2bl w:val="nil"/>
                  </w:tcBorders>
                  <w:shd w:val="clear" w:color="auto" w:fill="auto"/>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0.030 </w:t>
                  </w:r>
                </w:p>
              </w:tc>
              <w:tc>
                <w:tcPr>
                  <w:tcW w:w="1050" w:type="dxa"/>
                  <w:tcBorders>
                    <w:tl2br w:val="nil"/>
                    <w:tr2bl w:val="nil"/>
                  </w:tcBorders>
                  <w:shd w:val="clear" w:color="auto" w:fill="auto"/>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0.6 </w:t>
                  </w:r>
                </w:p>
              </w:tc>
              <w:tc>
                <w:tcPr>
                  <w:tcW w:w="1149" w:type="dxa"/>
                  <w:tcBorders>
                    <w:tl2br w:val="nil"/>
                    <w:tr2bl w:val="nil"/>
                  </w:tcBorders>
                  <w:shd w:val="clear" w:color="auto" w:fill="auto"/>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0.109 </w:t>
                  </w:r>
                </w:p>
              </w:tc>
              <w:tc>
                <w:tcPr>
                  <w:tcW w:w="1193" w:type="dxa"/>
                  <w:tcBorders>
                    <w:tl2br w:val="nil"/>
                    <w:tr2bl w:val="nil"/>
                  </w:tcBorders>
                  <w:shd w:val="clear" w:color="auto" w:fill="auto"/>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    0.017 </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098" w:type="dxa"/>
                  <w:tcBorders>
                    <w:tl2br w:val="nil"/>
                    <w:tr2bl w:val="nil"/>
                  </w:tcBorders>
                  <w:shd w:val="clear" w:color="auto" w:fill="auto"/>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2024年</w:t>
                  </w:r>
                  <w:r>
                    <w:rPr>
                      <w:rFonts w:hint="default" w:ascii="Times New Roman" w:hAnsi="Times New Roman" w:eastAsia="宋体" w:cs="Times New Roman"/>
                      <w:color w:val="auto"/>
                      <w:highlight w:val="none"/>
                      <w:lang w:val="en-US" w:eastAsia="zh-CN"/>
                    </w:rPr>
                    <w:t>9</w:t>
                  </w:r>
                  <w:r>
                    <w:rPr>
                      <w:rFonts w:hint="default" w:ascii="Times New Roman" w:hAnsi="Times New Roman" w:eastAsia="宋体" w:cs="Times New Roman"/>
                      <w:color w:val="auto"/>
                      <w:highlight w:val="none"/>
                    </w:rPr>
                    <w:t>月</w:t>
                  </w:r>
                </w:p>
              </w:tc>
              <w:tc>
                <w:tcPr>
                  <w:tcW w:w="972" w:type="dxa"/>
                  <w:tcBorders>
                    <w:tl2br w:val="nil"/>
                    <w:tr2bl w:val="nil"/>
                  </w:tcBorders>
                  <w:shd w:val="clear" w:color="auto" w:fill="auto"/>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0.003 </w:t>
                  </w:r>
                </w:p>
              </w:tc>
              <w:tc>
                <w:tcPr>
                  <w:tcW w:w="1037" w:type="dxa"/>
                  <w:tcBorders>
                    <w:tl2br w:val="nil"/>
                    <w:tr2bl w:val="nil"/>
                  </w:tcBorders>
                  <w:shd w:val="clear" w:color="auto" w:fill="auto"/>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0.006 </w:t>
                  </w:r>
                </w:p>
              </w:tc>
              <w:tc>
                <w:tcPr>
                  <w:tcW w:w="1037" w:type="dxa"/>
                  <w:tcBorders>
                    <w:tl2br w:val="nil"/>
                    <w:tr2bl w:val="nil"/>
                  </w:tcBorders>
                  <w:shd w:val="clear" w:color="auto" w:fill="auto"/>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0.019 </w:t>
                  </w:r>
                </w:p>
              </w:tc>
              <w:tc>
                <w:tcPr>
                  <w:tcW w:w="1050" w:type="dxa"/>
                  <w:tcBorders>
                    <w:tl2br w:val="nil"/>
                    <w:tr2bl w:val="nil"/>
                  </w:tcBorders>
                  <w:shd w:val="clear" w:color="auto" w:fill="auto"/>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0.5 </w:t>
                  </w:r>
                </w:p>
              </w:tc>
              <w:tc>
                <w:tcPr>
                  <w:tcW w:w="1149" w:type="dxa"/>
                  <w:tcBorders>
                    <w:tl2br w:val="nil"/>
                    <w:tr2bl w:val="nil"/>
                  </w:tcBorders>
                  <w:shd w:val="clear" w:color="auto" w:fill="auto"/>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0.095 </w:t>
                  </w:r>
                </w:p>
              </w:tc>
              <w:tc>
                <w:tcPr>
                  <w:tcW w:w="1193" w:type="dxa"/>
                  <w:tcBorders>
                    <w:tl2br w:val="nil"/>
                    <w:tr2bl w:val="nil"/>
                  </w:tcBorders>
                  <w:shd w:val="clear" w:color="auto" w:fill="auto"/>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    0.010 </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098" w:type="dxa"/>
                  <w:tcBorders>
                    <w:tl2br w:val="nil"/>
                    <w:tr2bl w:val="nil"/>
                  </w:tcBorders>
                  <w:shd w:val="clear" w:color="auto" w:fill="auto"/>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2024年</w:t>
                  </w:r>
                  <w:r>
                    <w:rPr>
                      <w:rFonts w:hint="default" w:ascii="Times New Roman" w:hAnsi="Times New Roman" w:eastAsia="宋体" w:cs="Times New Roman"/>
                      <w:color w:val="auto"/>
                      <w:highlight w:val="none"/>
                      <w:lang w:val="en-US" w:eastAsia="zh-CN"/>
                    </w:rPr>
                    <w:t>10</w:t>
                  </w:r>
                  <w:r>
                    <w:rPr>
                      <w:rFonts w:hint="default" w:ascii="Times New Roman" w:hAnsi="Times New Roman" w:eastAsia="宋体" w:cs="Times New Roman"/>
                      <w:color w:val="auto"/>
                      <w:highlight w:val="none"/>
                    </w:rPr>
                    <w:t>月</w:t>
                  </w:r>
                </w:p>
              </w:tc>
              <w:tc>
                <w:tcPr>
                  <w:tcW w:w="972" w:type="dxa"/>
                  <w:tcBorders>
                    <w:tl2br w:val="nil"/>
                    <w:tr2bl w:val="nil"/>
                  </w:tcBorders>
                  <w:shd w:val="clear" w:color="auto" w:fill="auto"/>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0.002 </w:t>
                  </w:r>
                </w:p>
              </w:tc>
              <w:tc>
                <w:tcPr>
                  <w:tcW w:w="1037" w:type="dxa"/>
                  <w:tcBorders>
                    <w:tl2br w:val="nil"/>
                    <w:tr2bl w:val="nil"/>
                  </w:tcBorders>
                  <w:shd w:val="clear" w:color="auto" w:fill="auto"/>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0.008 </w:t>
                  </w:r>
                </w:p>
              </w:tc>
              <w:tc>
                <w:tcPr>
                  <w:tcW w:w="1037" w:type="dxa"/>
                  <w:tcBorders>
                    <w:tl2br w:val="nil"/>
                    <w:tr2bl w:val="nil"/>
                  </w:tcBorders>
                  <w:shd w:val="clear" w:color="auto" w:fill="auto"/>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0.022 </w:t>
                  </w:r>
                </w:p>
              </w:tc>
              <w:tc>
                <w:tcPr>
                  <w:tcW w:w="1050" w:type="dxa"/>
                  <w:tcBorders>
                    <w:tl2br w:val="nil"/>
                    <w:tr2bl w:val="nil"/>
                  </w:tcBorders>
                  <w:shd w:val="clear" w:color="auto" w:fill="auto"/>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0.2 </w:t>
                  </w:r>
                </w:p>
              </w:tc>
              <w:tc>
                <w:tcPr>
                  <w:tcW w:w="1149" w:type="dxa"/>
                  <w:tcBorders>
                    <w:tl2br w:val="nil"/>
                    <w:tr2bl w:val="nil"/>
                  </w:tcBorders>
                  <w:shd w:val="clear" w:color="auto" w:fill="auto"/>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0.085 </w:t>
                  </w:r>
                </w:p>
              </w:tc>
              <w:tc>
                <w:tcPr>
                  <w:tcW w:w="1193" w:type="dxa"/>
                  <w:tcBorders>
                    <w:tl2br w:val="nil"/>
                    <w:tr2bl w:val="nil"/>
                  </w:tcBorders>
                  <w:shd w:val="clear" w:color="auto" w:fill="auto"/>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    0.013 </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098" w:type="dxa"/>
                  <w:tcBorders>
                    <w:tl2br w:val="nil"/>
                    <w:tr2bl w:val="nil"/>
                  </w:tcBorders>
                  <w:shd w:val="clear" w:color="auto" w:fill="auto"/>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2024年</w:t>
                  </w:r>
                  <w:r>
                    <w:rPr>
                      <w:rFonts w:hint="default" w:ascii="Times New Roman" w:hAnsi="Times New Roman" w:eastAsia="宋体" w:cs="Times New Roman"/>
                      <w:color w:val="auto"/>
                      <w:highlight w:val="none"/>
                      <w:lang w:val="en-US" w:eastAsia="zh-CN"/>
                    </w:rPr>
                    <w:t>11</w:t>
                  </w:r>
                  <w:r>
                    <w:rPr>
                      <w:rFonts w:hint="default" w:ascii="Times New Roman" w:hAnsi="Times New Roman" w:eastAsia="宋体" w:cs="Times New Roman"/>
                      <w:color w:val="auto"/>
                      <w:highlight w:val="none"/>
                    </w:rPr>
                    <w:t>月</w:t>
                  </w:r>
                </w:p>
              </w:tc>
              <w:tc>
                <w:tcPr>
                  <w:tcW w:w="972" w:type="dxa"/>
                  <w:tcBorders>
                    <w:tl2br w:val="nil"/>
                    <w:tr2bl w:val="nil"/>
                  </w:tcBorders>
                  <w:shd w:val="clear" w:color="auto" w:fill="auto"/>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0.002 </w:t>
                  </w:r>
                </w:p>
              </w:tc>
              <w:tc>
                <w:tcPr>
                  <w:tcW w:w="1037" w:type="dxa"/>
                  <w:tcBorders>
                    <w:tl2br w:val="nil"/>
                    <w:tr2bl w:val="nil"/>
                  </w:tcBorders>
                  <w:shd w:val="clear" w:color="auto" w:fill="auto"/>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0.009 </w:t>
                  </w:r>
                </w:p>
              </w:tc>
              <w:tc>
                <w:tcPr>
                  <w:tcW w:w="1037" w:type="dxa"/>
                  <w:tcBorders>
                    <w:tl2br w:val="nil"/>
                    <w:tr2bl w:val="nil"/>
                  </w:tcBorders>
                  <w:shd w:val="clear" w:color="auto" w:fill="auto"/>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0.024 </w:t>
                  </w:r>
                </w:p>
              </w:tc>
              <w:tc>
                <w:tcPr>
                  <w:tcW w:w="1050" w:type="dxa"/>
                  <w:tcBorders>
                    <w:tl2br w:val="nil"/>
                    <w:tr2bl w:val="nil"/>
                  </w:tcBorders>
                  <w:shd w:val="clear" w:color="auto" w:fill="auto"/>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0.3 </w:t>
                  </w:r>
                </w:p>
              </w:tc>
              <w:tc>
                <w:tcPr>
                  <w:tcW w:w="1149" w:type="dxa"/>
                  <w:tcBorders>
                    <w:tl2br w:val="nil"/>
                    <w:tr2bl w:val="nil"/>
                  </w:tcBorders>
                  <w:shd w:val="clear" w:color="auto" w:fill="auto"/>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0.104 </w:t>
                  </w:r>
                </w:p>
              </w:tc>
              <w:tc>
                <w:tcPr>
                  <w:tcW w:w="1193" w:type="dxa"/>
                  <w:tcBorders>
                    <w:tl2br w:val="nil"/>
                    <w:tr2bl w:val="nil"/>
                  </w:tcBorders>
                  <w:shd w:val="clear" w:color="auto" w:fill="auto"/>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    0.013 </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098" w:type="dxa"/>
                  <w:tcBorders>
                    <w:tl2br w:val="nil"/>
                    <w:tr2bl w:val="nil"/>
                  </w:tcBorders>
                  <w:shd w:val="clear" w:color="auto" w:fill="auto"/>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2024年</w:t>
                  </w:r>
                  <w:r>
                    <w:rPr>
                      <w:rFonts w:hint="default" w:ascii="Times New Roman" w:hAnsi="Times New Roman" w:eastAsia="宋体" w:cs="Times New Roman"/>
                      <w:color w:val="auto"/>
                      <w:highlight w:val="none"/>
                      <w:lang w:val="en-US" w:eastAsia="zh-CN"/>
                    </w:rPr>
                    <w:t>12</w:t>
                  </w:r>
                  <w:r>
                    <w:rPr>
                      <w:rFonts w:hint="default" w:ascii="Times New Roman" w:hAnsi="Times New Roman" w:eastAsia="宋体" w:cs="Times New Roman"/>
                      <w:color w:val="auto"/>
                      <w:highlight w:val="none"/>
                    </w:rPr>
                    <w:t>月</w:t>
                  </w:r>
                </w:p>
              </w:tc>
              <w:tc>
                <w:tcPr>
                  <w:tcW w:w="972" w:type="dxa"/>
                  <w:tcBorders>
                    <w:tl2br w:val="nil"/>
                    <w:tr2bl w:val="nil"/>
                  </w:tcBorders>
                  <w:shd w:val="clear" w:color="auto" w:fill="auto"/>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0.002 </w:t>
                  </w:r>
                </w:p>
              </w:tc>
              <w:tc>
                <w:tcPr>
                  <w:tcW w:w="1037" w:type="dxa"/>
                  <w:tcBorders>
                    <w:tl2br w:val="nil"/>
                    <w:tr2bl w:val="nil"/>
                  </w:tcBorders>
                  <w:shd w:val="clear" w:color="auto" w:fill="auto"/>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0.011 </w:t>
                  </w:r>
                </w:p>
              </w:tc>
              <w:tc>
                <w:tcPr>
                  <w:tcW w:w="1037" w:type="dxa"/>
                  <w:tcBorders>
                    <w:tl2br w:val="nil"/>
                    <w:tr2bl w:val="nil"/>
                  </w:tcBorders>
                  <w:shd w:val="clear" w:color="auto" w:fill="auto"/>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0.030 </w:t>
                  </w:r>
                </w:p>
              </w:tc>
              <w:tc>
                <w:tcPr>
                  <w:tcW w:w="1050" w:type="dxa"/>
                  <w:tcBorders>
                    <w:tl2br w:val="nil"/>
                    <w:tr2bl w:val="nil"/>
                  </w:tcBorders>
                  <w:shd w:val="clear" w:color="auto" w:fill="auto"/>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0.6 </w:t>
                  </w:r>
                </w:p>
              </w:tc>
              <w:tc>
                <w:tcPr>
                  <w:tcW w:w="1149" w:type="dxa"/>
                  <w:tcBorders>
                    <w:tl2br w:val="nil"/>
                    <w:tr2bl w:val="nil"/>
                  </w:tcBorders>
                  <w:shd w:val="clear" w:color="auto" w:fill="auto"/>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0.110 </w:t>
                  </w:r>
                </w:p>
              </w:tc>
              <w:tc>
                <w:tcPr>
                  <w:tcW w:w="1193" w:type="dxa"/>
                  <w:tcBorders>
                    <w:tl2br w:val="nil"/>
                    <w:tr2bl w:val="nil"/>
                  </w:tcBorders>
                  <w:shd w:val="clear" w:color="auto" w:fill="auto"/>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    0.016 </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098" w:type="dxa"/>
                  <w:tcBorders>
                    <w:tl2br w:val="nil"/>
                    <w:tr2bl w:val="nil"/>
                  </w:tcBorders>
                  <w:shd w:val="clear" w:color="auto" w:fill="auto"/>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环境空气质量标准</w:t>
                  </w:r>
                </w:p>
              </w:tc>
              <w:tc>
                <w:tcPr>
                  <w:tcW w:w="972" w:type="dxa"/>
                  <w:tcBorders>
                    <w:tl2br w:val="nil"/>
                    <w:tr2bl w:val="nil"/>
                  </w:tcBorders>
                  <w:shd w:val="clear" w:color="auto" w:fill="auto"/>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0.060 </w:t>
                  </w:r>
                </w:p>
              </w:tc>
              <w:tc>
                <w:tcPr>
                  <w:tcW w:w="1037" w:type="dxa"/>
                  <w:tcBorders>
                    <w:tl2br w:val="nil"/>
                    <w:tr2bl w:val="nil"/>
                  </w:tcBorders>
                  <w:shd w:val="clear" w:color="auto" w:fill="auto"/>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0.040 </w:t>
                  </w:r>
                </w:p>
              </w:tc>
              <w:tc>
                <w:tcPr>
                  <w:tcW w:w="1037" w:type="dxa"/>
                  <w:tcBorders>
                    <w:tl2br w:val="nil"/>
                    <w:tr2bl w:val="nil"/>
                  </w:tcBorders>
                  <w:shd w:val="clear" w:color="auto" w:fill="auto"/>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0.07 </w:t>
                  </w:r>
                </w:p>
              </w:tc>
              <w:tc>
                <w:tcPr>
                  <w:tcW w:w="1050" w:type="dxa"/>
                  <w:tcBorders>
                    <w:tl2br w:val="nil"/>
                    <w:tr2bl w:val="nil"/>
                  </w:tcBorders>
                  <w:shd w:val="clear" w:color="auto" w:fill="auto"/>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4.0 </w:t>
                  </w:r>
                </w:p>
              </w:tc>
              <w:tc>
                <w:tcPr>
                  <w:tcW w:w="1149" w:type="dxa"/>
                  <w:tcBorders>
                    <w:tl2br w:val="nil"/>
                    <w:tr2bl w:val="nil"/>
                  </w:tcBorders>
                  <w:shd w:val="clear" w:color="auto" w:fill="auto"/>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0.160 </w:t>
                  </w:r>
                </w:p>
              </w:tc>
              <w:tc>
                <w:tcPr>
                  <w:tcW w:w="1193" w:type="dxa"/>
                  <w:tcBorders>
                    <w:tl2br w:val="nil"/>
                    <w:tr2bl w:val="nil"/>
                  </w:tcBorders>
                  <w:shd w:val="clear" w:color="auto" w:fill="auto"/>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 xml:space="preserve">    0.035 </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098" w:type="dxa"/>
                  <w:tcBorders>
                    <w:tl2br w:val="nil"/>
                    <w:tr2bl w:val="nil"/>
                  </w:tcBorders>
                  <w:shd w:val="clear" w:color="auto" w:fill="auto"/>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达标情况</w:t>
                  </w:r>
                </w:p>
              </w:tc>
              <w:tc>
                <w:tcPr>
                  <w:tcW w:w="6438" w:type="dxa"/>
                  <w:gridSpan w:val="6"/>
                  <w:tcBorders>
                    <w:tl2br w:val="nil"/>
                    <w:tr2bl w:val="nil"/>
                  </w:tcBorders>
                  <w:shd w:val="clear" w:color="auto" w:fill="auto"/>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达标</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536" w:type="dxa"/>
                  <w:gridSpan w:val="7"/>
                  <w:tcBorders>
                    <w:tl2br w:val="nil"/>
                    <w:tr2bl w:val="nil"/>
                  </w:tcBorders>
                  <w:shd w:val="clear" w:color="auto" w:fill="auto"/>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注：CO 为日均值第 95 百分位数，O</w:t>
                  </w:r>
                  <w:r>
                    <w:rPr>
                      <w:rFonts w:hint="default" w:ascii="Times New Roman" w:hAnsi="Times New Roman" w:eastAsia="宋体" w:cs="Times New Roman"/>
                      <w:color w:val="auto"/>
                      <w:highlight w:val="none"/>
                      <w:vertAlign w:val="subscript"/>
                    </w:rPr>
                    <w:t>3</w:t>
                  </w:r>
                  <w:r>
                    <w:rPr>
                      <w:rFonts w:hint="default" w:ascii="Times New Roman" w:hAnsi="Times New Roman" w:eastAsia="宋体" w:cs="Times New Roman"/>
                      <w:color w:val="auto"/>
                      <w:highlight w:val="none"/>
                    </w:rPr>
                    <w:t>为日最大 8 小时值第 90 百分位数。</w:t>
                  </w:r>
                </w:p>
              </w:tc>
            </w:tr>
          </w:tbl>
          <w:p>
            <w:pPr>
              <w:spacing w:before="120" w:beforeLines="50"/>
              <w:ind w:firstLine="480"/>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rPr>
              <w:t>由上表可知，福州市长乐区2024年1月～12月份环境空气中SO</w:t>
            </w:r>
            <w:r>
              <w:rPr>
                <w:rFonts w:hint="default" w:ascii="Times New Roman" w:hAnsi="Times New Roman" w:eastAsia="宋体" w:cs="Times New Roman"/>
                <w:color w:val="auto"/>
                <w:kern w:val="0"/>
                <w:highlight w:val="none"/>
                <w:vertAlign w:val="subscript"/>
              </w:rPr>
              <w:t>2</w:t>
            </w:r>
            <w:r>
              <w:rPr>
                <w:rFonts w:hint="default" w:ascii="Times New Roman" w:hAnsi="Times New Roman" w:eastAsia="宋体" w:cs="Times New Roman"/>
                <w:color w:val="auto"/>
                <w:kern w:val="0"/>
                <w:highlight w:val="none"/>
              </w:rPr>
              <w:t>、NO</w:t>
            </w:r>
            <w:r>
              <w:rPr>
                <w:rFonts w:hint="default" w:ascii="Times New Roman" w:hAnsi="Times New Roman" w:eastAsia="宋体" w:cs="Times New Roman"/>
                <w:color w:val="auto"/>
                <w:kern w:val="0"/>
                <w:highlight w:val="none"/>
                <w:vertAlign w:val="subscript"/>
              </w:rPr>
              <w:t>2</w:t>
            </w:r>
            <w:r>
              <w:rPr>
                <w:rFonts w:hint="default" w:ascii="Times New Roman" w:hAnsi="Times New Roman" w:eastAsia="宋体" w:cs="Times New Roman"/>
                <w:color w:val="auto"/>
                <w:kern w:val="0"/>
                <w:highlight w:val="none"/>
              </w:rPr>
              <w:t>、PM</w:t>
            </w:r>
            <w:r>
              <w:rPr>
                <w:rFonts w:hint="default" w:ascii="Times New Roman" w:hAnsi="Times New Roman" w:eastAsia="宋体" w:cs="Times New Roman"/>
                <w:color w:val="auto"/>
                <w:kern w:val="0"/>
                <w:highlight w:val="none"/>
                <w:vertAlign w:val="subscript"/>
              </w:rPr>
              <w:t>10</w:t>
            </w:r>
            <w:r>
              <w:rPr>
                <w:rFonts w:hint="default" w:ascii="Times New Roman" w:hAnsi="Times New Roman" w:eastAsia="宋体" w:cs="Times New Roman"/>
                <w:color w:val="auto"/>
                <w:kern w:val="0"/>
                <w:highlight w:val="none"/>
              </w:rPr>
              <w:t>、PM</w:t>
            </w:r>
            <w:r>
              <w:rPr>
                <w:rFonts w:hint="default" w:ascii="Times New Roman" w:hAnsi="Times New Roman" w:eastAsia="宋体" w:cs="Times New Roman"/>
                <w:color w:val="auto"/>
                <w:kern w:val="0"/>
                <w:highlight w:val="none"/>
                <w:vertAlign w:val="subscript"/>
              </w:rPr>
              <w:t>2.5</w:t>
            </w:r>
            <w:r>
              <w:rPr>
                <w:rFonts w:hint="default" w:ascii="Times New Roman" w:hAnsi="Times New Roman" w:eastAsia="宋体" w:cs="Times New Roman"/>
                <w:color w:val="auto"/>
                <w:kern w:val="0"/>
                <w:highlight w:val="none"/>
              </w:rPr>
              <w:t>、CO、O</w:t>
            </w:r>
            <w:r>
              <w:rPr>
                <w:rFonts w:hint="default" w:ascii="Times New Roman" w:hAnsi="Times New Roman" w:eastAsia="宋体" w:cs="Times New Roman"/>
                <w:color w:val="auto"/>
                <w:kern w:val="0"/>
                <w:highlight w:val="none"/>
                <w:vertAlign w:val="subscript"/>
              </w:rPr>
              <w:t>3</w:t>
            </w:r>
            <w:r>
              <w:rPr>
                <w:rFonts w:hint="default" w:ascii="Times New Roman" w:hAnsi="Times New Roman" w:eastAsia="宋体" w:cs="Times New Roman"/>
                <w:color w:val="auto"/>
                <w:kern w:val="0"/>
                <w:highlight w:val="none"/>
              </w:rPr>
              <w:t>六项污染物浓度指标可达《环境空气质量标准》(GB3095-2012)及其修改单中的二级标准要求，因此，项目所在区域属于大气环境达标区。</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r>
              <w:rPr>
                <w:rFonts w:hint="eastAsia" w:cs="Times New Roman"/>
                <w:color w:val="auto"/>
                <w:highlight w:val="none"/>
                <w:lang w:val="en-US" w:eastAsia="zh-CN"/>
              </w:rPr>
              <w:t>3</w:t>
            </w:r>
            <w:r>
              <w:rPr>
                <w:rFonts w:hint="default" w:ascii="Times New Roman" w:hAnsi="Times New Roman" w:eastAsia="宋体" w:cs="Times New Roman"/>
                <w:color w:val="auto"/>
                <w:highlight w:val="none"/>
              </w:rPr>
              <w:t>）特征污染物调查</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为了解区域TSP环境质量现状，本评价引用《福建吴航不锈钢制品有限公司VOD精炼炉改造项目环境影响评价报告书》中福建九五环境检测有限公司于2024年12月5日～12日，连续七天进行大气特征因子环境现状监测数据。</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①监测点位：设2个监测点位，监测点位见附图5；</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②监测项目：TSP；</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③监测时间及频率：连续采样7天；</w:t>
            </w:r>
          </w:p>
          <w:p>
            <w:pPr>
              <w:spacing w:line="240" w:lineRule="auto"/>
              <w:ind w:firstLine="0" w:firstLineChars="0"/>
              <w:jc w:val="center"/>
              <w:rPr>
                <w:rFonts w:hint="default" w:ascii="Times New Roman" w:hAnsi="Times New Roman" w:eastAsia="宋体" w:cs="Times New Roman"/>
                <w:b/>
                <w:bCs/>
                <w:color w:val="auto"/>
                <w:szCs w:val="28"/>
                <w:highlight w:val="none"/>
              </w:rPr>
            </w:pPr>
            <w:r>
              <w:rPr>
                <w:rFonts w:hint="default" w:ascii="Times New Roman" w:hAnsi="Times New Roman" w:eastAsia="宋体" w:cs="Times New Roman"/>
                <w:b/>
                <w:bCs/>
                <w:color w:val="auto"/>
                <w:szCs w:val="28"/>
                <w:highlight w:val="none"/>
              </w:rPr>
              <w:t>表3.1-2 环境空气质量现状监测点及其功能一览表</w:t>
            </w:r>
          </w:p>
          <w:tbl>
            <w:tblPr>
              <w:tblStyle w:val="50"/>
              <w:tblW w:w="8536" w:type="dxa"/>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542"/>
              <w:gridCol w:w="2878"/>
              <w:gridCol w:w="1642"/>
              <w:gridCol w:w="2474"/>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42" w:type="dxa"/>
                  <w:tcBorders>
                    <w:tl2br w:val="nil"/>
                    <w:tr2bl w:val="nil"/>
                  </w:tcBorders>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监测点位</w:t>
                  </w:r>
                </w:p>
              </w:tc>
              <w:tc>
                <w:tcPr>
                  <w:tcW w:w="2878" w:type="dxa"/>
                  <w:tcBorders>
                    <w:tl2br w:val="nil"/>
                    <w:tr2bl w:val="nil"/>
                  </w:tcBorders>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点位坐标</w:t>
                  </w:r>
                </w:p>
              </w:tc>
              <w:tc>
                <w:tcPr>
                  <w:tcW w:w="1642" w:type="dxa"/>
                  <w:tcBorders>
                    <w:tl2br w:val="nil"/>
                    <w:tr2bl w:val="nil"/>
                  </w:tcBorders>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监测项目</w:t>
                  </w:r>
                </w:p>
              </w:tc>
              <w:tc>
                <w:tcPr>
                  <w:tcW w:w="2474" w:type="dxa"/>
                  <w:tcBorders>
                    <w:tl2br w:val="nil"/>
                    <w:tr2bl w:val="nil"/>
                  </w:tcBorders>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监测频次</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42" w:type="dxa"/>
                  <w:tcBorders>
                    <w:tl2br w:val="nil"/>
                    <w:tr2bl w:val="nil"/>
                  </w:tcBorders>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厂区内●1</w:t>
                  </w:r>
                </w:p>
              </w:tc>
              <w:tc>
                <w:tcPr>
                  <w:tcW w:w="2878" w:type="dxa"/>
                  <w:tcBorders>
                    <w:tl2br w:val="nil"/>
                    <w:tr2bl w:val="nil"/>
                  </w:tcBorders>
                  <w:vAlign w:val="center"/>
                </w:tcPr>
                <w:p>
                  <w:pPr>
                    <w:pStyle w:val="530"/>
                    <w:tabs>
                      <w:tab w:val="left" w:pos="0"/>
                    </w:tabs>
                    <w:rPr>
                      <w:rFonts w:hint="default" w:ascii="Times New Roman" w:hAnsi="Times New Roman" w:eastAsia="宋体" w:cs="Times New Roman"/>
                      <w:snapToGrid w:val="0"/>
                      <w:color w:val="auto"/>
                      <w:highlight w:val="none"/>
                    </w:rPr>
                  </w:pPr>
                  <w:r>
                    <w:rPr>
                      <w:rFonts w:hint="default" w:ascii="Times New Roman" w:hAnsi="Times New Roman" w:eastAsia="宋体" w:cs="Times New Roman"/>
                      <w:color w:val="auto"/>
                      <w:highlight w:val="none"/>
                    </w:rPr>
                    <w:t>E</w:t>
                  </w:r>
                  <w:r>
                    <w:rPr>
                      <w:rFonts w:hint="default" w:ascii="Times New Roman" w:hAnsi="Times New Roman" w:eastAsia="宋体" w:cs="Times New Roman"/>
                      <w:color w:val="auto"/>
                      <w:spacing w:val="-1"/>
                      <w:highlight w:val="none"/>
                    </w:rPr>
                    <w:t>：119</w:t>
                  </w:r>
                  <w:r>
                    <w:rPr>
                      <w:rFonts w:hint="default" w:ascii="Times New Roman" w:hAnsi="Times New Roman" w:eastAsia="宋体" w:cs="Times New Roman"/>
                      <w:color w:val="auto"/>
                      <w:highlight w:val="none"/>
                    </w:rPr>
                    <w:t>.452314°N</w:t>
                  </w:r>
                  <w:r>
                    <w:rPr>
                      <w:rFonts w:hint="default" w:ascii="Times New Roman" w:hAnsi="Times New Roman" w:eastAsia="宋体" w:cs="Times New Roman"/>
                      <w:color w:val="auto"/>
                      <w:spacing w:val="11"/>
                      <w:highlight w:val="none"/>
                    </w:rPr>
                    <w:t>：</w:t>
                  </w:r>
                  <w:r>
                    <w:rPr>
                      <w:rFonts w:hint="default" w:ascii="Times New Roman" w:hAnsi="Times New Roman" w:eastAsia="宋体" w:cs="Times New Roman"/>
                      <w:color w:val="auto"/>
                      <w:spacing w:val="9"/>
                      <w:highlight w:val="none"/>
                    </w:rPr>
                    <w:t>25.957824°</w:t>
                  </w:r>
                </w:p>
              </w:tc>
              <w:tc>
                <w:tcPr>
                  <w:tcW w:w="1642" w:type="dxa"/>
                  <w:tcBorders>
                    <w:tl2br w:val="nil"/>
                    <w:tr2bl w:val="nil"/>
                  </w:tcBorders>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日均值：TSP</w:t>
                  </w:r>
                </w:p>
              </w:tc>
              <w:tc>
                <w:tcPr>
                  <w:tcW w:w="2474" w:type="dxa"/>
                  <w:vMerge w:val="restart"/>
                  <w:tcBorders>
                    <w:tl2br w:val="nil"/>
                    <w:tr2bl w:val="nil"/>
                  </w:tcBorders>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日均值：7天，日平均浓度(采样时间24小时)</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42" w:type="dxa"/>
                  <w:tcBorders>
                    <w:tl2br w:val="nil"/>
                    <w:tr2bl w:val="nil"/>
                  </w:tcBorders>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厂区外下风向●2</w:t>
                  </w:r>
                </w:p>
              </w:tc>
              <w:tc>
                <w:tcPr>
                  <w:tcW w:w="2878" w:type="dxa"/>
                  <w:tcBorders>
                    <w:tl2br w:val="nil"/>
                    <w:tr2bl w:val="nil"/>
                  </w:tcBorders>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E</w:t>
                  </w:r>
                  <w:r>
                    <w:rPr>
                      <w:rFonts w:hint="default" w:ascii="Times New Roman" w:hAnsi="Times New Roman" w:eastAsia="宋体" w:cs="Times New Roman"/>
                      <w:color w:val="auto"/>
                      <w:spacing w:val="-1"/>
                      <w:highlight w:val="none"/>
                    </w:rPr>
                    <w:t>：119</w:t>
                  </w:r>
                  <w:r>
                    <w:rPr>
                      <w:rFonts w:hint="default" w:ascii="Times New Roman" w:hAnsi="Times New Roman" w:eastAsia="宋体" w:cs="Times New Roman"/>
                      <w:color w:val="auto"/>
                      <w:highlight w:val="none"/>
                    </w:rPr>
                    <w:t>.450771°N</w:t>
                  </w:r>
                  <w:r>
                    <w:rPr>
                      <w:rFonts w:hint="default" w:ascii="Times New Roman" w:hAnsi="Times New Roman" w:eastAsia="宋体" w:cs="Times New Roman"/>
                      <w:color w:val="auto"/>
                      <w:spacing w:val="11"/>
                      <w:highlight w:val="none"/>
                    </w:rPr>
                    <w:t>：</w:t>
                  </w:r>
                  <w:r>
                    <w:rPr>
                      <w:rFonts w:hint="default" w:ascii="Times New Roman" w:hAnsi="Times New Roman" w:eastAsia="宋体" w:cs="Times New Roman"/>
                      <w:color w:val="auto"/>
                      <w:spacing w:val="9"/>
                      <w:highlight w:val="none"/>
                    </w:rPr>
                    <w:t>25.956443°</w:t>
                  </w:r>
                </w:p>
              </w:tc>
              <w:tc>
                <w:tcPr>
                  <w:tcW w:w="1642" w:type="dxa"/>
                  <w:tcBorders>
                    <w:tl2br w:val="nil"/>
                    <w:tr2bl w:val="nil"/>
                  </w:tcBorders>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日均值：TSP</w:t>
                  </w:r>
                </w:p>
              </w:tc>
              <w:tc>
                <w:tcPr>
                  <w:tcW w:w="2474" w:type="dxa"/>
                  <w:vMerge w:val="continue"/>
                  <w:tcBorders>
                    <w:tl2br w:val="nil"/>
                    <w:tr2bl w:val="nil"/>
                  </w:tcBorders>
                  <w:vAlign w:val="center"/>
                </w:tcPr>
                <w:p>
                  <w:pPr>
                    <w:pStyle w:val="530"/>
                    <w:tabs>
                      <w:tab w:val="left" w:pos="0"/>
                    </w:tabs>
                    <w:rPr>
                      <w:rFonts w:hint="default" w:ascii="Times New Roman" w:hAnsi="Times New Roman" w:eastAsia="宋体" w:cs="Times New Roman"/>
                      <w:color w:val="auto"/>
                      <w:highlight w:val="none"/>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536" w:type="dxa"/>
                  <w:gridSpan w:val="4"/>
                  <w:tcBorders>
                    <w:tl2br w:val="nil"/>
                    <w:tr2bl w:val="nil"/>
                  </w:tcBorders>
                  <w:vAlign w:val="center"/>
                </w:tcPr>
                <w:p>
                  <w:pPr>
                    <w:pStyle w:val="530"/>
                    <w:tabs>
                      <w:tab w:val="left" w:pos="0"/>
                    </w:tabs>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TSP：《环境空气质量标准》（GB3095-2012）表2中二级标准（TSP日均值≤0.3mg/m</w:t>
                  </w:r>
                  <w:r>
                    <w:rPr>
                      <w:rFonts w:hint="default" w:ascii="Times New Roman" w:hAnsi="Times New Roman" w:eastAsia="宋体" w:cs="Times New Roman"/>
                      <w:color w:val="auto"/>
                      <w:sz w:val="18"/>
                      <w:szCs w:val="18"/>
                      <w:highlight w:val="none"/>
                      <w:vertAlign w:val="superscript"/>
                    </w:rPr>
                    <w:t>3</w:t>
                  </w:r>
                  <w:r>
                    <w:rPr>
                      <w:rFonts w:hint="default" w:ascii="Times New Roman" w:hAnsi="Times New Roman" w:eastAsia="宋体" w:cs="Times New Roman"/>
                      <w:color w:val="auto"/>
                      <w:sz w:val="18"/>
                      <w:szCs w:val="18"/>
                      <w:highlight w:val="none"/>
                    </w:rPr>
                    <w:t>）</w:t>
                  </w:r>
                </w:p>
                <w:p>
                  <w:pPr>
                    <w:pStyle w:val="530"/>
                    <w:tabs>
                      <w:tab w:val="left" w:pos="0"/>
                    </w:tabs>
                    <w:rPr>
                      <w:rFonts w:hint="default" w:ascii="Times New Roman" w:hAnsi="Times New Roman" w:eastAsia="宋体" w:cs="Times New Roman"/>
                      <w:color w:val="auto"/>
                      <w:highlight w:val="none"/>
                    </w:rPr>
                  </w:pPr>
                </w:p>
              </w:tc>
            </w:tr>
          </w:tbl>
          <w:p>
            <w:pPr>
              <w:spacing w:line="240" w:lineRule="auto"/>
              <w:ind w:firstLine="0" w:firstLineChars="0"/>
              <w:jc w:val="center"/>
              <w:rPr>
                <w:rFonts w:hint="default" w:ascii="Times New Roman" w:hAnsi="Times New Roman" w:eastAsia="宋体" w:cs="Times New Roman"/>
                <w:b/>
                <w:bCs/>
                <w:color w:val="auto"/>
                <w:szCs w:val="28"/>
                <w:highlight w:val="none"/>
              </w:rPr>
            </w:pPr>
            <w:r>
              <w:rPr>
                <w:rFonts w:hint="default" w:ascii="Times New Roman" w:hAnsi="Times New Roman" w:eastAsia="宋体" w:cs="Times New Roman"/>
                <w:b/>
                <w:bCs/>
                <w:color w:val="auto"/>
                <w:szCs w:val="28"/>
                <w:highlight w:val="none"/>
              </w:rPr>
              <w:t>表3.1-3 现状监测结果一览表</w:t>
            </w:r>
          </w:p>
          <w:tbl>
            <w:tblPr>
              <w:tblStyle w:val="49"/>
              <w:tblW w:w="8536" w:type="dxa"/>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498"/>
              <w:gridCol w:w="2097"/>
              <w:gridCol w:w="1501"/>
              <w:gridCol w:w="1041"/>
              <w:gridCol w:w="1455"/>
              <w:gridCol w:w="944"/>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1498" w:type="dxa"/>
                  <w:tcBorders>
                    <w:tl2br w:val="nil"/>
                    <w:tr2bl w:val="nil"/>
                  </w:tcBorders>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测点</w:t>
                  </w:r>
                </w:p>
              </w:tc>
              <w:tc>
                <w:tcPr>
                  <w:tcW w:w="2097" w:type="dxa"/>
                  <w:tcBorders>
                    <w:tl2br w:val="nil"/>
                    <w:tr2bl w:val="nil"/>
                  </w:tcBorders>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检测项目</w:t>
                  </w:r>
                </w:p>
              </w:tc>
              <w:tc>
                <w:tcPr>
                  <w:tcW w:w="1501" w:type="dxa"/>
                  <w:tcBorders>
                    <w:tl2br w:val="nil"/>
                    <w:tr2bl w:val="nil"/>
                  </w:tcBorders>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日均浓度范围</w:t>
                  </w:r>
                </w:p>
              </w:tc>
              <w:tc>
                <w:tcPr>
                  <w:tcW w:w="1041" w:type="dxa"/>
                  <w:tcBorders>
                    <w:tl2br w:val="nil"/>
                    <w:tr2bl w:val="nil"/>
                  </w:tcBorders>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执行标准</w:t>
                  </w:r>
                </w:p>
              </w:tc>
              <w:tc>
                <w:tcPr>
                  <w:tcW w:w="1455" w:type="dxa"/>
                  <w:tcBorders>
                    <w:tl2br w:val="nil"/>
                    <w:tr2bl w:val="nil"/>
                  </w:tcBorders>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最大占标率%</w:t>
                  </w:r>
                </w:p>
              </w:tc>
              <w:tc>
                <w:tcPr>
                  <w:tcW w:w="944" w:type="dxa"/>
                  <w:tcBorders>
                    <w:tl2br w:val="nil"/>
                    <w:tr2bl w:val="nil"/>
                  </w:tcBorders>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超标率%</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98" w:type="dxa"/>
                  <w:tcBorders>
                    <w:tl2br w:val="nil"/>
                    <w:tr2bl w:val="nil"/>
                  </w:tcBorders>
                  <w:vAlign w:val="center"/>
                </w:tcPr>
                <w:p>
                  <w:pPr>
                    <w:pStyle w:val="530"/>
                    <w:tabs>
                      <w:tab w:val="left" w:pos="0"/>
                    </w:tabs>
                    <w:rPr>
                      <w:rFonts w:hint="default" w:ascii="Times New Roman" w:hAnsi="Times New Roman" w:eastAsia="宋体" w:cs="Times New Roman"/>
                      <w:snapToGrid w:val="0"/>
                      <w:color w:val="auto"/>
                      <w:highlight w:val="none"/>
                    </w:rPr>
                  </w:pPr>
                  <w:r>
                    <w:rPr>
                      <w:rFonts w:hint="default" w:ascii="Times New Roman" w:hAnsi="Times New Roman" w:eastAsia="宋体" w:cs="Times New Roman"/>
                      <w:color w:val="auto"/>
                      <w:highlight w:val="none"/>
                    </w:rPr>
                    <w:t>厂区内●1</w:t>
                  </w:r>
                </w:p>
                <w:p>
                  <w:pPr>
                    <w:pStyle w:val="530"/>
                    <w:tabs>
                      <w:tab w:val="left" w:pos="0"/>
                    </w:tabs>
                    <w:rPr>
                      <w:rFonts w:hint="default" w:ascii="Times New Roman" w:hAnsi="Times New Roman" w:eastAsia="宋体" w:cs="Times New Roman"/>
                      <w:color w:val="auto"/>
                      <w:highlight w:val="none"/>
                    </w:rPr>
                  </w:pPr>
                </w:p>
              </w:tc>
              <w:tc>
                <w:tcPr>
                  <w:tcW w:w="2097" w:type="dxa"/>
                  <w:tcBorders>
                    <w:tl2br w:val="nil"/>
                    <w:tr2bl w:val="nil"/>
                  </w:tcBorders>
                  <w:vAlign w:val="center"/>
                </w:tcPr>
                <w:p>
                  <w:pPr>
                    <w:adjustRightInd w:val="0"/>
                    <w:snapToGrid w:val="0"/>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总悬浮颗粒物（μg/m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tc>
              <w:tc>
                <w:tcPr>
                  <w:tcW w:w="1501" w:type="dxa"/>
                  <w:tcBorders>
                    <w:tl2br w:val="nil"/>
                    <w:tr2bl w:val="nil"/>
                  </w:tcBorders>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212-250</w:t>
                  </w:r>
                </w:p>
              </w:tc>
              <w:tc>
                <w:tcPr>
                  <w:tcW w:w="1041" w:type="dxa"/>
                  <w:tcBorders>
                    <w:tl2br w:val="nil"/>
                    <w:tr2bl w:val="nil"/>
                  </w:tcBorders>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300</w:t>
                  </w:r>
                </w:p>
              </w:tc>
              <w:tc>
                <w:tcPr>
                  <w:tcW w:w="1455" w:type="dxa"/>
                  <w:tcBorders>
                    <w:tl2br w:val="nil"/>
                    <w:tr2bl w:val="nil"/>
                  </w:tcBorders>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83.3</w:t>
                  </w:r>
                </w:p>
              </w:tc>
              <w:tc>
                <w:tcPr>
                  <w:tcW w:w="944" w:type="dxa"/>
                  <w:tcBorders>
                    <w:tl2br w:val="nil"/>
                    <w:tr2bl w:val="nil"/>
                  </w:tcBorders>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498" w:type="dxa"/>
                  <w:tcBorders>
                    <w:tl2br w:val="nil"/>
                    <w:tr2bl w:val="nil"/>
                  </w:tcBorders>
                  <w:vAlign w:val="center"/>
                </w:tcPr>
                <w:p>
                  <w:pPr>
                    <w:pStyle w:val="530"/>
                    <w:tabs>
                      <w:tab w:val="left" w:pos="0"/>
                    </w:tabs>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highlight w:val="none"/>
                    </w:rPr>
                    <w:t>厂区外下风向●2</w:t>
                  </w:r>
                </w:p>
              </w:tc>
              <w:tc>
                <w:tcPr>
                  <w:tcW w:w="2097" w:type="dxa"/>
                  <w:tcBorders>
                    <w:tl2br w:val="nil"/>
                    <w:tr2bl w:val="nil"/>
                  </w:tcBorders>
                  <w:vAlign w:val="center"/>
                </w:tcPr>
                <w:p>
                  <w:pPr>
                    <w:adjustRightInd w:val="0"/>
                    <w:snapToGrid w:val="0"/>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总悬浮颗粒物（μg/m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tc>
              <w:tc>
                <w:tcPr>
                  <w:tcW w:w="1501" w:type="dxa"/>
                  <w:tcBorders>
                    <w:tl2br w:val="nil"/>
                    <w:tr2bl w:val="nil"/>
                  </w:tcBorders>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98-132</w:t>
                  </w:r>
                </w:p>
              </w:tc>
              <w:tc>
                <w:tcPr>
                  <w:tcW w:w="1041" w:type="dxa"/>
                  <w:tcBorders>
                    <w:tl2br w:val="nil"/>
                    <w:tr2bl w:val="nil"/>
                  </w:tcBorders>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300</w:t>
                  </w:r>
                </w:p>
              </w:tc>
              <w:tc>
                <w:tcPr>
                  <w:tcW w:w="1455" w:type="dxa"/>
                  <w:tcBorders>
                    <w:tl2br w:val="nil"/>
                    <w:tr2bl w:val="nil"/>
                  </w:tcBorders>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44</w:t>
                  </w:r>
                </w:p>
              </w:tc>
              <w:tc>
                <w:tcPr>
                  <w:tcW w:w="944" w:type="dxa"/>
                  <w:tcBorders>
                    <w:tl2br w:val="nil"/>
                    <w:tr2bl w:val="nil"/>
                  </w:tcBorders>
                  <w:vAlign w:val="center"/>
                </w:tcPr>
                <w:p>
                  <w:pPr>
                    <w:pStyle w:val="530"/>
                    <w:tabs>
                      <w:tab w:val="left" w:pos="0"/>
                    </w:tabs>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0</w:t>
                  </w:r>
                </w:p>
              </w:tc>
            </w:tr>
          </w:tbl>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根据监测结果，项目厂区环境TSP日均浓度范围为212~250μg/m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，最大占标率为83.3%，评价区域环境空气中TSP日均浓度符合评价标准要求。</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根据表3.1-3可知：下风向</w:t>
            </w:r>
            <w:r>
              <w:rPr>
                <w:rFonts w:hint="eastAsia" w:ascii="Times New Roman" w:hAnsi="Times New Roman" w:eastAsia="宋体" w:cs="Times New Roman"/>
                <w:color w:val="auto"/>
                <w:highlight w:val="none"/>
                <w:lang w:val="en-US" w:eastAsia="zh-CN"/>
              </w:rPr>
              <w:t>监测点</w:t>
            </w:r>
            <w:r>
              <w:rPr>
                <w:rFonts w:hint="default" w:ascii="Times New Roman" w:hAnsi="Times New Roman" w:eastAsia="宋体" w:cs="Times New Roman"/>
                <w:color w:val="auto"/>
                <w:highlight w:val="none"/>
              </w:rPr>
              <w:t>环境空气中TSP日均浓度范围为98~132μg/m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，最大占标率为44%，评价区域环境空气中TSP日均浓度符合评价标准要求，评价区环境空气质量总体良好。</w:t>
            </w:r>
          </w:p>
          <w:p>
            <w:pPr>
              <w:pStyle w:val="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3.1.2地表水环境质量现状</w:t>
            </w:r>
          </w:p>
          <w:p>
            <w:pPr>
              <w:widowControl/>
              <w:kinsoku w:val="0"/>
              <w:autoSpaceDE w:val="0"/>
              <w:autoSpaceDN w:val="0"/>
              <w:adjustRightInd w:val="0"/>
              <w:snapToGrid w:val="0"/>
              <w:ind w:firstLine="480"/>
              <w:textAlignment w:val="baseline"/>
              <w:rPr>
                <w:rFonts w:hint="default" w:cs="Times New Roman"/>
                <w:color w:val="auto"/>
                <w:szCs w:val="24"/>
                <w:highlight w:val="none"/>
                <w:lang w:val="en-US" w:eastAsia="zh-CN"/>
              </w:rPr>
            </w:pPr>
            <w:r>
              <w:rPr>
                <w:rFonts w:hint="eastAsia" w:cs="Times New Roman"/>
                <w:color w:val="auto"/>
                <w:szCs w:val="24"/>
                <w:highlight w:val="none"/>
                <w:lang w:eastAsia="zh-CN"/>
              </w:rPr>
              <w:t>（</w:t>
            </w:r>
            <w:r>
              <w:rPr>
                <w:rFonts w:hint="eastAsia" w:cs="Times New Roman"/>
                <w:color w:val="auto"/>
                <w:szCs w:val="24"/>
                <w:highlight w:val="none"/>
                <w:lang w:val="en-US" w:eastAsia="zh-CN"/>
              </w:rPr>
              <w:t>1</w:t>
            </w:r>
            <w:r>
              <w:rPr>
                <w:rFonts w:hint="eastAsia" w:cs="Times New Roman"/>
                <w:color w:val="auto"/>
                <w:szCs w:val="24"/>
                <w:highlight w:val="none"/>
                <w:lang w:eastAsia="zh-CN"/>
              </w:rPr>
              <w:t>）</w:t>
            </w:r>
            <w:r>
              <w:rPr>
                <w:rFonts w:hint="eastAsia" w:cs="Times New Roman"/>
                <w:color w:val="auto"/>
                <w:szCs w:val="24"/>
                <w:highlight w:val="none"/>
                <w:lang w:val="en-US" w:eastAsia="zh-CN"/>
              </w:rPr>
              <w:t>水环境质量标准</w:t>
            </w:r>
          </w:p>
          <w:p>
            <w:pPr>
              <w:widowControl/>
              <w:kinsoku w:val="0"/>
              <w:autoSpaceDE w:val="0"/>
              <w:autoSpaceDN w:val="0"/>
              <w:adjustRightInd w:val="0"/>
              <w:snapToGrid w:val="0"/>
              <w:ind w:firstLine="480"/>
              <w:textAlignment w:val="baseline"/>
              <w:rPr>
                <w:rFonts w:hint="eastAsia" w:cs="Times New Roman"/>
                <w:color w:val="auto"/>
                <w:szCs w:val="24"/>
                <w:highlight w:val="none"/>
                <w:lang w:eastAsia="zh-CN"/>
              </w:rPr>
            </w:pPr>
            <w:r>
              <w:rPr>
                <w:rFonts w:hint="eastAsia" w:cs="Times New Roman"/>
                <w:color w:val="auto"/>
                <w:szCs w:val="24"/>
                <w:highlight w:val="none"/>
                <w:lang w:eastAsia="zh-CN"/>
              </w:rPr>
              <w:t>本项目位于长乐区营前街道，周边</w:t>
            </w:r>
            <w:r>
              <w:rPr>
                <w:rFonts w:hint="eastAsia" w:cs="Times New Roman"/>
                <w:color w:val="auto"/>
                <w:szCs w:val="24"/>
                <w:highlight w:val="none"/>
                <w:lang w:val="en-US" w:eastAsia="zh-CN"/>
              </w:rPr>
              <w:t>最近</w:t>
            </w:r>
            <w:r>
              <w:rPr>
                <w:rFonts w:hint="eastAsia" w:cs="Times New Roman"/>
                <w:color w:val="auto"/>
                <w:szCs w:val="24"/>
                <w:highlight w:val="none"/>
                <w:lang w:eastAsia="zh-CN"/>
              </w:rPr>
              <w:t>水体为</w:t>
            </w:r>
            <w:r>
              <w:rPr>
                <w:rFonts w:hint="eastAsia" w:cs="Times New Roman"/>
                <w:color w:val="auto"/>
                <w:szCs w:val="24"/>
                <w:highlight w:val="none"/>
                <w:lang w:val="en-US" w:eastAsia="zh-CN"/>
              </w:rPr>
              <w:t>位于本次</w:t>
            </w:r>
            <w:r>
              <w:rPr>
                <w:rFonts w:hint="eastAsia" w:cs="Times New Roman"/>
                <w:color w:val="auto"/>
                <w:szCs w:val="24"/>
                <w:highlight w:val="none"/>
                <w:lang w:eastAsia="zh-CN"/>
              </w:rPr>
              <w:t>技改工程北面384m</w:t>
            </w:r>
            <w:r>
              <w:rPr>
                <w:rFonts w:hint="eastAsia" w:cs="Times New Roman"/>
                <w:color w:val="auto"/>
                <w:szCs w:val="24"/>
                <w:highlight w:val="none"/>
                <w:lang w:val="en-US" w:eastAsia="zh-CN"/>
              </w:rPr>
              <w:t>的</w:t>
            </w:r>
            <w:r>
              <w:rPr>
                <w:rFonts w:hint="eastAsia" w:cs="Times New Roman"/>
                <w:color w:val="auto"/>
                <w:szCs w:val="24"/>
                <w:highlight w:val="none"/>
                <w:lang w:eastAsia="zh-CN"/>
              </w:rPr>
              <w:t>闽江营前岐头段。根据《福建省人民政府关于福州市地表水环境功能区划定方案的批复》（闽政文〔2006〕133号），福州长乐市二水厂取水口上游1000米至取水口下游100米（以中泓线为界右侧水域）为饮用水源一级保护地，一级水源保护区执行GB3838-2002《地表水环境质量标准》的II类水质标准；福州长乐市二水厂取水口上游2800米至上游1000米和福州长乐市二水厂取水口下游100米至营前水闸船舶通道西侧断面（以中泓线为界右侧水域）为饮用水源二级保护地，二级水源保护区执行GB3838-2002《地表水环境质量标准》的Ⅲ类水质标准。</w:t>
            </w:r>
          </w:p>
          <w:p>
            <w:pPr>
              <w:widowControl/>
              <w:kinsoku w:val="0"/>
              <w:autoSpaceDE w:val="0"/>
              <w:autoSpaceDN w:val="0"/>
              <w:adjustRightInd w:val="0"/>
              <w:snapToGrid w:val="0"/>
              <w:ind w:firstLine="480"/>
              <w:textAlignment w:val="baseline"/>
              <w:rPr>
                <w:rFonts w:hint="eastAsia" w:cs="Times New Roman"/>
                <w:color w:val="auto"/>
                <w:szCs w:val="24"/>
                <w:highlight w:val="none"/>
                <w:lang w:eastAsia="zh-CN"/>
              </w:rPr>
            </w:pPr>
            <w:r>
              <w:rPr>
                <w:rFonts w:hint="eastAsia" w:cs="Times New Roman"/>
                <w:color w:val="auto"/>
                <w:szCs w:val="24"/>
                <w:highlight w:val="none"/>
                <w:lang w:eastAsia="zh-CN"/>
              </w:rPr>
              <w:t>（</w:t>
            </w:r>
            <w:r>
              <w:rPr>
                <w:rFonts w:hint="eastAsia" w:cs="Times New Roman"/>
                <w:color w:val="auto"/>
                <w:szCs w:val="24"/>
                <w:highlight w:val="none"/>
                <w:lang w:val="en-US" w:eastAsia="zh-CN"/>
              </w:rPr>
              <w:t>2</w:t>
            </w:r>
            <w:r>
              <w:rPr>
                <w:rFonts w:hint="eastAsia" w:cs="Times New Roman"/>
                <w:color w:val="auto"/>
                <w:szCs w:val="24"/>
                <w:highlight w:val="none"/>
                <w:lang w:eastAsia="zh-CN"/>
              </w:rPr>
              <w:t>）地表水环境质量现状</w:t>
            </w:r>
          </w:p>
          <w:p>
            <w:pPr>
              <w:widowControl/>
              <w:kinsoku w:val="0"/>
              <w:autoSpaceDE w:val="0"/>
              <w:autoSpaceDN w:val="0"/>
              <w:adjustRightInd w:val="0"/>
              <w:snapToGrid w:val="0"/>
              <w:ind w:firstLine="480"/>
              <w:textAlignment w:val="baseline"/>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根据《环境影响评价技术导则—地表水环境》（HJ2.3-2018）的要求，水环境质量现状调查应优先采用国务院生态环境保护主管部门统一发布的水环境状况信息。</w:t>
            </w:r>
          </w:p>
          <w:p>
            <w:pPr>
              <w:widowControl/>
              <w:kinsoku w:val="0"/>
              <w:autoSpaceDE w:val="0"/>
              <w:autoSpaceDN w:val="0"/>
              <w:adjustRightInd w:val="0"/>
              <w:snapToGrid w:val="0"/>
              <w:ind w:firstLine="480"/>
              <w:textAlignment w:val="baseline"/>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本</w:t>
            </w:r>
            <w:r>
              <w:rPr>
                <w:rFonts w:hint="eastAsia" w:cs="Times New Roman"/>
                <w:color w:val="auto"/>
                <w:szCs w:val="24"/>
                <w:highlight w:val="none"/>
                <w:lang w:val="en-US" w:eastAsia="zh-CN"/>
              </w:rPr>
              <w:t>技改工程最近的水体为距离生产车间一北面384m</w:t>
            </w:r>
            <w:r>
              <w:rPr>
                <w:rFonts w:hint="default" w:ascii="Times New Roman" w:hAnsi="Times New Roman" w:eastAsia="宋体" w:cs="Times New Roman"/>
                <w:color w:val="auto"/>
                <w:szCs w:val="24"/>
                <w:highlight w:val="none"/>
              </w:rPr>
              <w:t>为</w:t>
            </w:r>
            <w:r>
              <w:rPr>
                <w:rFonts w:hint="eastAsia" w:cs="Times New Roman"/>
                <w:color w:val="auto"/>
                <w:szCs w:val="24"/>
                <w:highlight w:val="none"/>
                <w:lang w:val="en-US" w:eastAsia="zh-CN"/>
              </w:rPr>
              <w:t>闽</w:t>
            </w:r>
            <w:r>
              <w:rPr>
                <w:rFonts w:hint="default" w:ascii="Times New Roman" w:hAnsi="Times New Roman" w:eastAsia="宋体" w:cs="Times New Roman"/>
                <w:color w:val="auto"/>
                <w:szCs w:val="24"/>
                <w:highlight w:val="none"/>
              </w:rPr>
              <w:t>江营前岐头段，位于炎山水源二级保护区范围内。根据福建省人民政府关于长乐市和福清市生活饮用水源保护区划定方案的批复(闽政文[2002]349号)，闽江南港炎山矶头长乐二水厂取水口上游1000米至下游100米以中泓线为界南侧水域及其南岸外延50米范围为炎山水源一级保护区，闽江南港炎山矶头长乐二水厂取水口上游1000米至乌龙江高速公路桥断面(上游2800米)和取水口下游100米营前水闻船舶通道西侧(下游2300米)以中泓线为界南侧水源及其南岸外延50米范围陆域为二级水源保护区，二级水源保护区执行《地表水环境质量标准》（GB3838-2002）的Ⅲ类水质标准。</w:t>
            </w:r>
          </w:p>
          <w:p>
            <w:pPr>
              <w:widowControl/>
              <w:kinsoku w:val="0"/>
              <w:autoSpaceDE w:val="0"/>
              <w:autoSpaceDN w:val="0"/>
              <w:adjustRightInd w:val="0"/>
              <w:snapToGrid w:val="0"/>
              <w:ind w:firstLine="480"/>
              <w:textAlignment w:val="baseline"/>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为了解</w:t>
            </w:r>
            <w:r>
              <w:rPr>
                <w:rFonts w:hint="eastAsia" w:cs="Times New Roman"/>
                <w:color w:val="auto"/>
                <w:szCs w:val="24"/>
                <w:highlight w:val="none"/>
                <w:lang w:val="en-US" w:eastAsia="zh-CN"/>
              </w:rPr>
              <w:t>技改工程</w:t>
            </w:r>
            <w:r>
              <w:rPr>
                <w:rFonts w:hint="default" w:ascii="Times New Roman" w:hAnsi="Times New Roman" w:eastAsia="宋体" w:cs="Times New Roman"/>
                <w:color w:val="auto"/>
                <w:szCs w:val="24"/>
                <w:highlight w:val="none"/>
              </w:rPr>
              <w:t>周边区域地表水环境质量现状，本评价收集2024年1-9月、2024年11月-2025年1月（2024年10月数据缺失）福州市长乐生态环境局公布的《福州市长乐区环境质量月通报》。</w:t>
            </w:r>
            <w:r>
              <w:rPr>
                <w:rFonts w:hint="eastAsia" w:cs="Times New Roman"/>
                <w:color w:val="auto"/>
                <w:szCs w:val="24"/>
                <w:highlight w:val="none"/>
                <w:lang w:val="en-US" w:eastAsia="zh-CN"/>
              </w:rPr>
              <w:t>闽江现有</w:t>
            </w:r>
            <w:r>
              <w:rPr>
                <w:rFonts w:hint="default" w:ascii="Times New Roman" w:hAnsi="Times New Roman" w:eastAsia="宋体" w:cs="Times New Roman"/>
                <w:color w:val="auto"/>
                <w:szCs w:val="24"/>
                <w:highlight w:val="none"/>
              </w:rPr>
              <w:t>2个断面均可以达到《地表水环境质量标准》（GB3838-2002）Ⅲ类水质标准。</w:t>
            </w:r>
          </w:p>
          <w:p>
            <w:pPr>
              <w:pStyle w:val="578"/>
              <w:ind w:firstLine="48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表</w:t>
            </w:r>
            <w:r>
              <w:rPr>
                <w:rFonts w:hint="default" w:ascii="Times New Roman" w:hAnsi="Times New Roman" w:eastAsia="宋体" w:cs="Times New Roman"/>
                <w:bCs/>
                <w:color w:val="auto"/>
                <w:szCs w:val="28"/>
                <w:highlight w:val="none"/>
              </w:rPr>
              <w:t xml:space="preserve">3.1-4  </w:t>
            </w:r>
            <w:r>
              <w:rPr>
                <w:rFonts w:hint="default" w:ascii="Times New Roman" w:hAnsi="Times New Roman" w:eastAsia="宋体" w:cs="Times New Roman"/>
                <w:color w:val="auto"/>
                <w:highlight w:val="none"/>
              </w:rPr>
              <w:t>2024年闽安断面水环境质量</w:t>
            </w:r>
          </w:p>
          <w:tbl>
            <w:tblPr>
              <w:tblStyle w:val="49"/>
              <w:tblW w:w="8533" w:type="dxa"/>
              <w:jc w:val="center"/>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974"/>
              <w:gridCol w:w="917"/>
              <w:gridCol w:w="1687"/>
              <w:gridCol w:w="1027"/>
              <w:gridCol w:w="1102"/>
              <w:gridCol w:w="1662"/>
              <w:gridCol w:w="1164"/>
            </w:tblGrid>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974" w:type="dxa"/>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年份</w:t>
                  </w:r>
                </w:p>
              </w:tc>
              <w:tc>
                <w:tcPr>
                  <w:tcW w:w="917" w:type="dxa"/>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月份</w:t>
                  </w:r>
                </w:p>
              </w:tc>
              <w:tc>
                <w:tcPr>
                  <w:tcW w:w="1687" w:type="dxa"/>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断面名称</w:t>
                  </w:r>
                </w:p>
              </w:tc>
              <w:tc>
                <w:tcPr>
                  <w:tcW w:w="1027" w:type="dxa"/>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执行标准</w:t>
                  </w:r>
                </w:p>
              </w:tc>
              <w:tc>
                <w:tcPr>
                  <w:tcW w:w="1102" w:type="dxa"/>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当月水</w:t>
                  </w:r>
                </w:p>
                <w:p>
                  <w:pPr>
                    <w:pStyle w:val="117"/>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质类别</w:t>
                  </w:r>
                </w:p>
              </w:tc>
              <w:tc>
                <w:tcPr>
                  <w:tcW w:w="1662" w:type="dxa"/>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均值超标项目</w:t>
                  </w:r>
                </w:p>
                <w:p>
                  <w:pPr>
                    <w:pStyle w:val="117"/>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及超标倍数</w:t>
                  </w:r>
                </w:p>
              </w:tc>
              <w:tc>
                <w:tcPr>
                  <w:tcW w:w="1164" w:type="dxa"/>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达标率</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974" w:type="dxa"/>
                  <w:vMerge w:val="restart"/>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2024</w:t>
                  </w:r>
                </w:p>
              </w:tc>
              <w:tc>
                <w:tcPr>
                  <w:tcW w:w="917" w:type="dxa"/>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w:t>
                  </w:r>
                </w:p>
              </w:tc>
              <w:tc>
                <w:tcPr>
                  <w:tcW w:w="1687" w:type="dxa"/>
                  <w:vMerge w:val="restart"/>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闽安</w:t>
                  </w:r>
                </w:p>
                <w:p>
                  <w:pPr>
                    <w:pStyle w:val="117"/>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(国控地表水断面)</w:t>
                  </w:r>
                </w:p>
              </w:tc>
              <w:tc>
                <w:tcPr>
                  <w:tcW w:w="1027" w:type="dxa"/>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Ⅲ</w:t>
                  </w:r>
                </w:p>
              </w:tc>
              <w:tc>
                <w:tcPr>
                  <w:tcW w:w="1102" w:type="dxa"/>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达标</w:t>
                  </w:r>
                </w:p>
              </w:tc>
              <w:tc>
                <w:tcPr>
                  <w:tcW w:w="1662" w:type="dxa"/>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164" w:type="dxa"/>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100%</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974" w:type="dxa"/>
                  <w:vMerge w:val="continue"/>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p>
              </w:tc>
              <w:tc>
                <w:tcPr>
                  <w:tcW w:w="917" w:type="dxa"/>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w:t>
                  </w:r>
                </w:p>
              </w:tc>
              <w:tc>
                <w:tcPr>
                  <w:tcW w:w="1687" w:type="dxa"/>
                  <w:vMerge w:val="continue"/>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p>
              </w:tc>
              <w:tc>
                <w:tcPr>
                  <w:tcW w:w="1027" w:type="dxa"/>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Ⅲ</w:t>
                  </w:r>
                </w:p>
              </w:tc>
              <w:tc>
                <w:tcPr>
                  <w:tcW w:w="1102" w:type="dxa"/>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达标</w:t>
                  </w:r>
                </w:p>
              </w:tc>
              <w:tc>
                <w:tcPr>
                  <w:tcW w:w="1662" w:type="dxa"/>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164" w:type="dxa"/>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100%</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974" w:type="dxa"/>
                  <w:vMerge w:val="continue"/>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p>
              </w:tc>
              <w:tc>
                <w:tcPr>
                  <w:tcW w:w="917" w:type="dxa"/>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w:t>
                  </w:r>
                </w:p>
              </w:tc>
              <w:tc>
                <w:tcPr>
                  <w:tcW w:w="1687" w:type="dxa"/>
                  <w:vMerge w:val="continue"/>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p>
              </w:tc>
              <w:tc>
                <w:tcPr>
                  <w:tcW w:w="1027" w:type="dxa"/>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Ⅲ</w:t>
                  </w:r>
                </w:p>
              </w:tc>
              <w:tc>
                <w:tcPr>
                  <w:tcW w:w="1102" w:type="dxa"/>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达标</w:t>
                  </w:r>
                </w:p>
              </w:tc>
              <w:tc>
                <w:tcPr>
                  <w:tcW w:w="1662" w:type="dxa"/>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164" w:type="dxa"/>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100%</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974" w:type="dxa"/>
                  <w:vMerge w:val="continue"/>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p>
              </w:tc>
              <w:tc>
                <w:tcPr>
                  <w:tcW w:w="917" w:type="dxa"/>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w:t>
                  </w:r>
                </w:p>
              </w:tc>
              <w:tc>
                <w:tcPr>
                  <w:tcW w:w="1687" w:type="dxa"/>
                  <w:vMerge w:val="continue"/>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p>
              </w:tc>
              <w:tc>
                <w:tcPr>
                  <w:tcW w:w="1027" w:type="dxa"/>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Ⅲ</w:t>
                  </w:r>
                </w:p>
              </w:tc>
              <w:tc>
                <w:tcPr>
                  <w:tcW w:w="1102" w:type="dxa"/>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达标</w:t>
                  </w:r>
                </w:p>
              </w:tc>
              <w:tc>
                <w:tcPr>
                  <w:tcW w:w="1662" w:type="dxa"/>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164" w:type="dxa"/>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100%</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974" w:type="dxa"/>
                  <w:vMerge w:val="continue"/>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p>
              </w:tc>
              <w:tc>
                <w:tcPr>
                  <w:tcW w:w="917" w:type="dxa"/>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w:t>
                  </w:r>
                </w:p>
              </w:tc>
              <w:tc>
                <w:tcPr>
                  <w:tcW w:w="1687" w:type="dxa"/>
                  <w:vMerge w:val="continue"/>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p>
              </w:tc>
              <w:tc>
                <w:tcPr>
                  <w:tcW w:w="1027" w:type="dxa"/>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Ⅲ</w:t>
                  </w:r>
                </w:p>
              </w:tc>
              <w:tc>
                <w:tcPr>
                  <w:tcW w:w="1102" w:type="dxa"/>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达标</w:t>
                  </w:r>
                </w:p>
              </w:tc>
              <w:tc>
                <w:tcPr>
                  <w:tcW w:w="1662" w:type="dxa"/>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164" w:type="dxa"/>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100%</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974" w:type="dxa"/>
                  <w:vMerge w:val="continue"/>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p>
              </w:tc>
              <w:tc>
                <w:tcPr>
                  <w:tcW w:w="917" w:type="dxa"/>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w:t>
                  </w:r>
                </w:p>
              </w:tc>
              <w:tc>
                <w:tcPr>
                  <w:tcW w:w="1687" w:type="dxa"/>
                  <w:vMerge w:val="continue"/>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p>
              </w:tc>
              <w:tc>
                <w:tcPr>
                  <w:tcW w:w="1027" w:type="dxa"/>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Ⅲ</w:t>
                  </w:r>
                </w:p>
              </w:tc>
              <w:tc>
                <w:tcPr>
                  <w:tcW w:w="1102" w:type="dxa"/>
                  <w:tcBorders>
                    <w:tl2br w:val="nil"/>
                    <w:tr2bl w:val="nil"/>
                  </w:tcBorders>
                  <w:vAlign w:val="center"/>
                </w:tcPr>
                <w:p>
                  <w:pPr>
                    <w:pStyle w:val="117"/>
                    <w:ind w:firstLine="0" w:firstLineChars="0"/>
                    <w:rPr>
                      <w:rFonts w:hint="default" w:ascii="Times New Roman" w:hAnsi="Times New Roman" w:eastAsia="宋体" w:cs="Times New Roman"/>
                      <w:color w:val="auto"/>
                      <w:highlight w:val="none"/>
                      <w:lang w:val="zh-CN"/>
                    </w:rPr>
                  </w:pPr>
                  <w:r>
                    <w:rPr>
                      <w:rFonts w:hint="default" w:ascii="Times New Roman" w:hAnsi="Times New Roman" w:eastAsia="宋体" w:cs="Times New Roman"/>
                      <w:color w:val="auto"/>
                      <w:highlight w:val="none"/>
                    </w:rPr>
                    <w:t>达标</w:t>
                  </w:r>
                </w:p>
              </w:tc>
              <w:tc>
                <w:tcPr>
                  <w:tcW w:w="1662" w:type="dxa"/>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164" w:type="dxa"/>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100%</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974" w:type="dxa"/>
                  <w:vMerge w:val="continue"/>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p>
              </w:tc>
              <w:tc>
                <w:tcPr>
                  <w:tcW w:w="917" w:type="dxa"/>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7</w:t>
                  </w:r>
                </w:p>
              </w:tc>
              <w:tc>
                <w:tcPr>
                  <w:tcW w:w="1687" w:type="dxa"/>
                  <w:vMerge w:val="continue"/>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p>
              </w:tc>
              <w:tc>
                <w:tcPr>
                  <w:tcW w:w="1027" w:type="dxa"/>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Ⅲ</w:t>
                  </w:r>
                </w:p>
              </w:tc>
              <w:tc>
                <w:tcPr>
                  <w:tcW w:w="1102" w:type="dxa"/>
                  <w:tcBorders>
                    <w:tl2br w:val="nil"/>
                    <w:tr2bl w:val="nil"/>
                  </w:tcBorders>
                  <w:vAlign w:val="center"/>
                </w:tcPr>
                <w:p>
                  <w:pPr>
                    <w:pStyle w:val="117"/>
                    <w:ind w:firstLine="0" w:firstLineChars="0"/>
                    <w:rPr>
                      <w:rFonts w:hint="default" w:ascii="Times New Roman" w:hAnsi="Times New Roman" w:eastAsia="宋体" w:cs="Times New Roman"/>
                      <w:color w:val="auto"/>
                      <w:highlight w:val="none"/>
                      <w:lang w:val="zh-CN"/>
                    </w:rPr>
                  </w:pPr>
                  <w:r>
                    <w:rPr>
                      <w:rFonts w:hint="default" w:ascii="Times New Roman" w:hAnsi="Times New Roman" w:eastAsia="宋体" w:cs="Times New Roman"/>
                      <w:color w:val="auto"/>
                      <w:highlight w:val="none"/>
                    </w:rPr>
                    <w:t>达标</w:t>
                  </w:r>
                </w:p>
              </w:tc>
              <w:tc>
                <w:tcPr>
                  <w:tcW w:w="1662" w:type="dxa"/>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164" w:type="dxa"/>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100%</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974" w:type="dxa"/>
                  <w:vMerge w:val="continue"/>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p>
              </w:tc>
              <w:tc>
                <w:tcPr>
                  <w:tcW w:w="917" w:type="dxa"/>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8</w:t>
                  </w:r>
                </w:p>
              </w:tc>
              <w:tc>
                <w:tcPr>
                  <w:tcW w:w="1687" w:type="dxa"/>
                  <w:vMerge w:val="continue"/>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p>
              </w:tc>
              <w:tc>
                <w:tcPr>
                  <w:tcW w:w="1027" w:type="dxa"/>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Ⅲ</w:t>
                  </w:r>
                </w:p>
              </w:tc>
              <w:tc>
                <w:tcPr>
                  <w:tcW w:w="1102" w:type="dxa"/>
                  <w:tcBorders>
                    <w:tl2br w:val="nil"/>
                    <w:tr2bl w:val="nil"/>
                  </w:tcBorders>
                  <w:vAlign w:val="center"/>
                </w:tcPr>
                <w:p>
                  <w:pPr>
                    <w:pStyle w:val="117"/>
                    <w:ind w:firstLine="0" w:firstLineChars="0"/>
                    <w:rPr>
                      <w:rFonts w:hint="default" w:ascii="Times New Roman" w:hAnsi="Times New Roman" w:eastAsia="宋体" w:cs="Times New Roman"/>
                      <w:color w:val="auto"/>
                      <w:highlight w:val="none"/>
                      <w:lang w:val="zh-CN"/>
                    </w:rPr>
                  </w:pPr>
                  <w:r>
                    <w:rPr>
                      <w:rFonts w:hint="default" w:ascii="Times New Roman" w:hAnsi="Times New Roman" w:eastAsia="宋体" w:cs="Times New Roman"/>
                      <w:color w:val="auto"/>
                      <w:highlight w:val="none"/>
                    </w:rPr>
                    <w:t>达标</w:t>
                  </w:r>
                </w:p>
              </w:tc>
              <w:tc>
                <w:tcPr>
                  <w:tcW w:w="1662" w:type="dxa"/>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164" w:type="dxa"/>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100%</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974" w:type="dxa"/>
                  <w:vMerge w:val="continue"/>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p>
              </w:tc>
              <w:tc>
                <w:tcPr>
                  <w:tcW w:w="917" w:type="dxa"/>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9</w:t>
                  </w:r>
                </w:p>
              </w:tc>
              <w:tc>
                <w:tcPr>
                  <w:tcW w:w="1687" w:type="dxa"/>
                  <w:vMerge w:val="continue"/>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p>
              </w:tc>
              <w:tc>
                <w:tcPr>
                  <w:tcW w:w="1027" w:type="dxa"/>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Ⅲ</w:t>
                  </w:r>
                </w:p>
              </w:tc>
              <w:tc>
                <w:tcPr>
                  <w:tcW w:w="1102" w:type="dxa"/>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达标</w:t>
                  </w:r>
                </w:p>
              </w:tc>
              <w:tc>
                <w:tcPr>
                  <w:tcW w:w="1662" w:type="dxa"/>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164" w:type="dxa"/>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100%</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974" w:type="dxa"/>
                  <w:vMerge w:val="continue"/>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p>
              </w:tc>
              <w:tc>
                <w:tcPr>
                  <w:tcW w:w="917" w:type="dxa"/>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11</w:t>
                  </w:r>
                </w:p>
              </w:tc>
              <w:tc>
                <w:tcPr>
                  <w:tcW w:w="1687" w:type="dxa"/>
                  <w:vMerge w:val="continue"/>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p>
              </w:tc>
              <w:tc>
                <w:tcPr>
                  <w:tcW w:w="1027" w:type="dxa"/>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Ⅲ</w:t>
                  </w:r>
                </w:p>
              </w:tc>
              <w:tc>
                <w:tcPr>
                  <w:tcW w:w="1102" w:type="dxa"/>
                  <w:tcBorders>
                    <w:tl2br w:val="nil"/>
                    <w:tr2bl w:val="nil"/>
                  </w:tcBorders>
                  <w:vAlign w:val="center"/>
                </w:tcPr>
                <w:p>
                  <w:pPr>
                    <w:pStyle w:val="117"/>
                    <w:ind w:firstLine="0" w:firstLineChars="0"/>
                    <w:rPr>
                      <w:rFonts w:hint="default" w:ascii="Times New Roman" w:hAnsi="Times New Roman" w:eastAsia="宋体" w:cs="Times New Roman"/>
                      <w:color w:val="auto"/>
                      <w:highlight w:val="none"/>
                      <w:lang w:val="zh-CN"/>
                    </w:rPr>
                  </w:pPr>
                  <w:r>
                    <w:rPr>
                      <w:rFonts w:hint="default" w:ascii="Times New Roman" w:hAnsi="Times New Roman" w:eastAsia="宋体" w:cs="Times New Roman"/>
                      <w:color w:val="auto"/>
                      <w:highlight w:val="none"/>
                    </w:rPr>
                    <w:t>达标</w:t>
                  </w:r>
                </w:p>
              </w:tc>
              <w:tc>
                <w:tcPr>
                  <w:tcW w:w="1662" w:type="dxa"/>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164" w:type="dxa"/>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100%</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974" w:type="dxa"/>
                  <w:vMerge w:val="continue"/>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p>
              </w:tc>
              <w:tc>
                <w:tcPr>
                  <w:tcW w:w="917" w:type="dxa"/>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12</w:t>
                  </w:r>
                </w:p>
              </w:tc>
              <w:tc>
                <w:tcPr>
                  <w:tcW w:w="1687" w:type="dxa"/>
                  <w:vMerge w:val="continue"/>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p>
              </w:tc>
              <w:tc>
                <w:tcPr>
                  <w:tcW w:w="1027" w:type="dxa"/>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Ⅲ</w:t>
                  </w:r>
                </w:p>
              </w:tc>
              <w:tc>
                <w:tcPr>
                  <w:tcW w:w="1102" w:type="dxa"/>
                  <w:tcBorders>
                    <w:tl2br w:val="nil"/>
                    <w:tr2bl w:val="nil"/>
                  </w:tcBorders>
                  <w:vAlign w:val="center"/>
                </w:tcPr>
                <w:p>
                  <w:pPr>
                    <w:pStyle w:val="117"/>
                    <w:ind w:firstLine="0" w:firstLineChars="0"/>
                    <w:rPr>
                      <w:rFonts w:hint="default" w:ascii="Times New Roman" w:hAnsi="Times New Roman" w:eastAsia="宋体" w:cs="Times New Roman"/>
                      <w:color w:val="auto"/>
                      <w:highlight w:val="none"/>
                      <w:lang w:val="zh-CN"/>
                    </w:rPr>
                  </w:pPr>
                  <w:r>
                    <w:rPr>
                      <w:rFonts w:hint="default" w:ascii="Times New Roman" w:hAnsi="Times New Roman" w:eastAsia="宋体" w:cs="Times New Roman"/>
                      <w:color w:val="auto"/>
                      <w:highlight w:val="none"/>
                    </w:rPr>
                    <w:t>达标</w:t>
                  </w:r>
                </w:p>
              </w:tc>
              <w:tc>
                <w:tcPr>
                  <w:tcW w:w="1662" w:type="dxa"/>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164" w:type="dxa"/>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100%</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974" w:type="dxa"/>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2025</w:t>
                  </w:r>
                </w:p>
              </w:tc>
              <w:tc>
                <w:tcPr>
                  <w:tcW w:w="917" w:type="dxa"/>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w:t>
                  </w:r>
                </w:p>
              </w:tc>
              <w:tc>
                <w:tcPr>
                  <w:tcW w:w="1687" w:type="dxa"/>
                  <w:vMerge w:val="continue"/>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p>
              </w:tc>
              <w:tc>
                <w:tcPr>
                  <w:tcW w:w="1027" w:type="dxa"/>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Ⅲ</w:t>
                  </w:r>
                </w:p>
              </w:tc>
              <w:tc>
                <w:tcPr>
                  <w:tcW w:w="1102" w:type="dxa"/>
                  <w:tcBorders>
                    <w:tl2br w:val="nil"/>
                    <w:tr2bl w:val="nil"/>
                  </w:tcBorders>
                  <w:vAlign w:val="center"/>
                </w:tcPr>
                <w:p>
                  <w:pPr>
                    <w:pStyle w:val="117"/>
                    <w:ind w:firstLine="0" w:firstLineChars="0"/>
                    <w:rPr>
                      <w:rFonts w:hint="default" w:ascii="Times New Roman" w:hAnsi="Times New Roman" w:eastAsia="宋体" w:cs="Times New Roman"/>
                      <w:color w:val="auto"/>
                      <w:highlight w:val="none"/>
                      <w:lang w:val="zh-CN"/>
                    </w:rPr>
                  </w:pPr>
                  <w:r>
                    <w:rPr>
                      <w:rFonts w:hint="default" w:ascii="Times New Roman" w:hAnsi="Times New Roman" w:eastAsia="宋体" w:cs="Times New Roman"/>
                      <w:color w:val="auto"/>
                      <w:highlight w:val="none"/>
                    </w:rPr>
                    <w:t>达标</w:t>
                  </w:r>
                </w:p>
              </w:tc>
              <w:tc>
                <w:tcPr>
                  <w:tcW w:w="1662" w:type="dxa"/>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164" w:type="dxa"/>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100%</w:t>
                  </w:r>
                </w:p>
              </w:tc>
            </w:tr>
          </w:tbl>
          <w:p>
            <w:pPr>
              <w:pStyle w:val="578"/>
              <w:ind w:firstLine="48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表3.1-5  2024年闽江炎山矶头取水口水环境质量</w:t>
            </w:r>
          </w:p>
          <w:tbl>
            <w:tblPr>
              <w:tblStyle w:val="49"/>
              <w:tblW w:w="8533" w:type="dxa"/>
              <w:jc w:val="center"/>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974"/>
              <w:gridCol w:w="917"/>
              <w:gridCol w:w="1687"/>
              <w:gridCol w:w="1027"/>
              <w:gridCol w:w="1102"/>
              <w:gridCol w:w="1662"/>
              <w:gridCol w:w="1164"/>
            </w:tblGrid>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7" w:hRule="atLeast"/>
                <w:tblHeader/>
                <w:jc w:val="center"/>
              </w:trPr>
              <w:tc>
                <w:tcPr>
                  <w:tcW w:w="974" w:type="dxa"/>
                  <w:tcBorders>
                    <w:tl2br w:val="nil"/>
                    <w:tr2bl w:val="nil"/>
                  </w:tcBorders>
                  <w:vAlign w:val="center"/>
                </w:tcPr>
                <w:p>
                  <w:pPr>
                    <w:pStyle w:val="96"/>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年份</w:t>
                  </w:r>
                </w:p>
              </w:tc>
              <w:tc>
                <w:tcPr>
                  <w:tcW w:w="917" w:type="dxa"/>
                  <w:tcBorders>
                    <w:tl2br w:val="nil"/>
                    <w:tr2bl w:val="nil"/>
                  </w:tcBorders>
                  <w:vAlign w:val="center"/>
                </w:tcPr>
                <w:p>
                  <w:pPr>
                    <w:pStyle w:val="96"/>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月份</w:t>
                  </w:r>
                </w:p>
              </w:tc>
              <w:tc>
                <w:tcPr>
                  <w:tcW w:w="1687" w:type="dxa"/>
                  <w:tcBorders>
                    <w:tl2br w:val="nil"/>
                    <w:tr2bl w:val="nil"/>
                  </w:tcBorders>
                  <w:vAlign w:val="center"/>
                </w:tcPr>
                <w:p>
                  <w:pPr>
                    <w:pStyle w:val="96"/>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断面名称</w:t>
                  </w:r>
                </w:p>
              </w:tc>
              <w:tc>
                <w:tcPr>
                  <w:tcW w:w="1027" w:type="dxa"/>
                  <w:tcBorders>
                    <w:tl2br w:val="nil"/>
                    <w:tr2bl w:val="nil"/>
                  </w:tcBorders>
                  <w:vAlign w:val="center"/>
                </w:tcPr>
                <w:p>
                  <w:pPr>
                    <w:pStyle w:val="96"/>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执行标准</w:t>
                  </w:r>
                </w:p>
              </w:tc>
              <w:tc>
                <w:tcPr>
                  <w:tcW w:w="1102" w:type="dxa"/>
                  <w:tcBorders>
                    <w:tl2br w:val="nil"/>
                    <w:tr2bl w:val="nil"/>
                  </w:tcBorders>
                  <w:vAlign w:val="center"/>
                </w:tcPr>
                <w:p>
                  <w:pPr>
                    <w:pStyle w:val="96"/>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当月水</w:t>
                  </w:r>
                </w:p>
                <w:p>
                  <w:pPr>
                    <w:pStyle w:val="96"/>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质类别</w:t>
                  </w:r>
                </w:p>
              </w:tc>
              <w:tc>
                <w:tcPr>
                  <w:tcW w:w="1662" w:type="dxa"/>
                  <w:tcBorders>
                    <w:tl2br w:val="nil"/>
                    <w:tr2bl w:val="nil"/>
                  </w:tcBorders>
                  <w:vAlign w:val="center"/>
                </w:tcPr>
                <w:p>
                  <w:pPr>
                    <w:pStyle w:val="96"/>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均值超标项目</w:t>
                  </w:r>
                </w:p>
                <w:p>
                  <w:pPr>
                    <w:pStyle w:val="96"/>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及超标倍数</w:t>
                  </w:r>
                </w:p>
              </w:tc>
              <w:tc>
                <w:tcPr>
                  <w:tcW w:w="1164" w:type="dxa"/>
                  <w:tcBorders>
                    <w:tl2br w:val="nil"/>
                    <w:tr2bl w:val="nil"/>
                  </w:tcBorders>
                  <w:vAlign w:val="center"/>
                </w:tcPr>
                <w:p>
                  <w:pPr>
                    <w:pStyle w:val="96"/>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达标率</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974" w:type="dxa"/>
                  <w:vMerge w:val="restart"/>
                  <w:tcBorders>
                    <w:tl2br w:val="nil"/>
                    <w:tr2bl w:val="nil"/>
                  </w:tcBorders>
                  <w:vAlign w:val="center"/>
                </w:tcPr>
                <w:p>
                  <w:pPr>
                    <w:pStyle w:val="96"/>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2024</w:t>
                  </w:r>
                </w:p>
              </w:tc>
              <w:tc>
                <w:tcPr>
                  <w:tcW w:w="917" w:type="dxa"/>
                  <w:tcBorders>
                    <w:tl2br w:val="nil"/>
                    <w:tr2bl w:val="nil"/>
                  </w:tcBorders>
                  <w:vAlign w:val="center"/>
                </w:tcPr>
                <w:p>
                  <w:pPr>
                    <w:pStyle w:val="96"/>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w:t>
                  </w:r>
                </w:p>
              </w:tc>
              <w:tc>
                <w:tcPr>
                  <w:tcW w:w="1687" w:type="dxa"/>
                  <w:vMerge w:val="restart"/>
                  <w:tcBorders>
                    <w:tl2br w:val="nil"/>
                    <w:tr2bl w:val="nil"/>
                  </w:tcBorders>
                  <w:vAlign w:val="center"/>
                </w:tcPr>
                <w:p>
                  <w:pPr>
                    <w:pStyle w:val="96"/>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炎山矶头取水口</w:t>
                  </w:r>
                </w:p>
                <w:p>
                  <w:pPr>
                    <w:pStyle w:val="96"/>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(闽江炎山水源地)</w:t>
                  </w:r>
                </w:p>
              </w:tc>
              <w:tc>
                <w:tcPr>
                  <w:tcW w:w="1027" w:type="dxa"/>
                  <w:tcBorders>
                    <w:tl2br w:val="nil"/>
                    <w:tr2bl w:val="nil"/>
                  </w:tcBorders>
                  <w:vAlign w:val="center"/>
                </w:tcPr>
                <w:p>
                  <w:pPr>
                    <w:pStyle w:val="96"/>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Ⅲ</w:t>
                  </w:r>
                </w:p>
              </w:tc>
              <w:tc>
                <w:tcPr>
                  <w:tcW w:w="1102" w:type="dxa"/>
                  <w:tcBorders>
                    <w:tl2br w:val="nil"/>
                    <w:tr2bl w:val="nil"/>
                  </w:tcBorders>
                  <w:vAlign w:val="center"/>
                </w:tcPr>
                <w:p>
                  <w:pPr>
                    <w:pStyle w:val="96"/>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达标</w:t>
                  </w:r>
                </w:p>
              </w:tc>
              <w:tc>
                <w:tcPr>
                  <w:tcW w:w="1662" w:type="dxa"/>
                  <w:tcBorders>
                    <w:tl2br w:val="nil"/>
                    <w:tr2bl w:val="nil"/>
                  </w:tcBorders>
                  <w:vAlign w:val="center"/>
                </w:tcPr>
                <w:p>
                  <w:pPr>
                    <w:pStyle w:val="96"/>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164" w:type="dxa"/>
                  <w:tcBorders>
                    <w:tl2br w:val="nil"/>
                    <w:tr2bl w:val="nil"/>
                  </w:tcBorders>
                  <w:vAlign w:val="center"/>
                </w:tcPr>
                <w:p>
                  <w:pPr>
                    <w:pStyle w:val="96"/>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100%</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974" w:type="dxa"/>
                  <w:vMerge w:val="continue"/>
                  <w:tcBorders>
                    <w:tl2br w:val="nil"/>
                    <w:tr2bl w:val="nil"/>
                  </w:tcBorders>
                  <w:vAlign w:val="center"/>
                </w:tcPr>
                <w:p>
                  <w:pPr>
                    <w:pStyle w:val="96"/>
                    <w:ind w:firstLine="0" w:firstLineChars="0"/>
                    <w:rPr>
                      <w:rFonts w:hint="default" w:ascii="Times New Roman" w:hAnsi="Times New Roman" w:eastAsia="宋体" w:cs="Times New Roman"/>
                      <w:color w:val="auto"/>
                      <w:highlight w:val="none"/>
                    </w:rPr>
                  </w:pPr>
                </w:p>
              </w:tc>
              <w:tc>
                <w:tcPr>
                  <w:tcW w:w="917" w:type="dxa"/>
                  <w:tcBorders>
                    <w:tl2br w:val="nil"/>
                    <w:tr2bl w:val="nil"/>
                  </w:tcBorders>
                  <w:vAlign w:val="center"/>
                </w:tcPr>
                <w:p>
                  <w:pPr>
                    <w:pStyle w:val="96"/>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w:t>
                  </w:r>
                </w:p>
              </w:tc>
              <w:tc>
                <w:tcPr>
                  <w:tcW w:w="1687" w:type="dxa"/>
                  <w:vMerge w:val="continue"/>
                  <w:tcBorders>
                    <w:tl2br w:val="nil"/>
                    <w:tr2bl w:val="nil"/>
                  </w:tcBorders>
                  <w:vAlign w:val="center"/>
                </w:tcPr>
                <w:p>
                  <w:pPr>
                    <w:pStyle w:val="96"/>
                    <w:ind w:firstLine="0" w:firstLineChars="0"/>
                    <w:rPr>
                      <w:rFonts w:hint="default" w:ascii="Times New Roman" w:hAnsi="Times New Roman" w:eastAsia="宋体" w:cs="Times New Roman"/>
                      <w:color w:val="auto"/>
                      <w:highlight w:val="none"/>
                    </w:rPr>
                  </w:pPr>
                </w:p>
              </w:tc>
              <w:tc>
                <w:tcPr>
                  <w:tcW w:w="1027" w:type="dxa"/>
                  <w:tcBorders>
                    <w:tl2br w:val="nil"/>
                    <w:tr2bl w:val="nil"/>
                  </w:tcBorders>
                  <w:vAlign w:val="center"/>
                </w:tcPr>
                <w:p>
                  <w:pPr>
                    <w:pStyle w:val="96"/>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Ⅲ</w:t>
                  </w:r>
                </w:p>
              </w:tc>
              <w:tc>
                <w:tcPr>
                  <w:tcW w:w="1102" w:type="dxa"/>
                  <w:tcBorders>
                    <w:tl2br w:val="nil"/>
                    <w:tr2bl w:val="nil"/>
                  </w:tcBorders>
                  <w:vAlign w:val="center"/>
                </w:tcPr>
                <w:p>
                  <w:pPr>
                    <w:pStyle w:val="96"/>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达标</w:t>
                  </w:r>
                </w:p>
              </w:tc>
              <w:tc>
                <w:tcPr>
                  <w:tcW w:w="1662" w:type="dxa"/>
                  <w:tcBorders>
                    <w:tl2br w:val="nil"/>
                    <w:tr2bl w:val="nil"/>
                  </w:tcBorders>
                  <w:vAlign w:val="center"/>
                </w:tcPr>
                <w:p>
                  <w:pPr>
                    <w:pStyle w:val="96"/>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164" w:type="dxa"/>
                  <w:tcBorders>
                    <w:tl2br w:val="nil"/>
                    <w:tr2bl w:val="nil"/>
                  </w:tcBorders>
                  <w:vAlign w:val="center"/>
                </w:tcPr>
                <w:p>
                  <w:pPr>
                    <w:pStyle w:val="96"/>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100%</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974" w:type="dxa"/>
                  <w:vMerge w:val="continue"/>
                  <w:tcBorders>
                    <w:tl2br w:val="nil"/>
                    <w:tr2bl w:val="nil"/>
                  </w:tcBorders>
                  <w:vAlign w:val="center"/>
                </w:tcPr>
                <w:p>
                  <w:pPr>
                    <w:pStyle w:val="96"/>
                    <w:ind w:firstLine="0" w:firstLineChars="0"/>
                    <w:rPr>
                      <w:rFonts w:hint="default" w:ascii="Times New Roman" w:hAnsi="Times New Roman" w:eastAsia="宋体" w:cs="Times New Roman"/>
                      <w:color w:val="auto"/>
                      <w:highlight w:val="none"/>
                    </w:rPr>
                  </w:pPr>
                </w:p>
              </w:tc>
              <w:tc>
                <w:tcPr>
                  <w:tcW w:w="917" w:type="dxa"/>
                  <w:tcBorders>
                    <w:tl2br w:val="nil"/>
                    <w:tr2bl w:val="nil"/>
                  </w:tcBorders>
                  <w:vAlign w:val="center"/>
                </w:tcPr>
                <w:p>
                  <w:pPr>
                    <w:pStyle w:val="96"/>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w:t>
                  </w:r>
                </w:p>
              </w:tc>
              <w:tc>
                <w:tcPr>
                  <w:tcW w:w="1687" w:type="dxa"/>
                  <w:vMerge w:val="continue"/>
                  <w:tcBorders>
                    <w:tl2br w:val="nil"/>
                    <w:tr2bl w:val="nil"/>
                  </w:tcBorders>
                  <w:vAlign w:val="center"/>
                </w:tcPr>
                <w:p>
                  <w:pPr>
                    <w:pStyle w:val="96"/>
                    <w:ind w:firstLine="0" w:firstLineChars="0"/>
                    <w:rPr>
                      <w:rFonts w:hint="default" w:ascii="Times New Roman" w:hAnsi="Times New Roman" w:eastAsia="宋体" w:cs="Times New Roman"/>
                      <w:color w:val="auto"/>
                      <w:highlight w:val="none"/>
                    </w:rPr>
                  </w:pPr>
                </w:p>
              </w:tc>
              <w:tc>
                <w:tcPr>
                  <w:tcW w:w="1027" w:type="dxa"/>
                  <w:tcBorders>
                    <w:tl2br w:val="nil"/>
                    <w:tr2bl w:val="nil"/>
                  </w:tcBorders>
                  <w:vAlign w:val="center"/>
                </w:tcPr>
                <w:p>
                  <w:pPr>
                    <w:pStyle w:val="96"/>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Ⅲ</w:t>
                  </w:r>
                </w:p>
              </w:tc>
              <w:tc>
                <w:tcPr>
                  <w:tcW w:w="1102" w:type="dxa"/>
                  <w:tcBorders>
                    <w:tl2br w:val="nil"/>
                    <w:tr2bl w:val="nil"/>
                  </w:tcBorders>
                  <w:vAlign w:val="center"/>
                </w:tcPr>
                <w:p>
                  <w:pPr>
                    <w:pStyle w:val="96"/>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达标</w:t>
                  </w:r>
                </w:p>
              </w:tc>
              <w:tc>
                <w:tcPr>
                  <w:tcW w:w="1662" w:type="dxa"/>
                  <w:tcBorders>
                    <w:tl2br w:val="nil"/>
                    <w:tr2bl w:val="nil"/>
                  </w:tcBorders>
                  <w:vAlign w:val="center"/>
                </w:tcPr>
                <w:p>
                  <w:pPr>
                    <w:pStyle w:val="96"/>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164" w:type="dxa"/>
                  <w:tcBorders>
                    <w:tl2br w:val="nil"/>
                    <w:tr2bl w:val="nil"/>
                  </w:tcBorders>
                  <w:vAlign w:val="center"/>
                </w:tcPr>
                <w:p>
                  <w:pPr>
                    <w:pStyle w:val="96"/>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100%</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974" w:type="dxa"/>
                  <w:vMerge w:val="continue"/>
                  <w:tcBorders>
                    <w:tl2br w:val="nil"/>
                    <w:tr2bl w:val="nil"/>
                  </w:tcBorders>
                  <w:vAlign w:val="center"/>
                </w:tcPr>
                <w:p>
                  <w:pPr>
                    <w:pStyle w:val="96"/>
                    <w:ind w:firstLine="0" w:firstLineChars="0"/>
                    <w:rPr>
                      <w:rFonts w:hint="default" w:ascii="Times New Roman" w:hAnsi="Times New Roman" w:eastAsia="宋体" w:cs="Times New Roman"/>
                      <w:color w:val="auto"/>
                      <w:highlight w:val="none"/>
                    </w:rPr>
                  </w:pPr>
                </w:p>
              </w:tc>
              <w:tc>
                <w:tcPr>
                  <w:tcW w:w="917" w:type="dxa"/>
                  <w:tcBorders>
                    <w:tl2br w:val="nil"/>
                    <w:tr2bl w:val="nil"/>
                  </w:tcBorders>
                  <w:vAlign w:val="center"/>
                </w:tcPr>
                <w:p>
                  <w:pPr>
                    <w:pStyle w:val="96"/>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w:t>
                  </w:r>
                </w:p>
              </w:tc>
              <w:tc>
                <w:tcPr>
                  <w:tcW w:w="1687" w:type="dxa"/>
                  <w:vMerge w:val="continue"/>
                  <w:tcBorders>
                    <w:tl2br w:val="nil"/>
                    <w:tr2bl w:val="nil"/>
                  </w:tcBorders>
                  <w:vAlign w:val="center"/>
                </w:tcPr>
                <w:p>
                  <w:pPr>
                    <w:pStyle w:val="96"/>
                    <w:ind w:firstLine="0" w:firstLineChars="0"/>
                    <w:rPr>
                      <w:rFonts w:hint="default" w:ascii="Times New Roman" w:hAnsi="Times New Roman" w:eastAsia="宋体" w:cs="Times New Roman"/>
                      <w:color w:val="auto"/>
                      <w:highlight w:val="none"/>
                    </w:rPr>
                  </w:pPr>
                </w:p>
              </w:tc>
              <w:tc>
                <w:tcPr>
                  <w:tcW w:w="1027" w:type="dxa"/>
                  <w:tcBorders>
                    <w:tl2br w:val="nil"/>
                    <w:tr2bl w:val="nil"/>
                  </w:tcBorders>
                  <w:vAlign w:val="center"/>
                </w:tcPr>
                <w:p>
                  <w:pPr>
                    <w:pStyle w:val="96"/>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Ⅲ</w:t>
                  </w:r>
                </w:p>
              </w:tc>
              <w:tc>
                <w:tcPr>
                  <w:tcW w:w="1102" w:type="dxa"/>
                  <w:tcBorders>
                    <w:tl2br w:val="nil"/>
                    <w:tr2bl w:val="nil"/>
                  </w:tcBorders>
                  <w:vAlign w:val="center"/>
                </w:tcPr>
                <w:p>
                  <w:pPr>
                    <w:pStyle w:val="96"/>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达标</w:t>
                  </w:r>
                </w:p>
              </w:tc>
              <w:tc>
                <w:tcPr>
                  <w:tcW w:w="1662" w:type="dxa"/>
                  <w:tcBorders>
                    <w:tl2br w:val="nil"/>
                    <w:tr2bl w:val="nil"/>
                  </w:tcBorders>
                  <w:vAlign w:val="center"/>
                </w:tcPr>
                <w:p>
                  <w:pPr>
                    <w:pStyle w:val="96"/>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164" w:type="dxa"/>
                  <w:tcBorders>
                    <w:tl2br w:val="nil"/>
                    <w:tr2bl w:val="nil"/>
                  </w:tcBorders>
                  <w:vAlign w:val="center"/>
                </w:tcPr>
                <w:p>
                  <w:pPr>
                    <w:pStyle w:val="96"/>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100%</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974" w:type="dxa"/>
                  <w:vMerge w:val="continue"/>
                  <w:tcBorders>
                    <w:tl2br w:val="nil"/>
                    <w:tr2bl w:val="nil"/>
                  </w:tcBorders>
                  <w:vAlign w:val="center"/>
                </w:tcPr>
                <w:p>
                  <w:pPr>
                    <w:pStyle w:val="96"/>
                    <w:ind w:firstLine="0" w:firstLineChars="0"/>
                    <w:rPr>
                      <w:rFonts w:hint="default" w:ascii="Times New Roman" w:hAnsi="Times New Roman" w:eastAsia="宋体" w:cs="Times New Roman"/>
                      <w:color w:val="auto"/>
                      <w:highlight w:val="none"/>
                    </w:rPr>
                  </w:pPr>
                </w:p>
              </w:tc>
              <w:tc>
                <w:tcPr>
                  <w:tcW w:w="917" w:type="dxa"/>
                  <w:tcBorders>
                    <w:tl2br w:val="nil"/>
                    <w:tr2bl w:val="nil"/>
                  </w:tcBorders>
                  <w:vAlign w:val="center"/>
                </w:tcPr>
                <w:p>
                  <w:pPr>
                    <w:pStyle w:val="96"/>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w:t>
                  </w:r>
                </w:p>
              </w:tc>
              <w:tc>
                <w:tcPr>
                  <w:tcW w:w="1687" w:type="dxa"/>
                  <w:vMerge w:val="continue"/>
                  <w:tcBorders>
                    <w:tl2br w:val="nil"/>
                    <w:tr2bl w:val="nil"/>
                  </w:tcBorders>
                  <w:vAlign w:val="center"/>
                </w:tcPr>
                <w:p>
                  <w:pPr>
                    <w:pStyle w:val="96"/>
                    <w:ind w:firstLine="0" w:firstLineChars="0"/>
                    <w:rPr>
                      <w:rFonts w:hint="default" w:ascii="Times New Roman" w:hAnsi="Times New Roman" w:eastAsia="宋体" w:cs="Times New Roman"/>
                      <w:color w:val="auto"/>
                      <w:highlight w:val="none"/>
                    </w:rPr>
                  </w:pPr>
                </w:p>
              </w:tc>
              <w:tc>
                <w:tcPr>
                  <w:tcW w:w="1027" w:type="dxa"/>
                  <w:tcBorders>
                    <w:tl2br w:val="nil"/>
                    <w:tr2bl w:val="nil"/>
                  </w:tcBorders>
                  <w:vAlign w:val="center"/>
                </w:tcPr>
                <w:p>
                  <w:pPr>
                    <w:pStyle w:val="96"/>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Ⅲ</w:t>
                  </w:r>
                </w:p>
              </w:tc>
              <w:tc>
                <w:tcPr>
                  <w:tcW w:w="1102" w:type="dxa"/>
                  <w:tcBorders>
                    <w:tl2br w:val="nil"/>
                    <w:tr2bl w:val="nil"/>
                  </w:tcBorders>
                  <w:vAlign w:val="center"/>
                </w:tcPr>
                <w:p>
                  <w:pPr>
                    <w:pStyle w:val="96"/>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达标</w:t>
                  </w:r>
                </w:p>
              </w:tc>
              <w:tc>
                <w:tcPr>
                  <w:tcW w:w="1662" w:type="dxa"/>
                  <w:tcBorders>
                    <w:tl2br w:val="nil"/>
                    <w:tr2bl w:val="nil"/>
                  </w:tcBorders>
                  <w:vAlign w:val="center"/>
                </w:tcPr>
                <w:p>
                  <w:pPr>
                    <w:pStyle w:val="96"/>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164" w:type="dxa"/>
                  <w:tcBorders>
                    <w:tl2br w:val="nil"/>
                    <w:tr2bl w:val="nil"/>
                  </w:tcBorders>
                  <w:vAlign w:val="center"/>
                </w:tcPr>
                <w:p>
                  <w:pPr>
                    <w:pStyle w:val="96"/>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100%</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974" w:type="dxa"/>
                  <w:vMerge w:val="continue"/>
                  <w:tcBorders>
                    <w:tl2br w:val="nil"/>
                    <w:tr2bl w:val="nil"/>
                  </w:tcBorders>
                  <w:vAlign w:val="center"/>
                </w:tcPr>
                <w:p>
                  <w:pPr>
                    <w:pStyle w:val="96"/>
                    <w:ind w:firstLine="0" w:firstLineChars="0"/>
                    <w:rPr>
                      <w:rFonts w:hint="default" w:ascii="Times New Roman" w:hAnsi="Times New Roman" w:eastAsia="宋体" w:cs="Times New Roman"/>
                      <w:color w:val="auto"/>
                      <w:highlight w:val="none"/>
                    </w:rPr>
                  </w:pPr>
                </w:p>
              </w:tc>
              <w:tc>
                <w:tcPr>
                  <w:tcW w:w="917" w:type="dxa"/>
                  <w:tcBorders>
                    <w:tl2br w:val="nil"/>
                    <w:tr2bl w:val="nil"/>
                  </w:tcBorders>
                  <w:vAlign w:val="center"/>
                </w:tcPr>
                <w:p>
                  <w:pPr>
                    <w:pStyle w:val="96"/>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w:t>
                  </w:r>
                </w:p>
              </w:tc>
              <w:tc>
                <w:tcPr>
                  <w:tcW w:w="1687" w:type="dxa"/>
                  <w:vMerge w:val="continue"/>
                  <w:tcBorders>
                    <w:tl2br w:val="nil"/>
                    <w:tr2bl w:val="nil"/>
                  </w:tcBorders>
                  <w:vAlign w:val="center"/>
                </w:tcPr>
                <w:p>
                  <w:pPr>
                    <w:pStyle w:val="96"/>
                    <w:ind w:firstLine="0" w:firstLineChars="0"/>
                    <w:rPr>
                      <w:rFonts w:hint="default" w:ascii="Times New Roman" w:hAnsi="Times New Roman" w:eastAsia="宋体" w:cs="Times New Roman"/>
                      <w:color w:val="auto"/>
                      <w:highlight w:val="none"/>
                    </w:rPr>
                  </w:pPr>
                </w:p>
              </w:tc>
              <w:tc>
                <w:tcPr>
                  <w:tcW w:w="1027" w:type="dxa"/>
                  <w:tcBorders>
                    <w:tl2br w:val="nil"/>
                    <w:tr2bl w:val="nil"/>
                  </w:tcBorders>
                  <w:vAlign w:val="center"/>
                </w:tcPr>
                <w:p>
                  <w:pPr>
                    <w:pStyle w:val="96"/>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Ⅲ</w:t>
                  </w:r>
                </w:p>
              </w:tc>
              <w:tc>
                <w:tcPr>
                  <w:tcW w:w="1102" w:type="dxa"/>
                  <w:tcBorders>
                    <w:tl2br w:val="nil"/>
                    <w:tr2bl w:val="nil"/>
                  </w:tcBorders>
                  <w:vAlign w:val="center"/>
                </w:tcPr>
                <w:p>
                  <w:pPr>
                    <w:pStyle w:val="96"/>
                    <w:ind w:firstLine="0" w:firstLineChars="0"/>
                    <w:rPr>
                      <w:rFonts w:hint="default" w:ascii="Times New Roman" w:hAnsi="Times New Roman" w:eastAsia="宋体" w:cs="Times New Roman"/>
                      <w:color w:val="auto"/>
                      <w:highlight w:val="none"/>
                      <w:lang w:val="zh-CN"/>
                    </w:rPr>
                  </w:pPr>
                  <w:r>
                    <w:rPr>
                      <w:rFonts w:hint="default" w:ascii="Times New Roman" w:hAnsi="Times New Roman" w:eastAsia="宋体" w:cs="Times New Roman"/>
                      <w:color w:val="auto"/>
                      <w:highlight w:val="none"/>
                    </w:rPr>
                    <w:t>达标</w:t>
                  </w:r>
                </w:p>
              </w:tc>
              <w:tc>
                <w:tcPr>
                  <w:tcW w:w="1662" w:type="dxa"/>
                  <w:tcBorders>
                    <w:tl2br w:val="nil"/>
                    <w:tr2bl w:val="nil"/>
                  </w:tcBorders>
                  <w:vAlign w:val="center"/>
                </w:tcPr>
                <w:p>
                  <w:pPr>
                    <w:pStyle w:val="96"/>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164" w:type="dxa"/>
                  <w:tcBorders>
                    <w:tl2br w:val="nil"/>
                    <w:tr2bl w:val="nil"/>
                  </w:tcBorders>
                  <w:vAlign w:val="center"/>
                </w:tcPr>
                <w:p>
                  <w:pPr>
                    <w:pStyle w:val="96"/>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100%</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974" w:type="dxa"/>
                  <w:vMerge w:val="continue"/>
                  <w:tcBorders>
                    <w:tl2br w:val="nil"/>
                    <w:tr2bl w:val="nil"/>
                  </w:tcBorders>
                  <w:vAlign w:val="center"/>
                </w:tcPr>
                <w:p>
                  <w:pPr>
                    <w:pStyle w:val="96"/>
                    <w:ind w:firstLine="0" w:firstLineChars="0"/>
                    <w:rPr>
                      <w:rFonts w:hint="default" w:ascii="Times New Roman" w:hAnsi="Times New Roman" w:eastAsia="宋体" w:cs="Times New Roman"/>
                      <w:color w:val="auto"/>
                      <w:highlight w:val="none"/>
                    </w:rPr>
                  </w:pPr>
                </w:p>
              </w:tc>
              <w:tc>
                <w:tcPr>
                  <w:tcW w:w="917" w:type="dxa"/>
                  <w:tcBorders>
                    <w:tl2br w:val="nil"/>
                    <w:tr2bl w:val="nil"/>
                  </w:tcBorders>
                  <w:vAlign w:val="center"/>
                </w:tcPr>
                <w:p>
                  <w:pPr>
                    <w:pStyle w:val="96"/>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7</w:t>
                  </w:r>
                </w:p>
              </w:tc>
              <w:tc>
                <w:tcPr>
                  <w:tcW w:w="1687" w:type="dxa"/>
                  <w:vMerge w:val="continue"/>
                  <w:tcBorders>
                    <w:tl2br w:val="nil"/>
                    <w:tr2bl w:val="nil"/>
                  </w:tcBorders>
                  <w:vAlign w:val="center"/>
                </w:tcPr>
                <w:p>
                  <w:pPr>
                    <w:pStyle w:val="96"/>
                    <w:ind w:firstLine="0" w:firstLineChars="0"/>
                    <w:rPr>
                      <w:rFonts w:hint="default" w:ascii="Times New Roman" w:hAnsi="Times New Roman" w:eastAsia="宋体" w:cs="Times New Roman"/>
                      <w:color w:val="auto"/>
                      <w:highlight w:val="none"/>
                    </w:rPr>
                  </w:pPr>
                </w:p>
              </w:tc>
              <w:tc>
                <w:tcPr>
                  <w:tcW w:w="1027" w:type="dxa"/>
                  <w:tcBorders>
                    <w:tl2br w:val="nil"/>
                    <w:tr2bl w:val="nil"/>
                  </w:tcBorders>
                  <w:vAlign w:val="center"/>
                </w:tcPr>
                <w:p>
                  <w:pPr>
                    <w:pStyle w:val="96"/>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Ⅲ</w:t>
                  </w:r>
                </w:p>
              </w:tc>
              <w:tc>
                <w:tcPr>
                  <w:tcW w:w="1102" w:type="dxa"/>
                  <w:tcBorders>
                    <w:tl2br w:val="nil"/>
                    <w:tr2bl w:val="nil"/>
                  </w:tcBorders>
                  <w:vAlign w:val="center"/>
                </w:tcPr>
                <w:p>
                  <w:pPr>
                    <w:pStyle w:val="96"/>
                    <w:ind w:firstLine="0" w:firstLineChars="0"/>
                    <w:rPr>
                      <w:rFonts w:hint="default" w:ascii="Times New Roman" w:hAnsi="Times New Roman" w:eastAsia="宋体" w:cs="Times New Roman"/>
                      <w:color w:val="auto"/>
                      <w:highlight w:val="none"/>
                      <w:lang w:val="zh-CN"/>
                    </w:rPr>
                  </w:pPr>
                  <w:r>
                    <w:rPr>
                      <w:rFonts w:hint="default" w:ascii="Times New Roman" w:hAnsi="Times New Roman" w:eastAsia="宋体" w:cs="Times New Roman"/>
                      <w:color w:val="auto"/>
                      <w:highlight w:val="none"/>
                    </w:rPr>
                    <w:t>达标</w:t>
                  </w:r>
                </w:p>
              </w:tc>
              <w:tc>
                <w:tcPr>
                  <w:tcW w:w="1662" w:type="dxa"/>
                  <w:tcBorders>
                    <w:tl2br w:val="nil"/>
                    <w:tr2bl w:val="nil"/>
                  </w:tcBorders>
                  <w:vAlign w:val="center"/>
                </w:tcPr>
                <w:p>
                  <w:pPr>
                    <w:pStyle w:val="96"/>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164" w:type="dxa"/>
                  <w:tcBorders>
                    <w:tl2br w:val="nil"/>
                    <w:tr2bl w:val="nil"/>
                  </w:tcBorders>
                  <w:vAlign w:val="center"/>
                </w:tcPr>
                <w:p>
                  <w:pPr>
                    <w:pStyle w:val="96"/>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100%</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974" w:type="dxa"/>
                  <w:vMerge w:val="continue"/>
                  <w:tcBorders>
                    <w:tl2br w:val="nil"/>
                    <w:tr2bl w:val="nil"/>
                  </w:tcBorders>
                  <w:vAlign w:val="center"/>
                </w:tcPr>
                <w:p>
                  <w:pPr>
                    <w:pStyle w:val="96"/>
                    <w:ind w:firstLine="0" w:firstLineChars="0"/>
                    <w:rPr>
                      <w:rFonts w:hint="default" w:ascii="Times New Roman" w:hAnsi="Times New Roman" w:eastAsia="宋体" w:cs="Times New Roman"/>
                      <w:color w:val="auto"/>
                      <w:highlight w:val="none"/>
                    </w:rPr>
                  </w:pPr>
                </w:p>
              </w:tc>
              <w:tc>
                <w:tcPr>
                  <w:tcW w:w="917" w:type="dxa"/>
                  <w:tcBorders>
                    <w:tl2br w:val="nil"/>
                    <w:tr2bl w:val="nil"/>
                  </w:tcBorders>
                  <w:vAlign w:val="center"/>
                </w:tcPr>
                <w:p>
                  <w:pPr>
                    <w:pStyle w:val="96"/>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8</w:t>
                  </w:r>
                </w:p>
              </w:tc>
              <w:tc>
                <w:tcPr>
                  <w:tcW w:w="1687" w:type="dxa"/>
                  <w:vMerge w:val="continue"/>
                  <w:tcBorders>
                    <w:tl2br w:val="nil"/>
                    <w:tr2bl w:val="nil"/>
                  </w:tcBorders>
                  <w:vAlign w:val="center"/>
                </w:tcPr>
                <w:p>
                  <w:pPr>
                    <w:pStyle w:val="96"/>
                    <w:ind w:firstLine="0" w:firstLineChars="0"/>
                    <w:rPr>
                      <w:rFonts w:hint="default" w:ascii="Times New Roman" w:hAnsi="Times New Roman" w:eastAsia="宋体" w:cs="Times New Roman"/>
                      <w:color w:val="auto"/>
                      <w:highlight w:val="none"/>
                    </w:rPr>
                  </w:pPr>
                </w:p>
              </w:tc>
              <w:tc>
                <w:tcPr>
                  <w:tcW w:w="1027" w:type="dxa"/>
                  <w:tcBorders>
                    <w:tl2br w:val="nil"/>
                    <w:tr2bl w:val="nil"/>
                  </w:tcBorders>
                  <w:vAlign w:val="center"/>
                </w:tcPr>
                <w:p>
                  <w:pPr>
                    <w:pStyle w:val="96"/>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Ⅲ</w:t>
                  </w:r>
                </w:p>
              </w:tc>
              <w:tc>
                <w:tcPr>
                  <w:tcW w:w="1102" w:type="dxa"/>
                  <w:tcBorders>
                    <w:tl2br w:val="nil"/>
                    <w:tr2bl w:val="nil"/>
                  </w:tcBorders>
                  <w:vAlign w:val="center"/>
                </w:tcPr>
                <w:p>
                  <w:pPr>
                    <w:pStyle w:val="96"/>
                    <w:ind w:firstLine="0" w:firstLineChars="0"/>
                    <w:rPr>
                      <w:rFonts w:hint="default" w:ascii="Times New Roman" w:hAnsi="Times New Roman" w:eastAsia="宋体" w:cs="Times New Roman"/>
                      <w:color w:val="auto"/>
                      <w:highlight w:val="none"/>
                      <w:lang w:val="zh-CN"/>
                    </w:rPr>
                  </w:pPr>
                  <w:r>
                    <w:rPr>
                      <w:rFonts w:hint="default" w:ascii="Times New Roman" w:hAnsi="Times New Roman" w:eastAsia="宋体" w:cs="Times New Roman"/>
                      <w:color w:val="auto"/>
                      <w:highlight w:val="none"/>
                    </w:rPr>
                    <w:t>达标</w:t>
                  </w:r>
                </w:p>
              </w:tc>
              <w:tc>
                <w:tcPr>
                  <w:tcW w:w="1662" w:type="dxa"/>
                  <w:tcBorders>
                    <w:tl2br w:val="nil"/>
                    <w:tr2bl w:val="nil"/>
                  </w:tcBorders>
                  <w:vAlign w:val="center"/>
                </w:tcPr>
                <w:p>
                  <w:pPr>
                    <w:pStyle w:val="96"/>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164" w:type="dxa"/>
                  <w:tcBorders>
                    <w:tl2br w:val="nil"/>
                    <w:tr2bl w:val="nil"/>
                  </w:tcBorders>
                  <w:vAlign w:val="center"/>
                </w:tcPr>
                <w:p>
                  <w:pPr>
                    <w:pStyle w:val="96"/>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100%</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974" w:type="dxa"/>
                  <w:vMerge w:val="continue"/>
                  <w:tcBorders>
                    <w:tl2br w:val="nil"/>
                    <w:tr2bl w:val="nil"/>
                  </w:tcBorders>
                  <w:vAlign w:val="center"/>
                </w:tcPr>
                <w:p>
                  <w:pPr>
                    <w:pStyle w:val="96"/>
                    <w:ind w:firstLine="0" w:firstLineChars="0"/>
                    <w:rPr>
                      <w:rFonts w:hint="default" w:ascii="Times New Roman" w:hAnsi="Times New Roman" w:eastAsia="宋体" w:cs="Times New Roman"/>
                      <w:color w:val="auto"/>
                      <w:highlight w:val="none"/>
                    </w:rPr>
                  </w:pPr>
                </w:p>
              </w:tc>
              <w:tc>
                <w:tcPr>
                  <w:tcW w:w="917" w:type="dxa"/>
                  <w:tcBorders>
                    <w:tl2br w:val="nil"/>
                    <w:tr2bl w:val="nil"/>
                  </w:tcBorders>
                  <w:vAlign w:val="center"/>
                </w:tcPr>
                <w:p>
                  <w:pPr>
                    <w:pStyle w:val="96"/>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9</w:t>
                  </w:r>
                </w:p>
              </w:tc>
              <w:tc>
                <w:tcPr>
                  <w:tcW w:w="1687" w:type="dxa"/>
                  <w:vMerge w:val="continue"/>
                  <w:tcBorders>
                    <w:tl2br w:val="nil"/>
                    <w:tr2bl w:val="nil"/>
                  </w:tcBorders>
                  <w:vAlign w:val="center"/>
                </w:tcPr>
                <w:p>
                  <w:pPr>
                    <w:pStyle w:val="96"/>
                    <w:ind w:firstLine="0" w:firstLineChars="0"/>
                    <w:rPr>
                      <w:rFonts w:hint="default" w:ascii="Times New Roman" w:hAnsi="Times New Roman" w:eastAsia="宋体" w:cs="Times New Roman"/>
                      <w:color w:val="auto"/>
                      <w:highlight w:val="none"/>
                    </w:rPr>
                  </w:pPr>
                </w:p>
              </w:tc>
              <w:tc>
                <w:tcPr>
                  <w:tcW w:w="1027" w:type="dxa"/>
                  <w:tcBorders>
                    <w:tl2br w:val="nil"/>
                    <w:tr2bl w:val="nil"/>
                  </w:tcBorders>
                  <w:vAlign w:val="center"/>
                </w:tcPr>
                <w:p>
                  <w:pPr>
                    <w:pStyle w:val="96"/>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Ⅲ</w:t>
                  </w:r>
                </w:p>
              </w:tc>
              <w:tc>
                <w:tcPr>
                  <w:tcW w:w="1102" w:type="dxa"/>
                  <w:tcBorders>
                    <w:tl2br w:val="nil"/>
                    <w:tr2bl w:val="nil"/>
                  </w:tcBorders>
                  <w:vAlign w:val="center"/>
                </w:tcPr>
                <w:p>
                  <w:pPr>
                    <w:pStyle w:val="96"/>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达标</w:t>
                  </w:r>
                </w:p>
              </w:tc>
              <w:tc>
                <w:tcPr>
                  <w:tcW w:w="1662" w:type="dxa"/>
                  <w:tcBorders>
                    <w:tl2br w:val="nil"/>
                    <w:tr2bl w:val="nil"/>
                  </w:tcBorders>
                  <w:vAlign w:val="center"/>
                </w:tcPr>
                <w:p>
                  <w:pPr>
                    <w:pStyle w:val="96"/>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164" w:type="dxa"/>
                  <w:tcBorders>
                    <w:tl2br w:val="nil"/>
                    <w:tr2bl w:val="nil"/>
                  </w:tcBorders>
                  <w:vAlign w:val="center"/>
                </w:tcPr>
                <w:p>
                  <w:pPr>
                    <w:pStyle w:val="96"/>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100%</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974" w:type="dxa"/>
                  <w:vMerge w:val="continue"/>
                  <w:tcBorders>
                    <w:tl2br w:val="nil"/>
                    <w:tr2bl w:val="nil"/>
                  </w:tcBorders>
                  <w:vAlign w:val="center"/>
                </w:tcPr>
                <w:p>
                  <w:pPr>
                    <w:pStyle w:val="96"/>
                    <w:ind w:firstLine="0" w:firstLineChars="0"/>
                    <w:rPr>
                      <w:rFonts w:hint="default" w:ascii="Times New Roman" w:hAnsi="Times New Roman" w:eastAsia="宋体" w:cs="Times New Roman"/>
                      <w:color w:val="auto"/>
                      <w:highlight w:val="none"/>
                    </w:rPr>
                  </w:pPr>
                </w:p>
              </w:tc>
              <w:tc>
                <w:tcPr>
                  <w:tcW w:w="917" w:type="dxa"/>
                  <w:tcBorders>
                    <w:tl2br w:val="nil"/>
                    <w:tr2bl w:val="nil"/>
                  </w:tcBorders>
                  <w:vAlign w:val="center"/>
                </w:tcPr>
                <w:p>
                  <w:pPr>
                    <w:pStyle w:val="96"/>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11</w:t>
                  </w:r>
                </w:p>
              </w:tc>
              <w:tc>
                <w:tcPr>
                  <w:tcW w:w="1687" w:type="dxa"/>
                  <w:vMerge w:val="continue"/>
                  <w:tcBorders>
                    <w:tl2br w:val="nil"/>
                    <w:tr2bl w:val="nil"/>
                  </w:tcBorders>
                  <w:vAlign w:val="center"/>
                </w:tcPr>
                <w:p>
                  <w:pPr>
                    <w:pStyle w:val="96"/>
                    <w:ind w:firstLine="0" w:firstLineChars="0"/>
                    <w:rPr>
                      <w:rFonts w:hint="default" w:ascii="Times New Roman" w:hAnsi="Times New Roman" w:eastAsia="宋体" w:cs="Times New Roman"/>
                      <w:color w:val="auto"/>
                      <w:highlight w:val="none"/>
                    </w:rPr>
                  </w:pPr>
                </w:p>
              </w:tc>
              <w:tc>
                <w:tcPr>
                  <w:tcW w:w="1027" w:type="dxa"/>
                  <w:tcBorders>
                    <w:tl2br w:val="nil"/>
                    <w:tr2bl w:val="nil"/>
                  </w:tcBorders>
                  <w:vAlign w:val="center"/>
                </w:tcPr>
                <w:p>
                  <w:pPr>
                    <w:pStyle w:val="96"/>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Ⅲ</w:t>
                  </w:r>
                </w:p>
              </w:tc>
              <w:tc>
                <w:tcPr>
                  <w:tcW w:w="1102" w:type="dxa"/>
                  <w:tcBorders>
                    <w:tl2br w:val="nil"/>
                    <w:tr2bl w:val="nil"/>
                  </w:tcBorders>
                  <w:vAlign w:val="center"/>
                </w:tcPr>
                <w:p>
                  <w:pPr>
                    <w:pStyle w:val="96"/>
                    <w:ind w:firstLine="0" w:firstLineChars="0"/>
                    <w:rPr>
                      <w:rFonts w:hint="default" w:ascii="Times New Roman" w:hAnsi="Times New Roman" w:eastAsia="宋体" w:cs="Times New Roman"/>
                      <w:color w:val="auto"/>
                      <w:highlight w:val="none"/>
                      <w:lang w:val="zh-CN"/>
                    </w:rPr>
                  </w:pPr>
                  <w:r>
                    <w:rPr>
                      <w:rFonts w:hint="default" w:ascii="Times New Roman" w:hAnsi="Times New Roman" w:eastAsia="宋体" w:cs="Times New Roman"/>
                      <w:color w:val="auto"/>
                      <w:highlight w:val="none"/>
                    </w:rPr>
                    <w:t>达标</w:t>
                  </w:r>
                </w:p>
              </w:tc>
              <w:tc>
                <w:tcPr>
                  <w:tcW w:w="1662" w:type="dxa"/>
                  <w:tcBorders>
                    <w:tl2br w:val="nil"/>
                    <w:tr2bl w:val="nil"/>
                  </w:tcBorders>
                  <w:vAlign w:val="center"/>
                </w:tcPr>
                <w:p>
                  <w:pPr>
                    <w:pStyle w:val="96"/>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164" w:type="dxa"/>
                  <w:tcBorders>
                    <w:tl2br w:val="nil"/>
                    <w:tr2bl w:val="nil"/>
                  </w:tcBorders>
                  <w:vAlign w:val="center"/>
                </w:tcPr>
                <w:p>
                  <w:pPr>
                    <w:pStyle w:val="96"/>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100%</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974" w:type="dxa"/>
                  <w:vMerge w:val="continue"/>
                  <w:tcBorders>
                    <w:tl2br w:val="nil"/>
                    <w:tr2bl w:val="nil"/>
                  </w:tcBorders>
                  <w:vAlign w:val="center"/>
                </w:tcPr>
                <w:p>
                  <w:pPr>
                    <w:pStyle w:val="96"/>
                    <w:ind w:firstLine="0" w:firstLineChars="0"/>
                    <w:rPr>
                      <w:rFonts w:hint="default" w:ascii="Times New Roman" w:hAnsi="Times New Roman" w:eastAsia="宋体" w:cs="Times New Roman"/>
                      <w:color w:val="auto"/>
                      <w:highlight w:val="none"/>
                    </w:rPr>
                  </w:pPr>
                </w:p>
              </w:tc>
              <w:tc>
                <w:tcPr>
                  <w:tcW w:w="917" w:type="dxa"/>
                  <w:tcBorders>
                    <w:tl2br w:val="nil"/>
                    <w:tr2bl w:val="nil"/>
                  </w:tcBorders>
                  <w:vAlign w:val="center"/>
                </w:tcPr>
                <w:p>
                  <w:pPr>
                    <w:pStyle w:val="96"/>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12</w:t>
                  </w:r>
                </w:p>
              </w:tc>
              <w:tc>
                <w:tcPr>
                  <w:tcW w:w="1687" w:type="dxa"/>
                  <w:vMerge w:val="continue"/>
                  <w:tcBorders>
                    <w:tl2br w:val="nil"/>
                    <w:tr2bl w:val="nil"/>
                  </w:tcBorders>
                  <w:vAlign w:val="center"/>
                </w:tcPr>
                <w:p>
                  <w:pPr>
                    <w:pStyle w:val="96"/>
                    <w:ind w:firstLine="0" w:firstLineChars="0"/>
                    <w:rPr>
                      <w:rFonts w:hint="default" w:ascii="Times New Roman" w:hAnsi="Times New Roman" w:eastAsia="宋体" w:cs="Times New Roman"/>
                      <w:color w:val="auto"/>
                      <w:highlight w:val="none"/>
                    </w:rPr>
                  </w:pPr>
                </w:p>
              </w:tc>
              <w:tc>
                <w:tcPr>
                  <w:tcW w:w="1027" w:type="dxa"/>
                  <w:tcBorders>
                    <w:tl2br w:val="nil"/>
                    <w:tr2bl w:val="nil"/>
                  </w:tcBorders>
                  <w:vAlign w:val="center"/>
                </w:tcPr>
                <w:p>
                  <w:pPr>
                    <w:pStyle w:val="96"/>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Ⅲ</w:t>
                  </w:r>
                </w:p>
              </w:tc>
              <w:tc>
                <w:tcPr>
                  <w:tcW w:w="1102" w:type="dxa"/>
                  <w:tcBorders>
                    <w:tl2br w:val="nil"/>
                    <w:tr2bl w:val="nil"/>
                  </w:tcBorders>
                  <w:vAlign w:val="center"/>
                </w:tcPr>
                <w:p>
                  <w:pPr>
                    <w:pStyle w:val="96"/>
                    <w:ind w:firstLine="0" w:firstLineChars="0"/>
                    <w:rPr>
                      <w:rFonts w:hint="default" w:ascii="Times New Roman" w:hAnsi="Times New Roman" w:eastAsia="宋体" w:cs="Times New Roman"/>
                      <w:color w:val="auto"/>
                      <w:highlight w:val="none"/>
                      <w:lang w:val="zh-CN"/>
                    </w:rPr>
                  </w:pPr>
                  <w:r>
                    <w:rPr>
                      <w:rFonts w:hint="default" w:ascii="Times New Roman" w:hAnsi="Times New Roman" w:eastAsia="宋体" w:cs="Times New Roman"/>
                      <w:color w:val="auto"/>
                      <w:highlight w:val="none"/>
                    </w:rPr>
                    <w:t>达标</w:t>
                  </w:r>
                </w:p>
              </w:tc>
              <w:tc>
                <w:tcPr>
                  <w:tcW w:w="1662" w:type="dxa"/>
                  <w:tcBorders>
                    <w:tl2br w:val="nil"/>
                    <w:tr2bl w:val="nil"/>
                  </w:tcBorders>
                  <w:vAlign w:val="center"/>
                </w:tcPr>
                <w:p>
                  <w:pPr>
                    <w:pStyle w:val="96"/>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164" w:type="dxa"/>
                  <w:tcBorders>
                    <w:tl2br w:val="nil"/>
                    <w:tr2bl w:val="nil"/>
                  </w:tcBorders>
                  <w:vAlign w:val="center"/>
                </w:tcPr>
                <w:p>
                  <w:pPr>
                    <w:pStyle w:val="96"/>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100%</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974" w:type="dxa"/>
                  <w:tcBorders>
                    <w:tl2br w:val="nil"/>
                    <w:tr2bl w:val="nil"/>
                  </w:tcBorders>
                  <w:vAlign w:val="center"/>
                </w:tcPr>
                <w:p>
                  <w:pPr>
                    <w:pStyle w:val="96"/>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2025</w:t>
                  </w:r>
                </w:p>
              </w:tc>
              <w:tc>
                <w:tcPr>
                  <w:tcW w:w="917" w:type="dxa"/>
                  <w:tcBorders>
                    <w:tl2br w:val="nil"/>
                    <w:tr2bl w:val="nil"/>
                  </w:tcBorders>
                  <w:vAlign w:val="center"/>
                </w:tcPr>
                <w:p>
                  <w:pPr>
                    <w:pStyle w:val="96"/>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w:t>
                  </w:r>
                </w:p>
              </w:tc>
              <w:tc>
                <w:tcPr>
                  <w:tcW w:w="1687" w:type="dxa"/>
                  <w:vMerge w:val="continue"/>
                  <w:tcBorders>
                    <w:tl2br w:val="nil"/>
                    <w:tr2bl w:val="nil"/>
                  </w:tcBorders>
                  <w:vAlign w:val="center"/>
                </w:tcPr>
                <w:p>
                  <w:pPr>
                    <w:pStyle w:val="96"/>
                    <w:ind w:firstLine="0" w:firstLineChars="0"/>
                    <w:rPr>
                      <w:rFonts w:hint="default" w:ascii="Times New Roman" w:hAnsi="Times New Roman" w:eastAsia="宋体" w:cs="Times New Roman"/>
                      <w:color w:val="auto"/>
                      <w:highlight w:val="none"/>
                    </w:rPr>
                  </w:pPr>
                </w:p>
              </w:tc>
              <w:tc>
                <w:tcPr>
                  <w:tcW w:w="1027" w:type="dxa"/>
                  <w:tcBorders>
                    <w:tl2br w:val="nil"/>
                    <w:tr2bl w:val="nil"/>
                  </w:tcBorders>
                  <w:vAlign w:val="center"/>
                </w:tcPr>
                <w:p>
                  <w:pPr>
                    <w:pStyle w:val="96"/>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Ⅲ</w:t>
                  </w:r>
                </w:p>
              </w:tc>
              <w:tc>
                <w:tcPr>
                  <w:tcW w:w="1102" w:type="dxa"/>
                  <w:tcBorders>
                    <w:tl2br w:val="nil"/>
                    <w:tr2bl w:val="nil"/>
                  </w:tcBorders>
                  <w:vAlign w:val="center"/>
                </w:tcPr>
                <w:p>
                  <w:pPr>
                    <w:pStyle w:val="96"/>
                    <w:ind w:firstLine="0" w:firstLineChars="0"/>
                    <w:rPr>
                      <w:rFonts w:hint="default" w:ascii="Times New Roman" w:hAnsi="Times New Roman" w:eastAsia="宋体" w:cs="Times New Roman"/>
                      <w:color w:val="auto"/>
                      <w:highlight w:val="none"/>
                      <w:lang w:val="zh-CN"/>
                    </w:rPr>
                  </w:pPr>
                  <w:r>
                    <w:rPr>
                      <w:rFonts w:hint="default" w:ascii="Times New Roman" w:hAnsi="Times New Roman" w:eastAsia="宋体" w:cs="Times New Roman"/>
                      <w:color w:val="auto"/>
                      <w:highlight w:val="none"/>
                    </w:rPr>
                    <w:t>达标</w:t>
                  </w:r>
                </w:p>
              </w:tc>
              <w:tc>
                <w:tcPr>
                  <w:tcW w:w="1662" w:type="dxa"/>
                  <w:tcBorders>
                    <w:tl2br w:val="nil"/>
                    <w:tr2bl w:val="nil"/>
                  </w:tcBorders>
                  <w:vAlign w:val="center"/>
                </w:tcPr>
                <w:p>
                  <w:pPr>
                    <w:pStyle w:val="96"/>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164" w:type="dxa"/>
                  <w:tcBorders>
                    <w:tl2br w:val="nil"/>
                    <w:tr2bl w:val="nil"/>
                  </w:tcBorders>
                  <w:vAlign w:val="center"/>
                </w:tcPr>
                <w:p>
                  <w:pPr>
                    <w:pStyle w:val="96"/>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100%</w:t>
                  </w:r>
                </w:p>
              </w:tc>
            </w:tr>
          </w:tbl>
          <w:p>
            <w:pPr>
              <w:ind w:firstLine="480"/>
              <w:rPr>
                <w:rFonts w:hint="default" w:ascii="Times New Roman" w:hAnsi="Times New Roman" w:eastAsia="宋体" w:cs="Times New Roman"/>
                <w:color w:val="auto"/>
                <w:highlight w:val="none"/>
              </w:rPr>
            </w:pPr>
          </w:p>
          <w:tbl>
            <w:tblPr>
              <w:tblStyle w:val="50"/>
              <w:tblW w:w="85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90"/>
              <w:gridCol w:w="4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90" w:type="dxa"/>
                  <w:vAlign w:val="center"/>
                </w:tcPr>
                <w:p>
                  <w:pPr>
                    <w:pStyle w:val="117"/>
                    <w:ind w:firstLine="0" w:firstLineChars="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drawing>
                      <wp:inline distT="0" distB="0" distL="114300" distR="114300">
                        <wp:extent cx="2431415" cy="1165225"/>
                        <wp:effectExtent l="0" t="0" r="6985" b="8255"/>
                        <wp:docPr id="17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5"/>
                                <pic:cNvPicPr>
                                  <a:picLocks noChangeAspect="1"/>
                                </pic:cNvPicPr>
                              </pic:nvPicPr>
                              <pic:blipFill>
                                <a:blip r:embed="rId14"/>
                                <a:stretch>
                                  <a:fillRect/>
                                </a:stretch>
                              </pic:blipFill>
                              <pic:spPr>
                                <a:xfrm>
                                  <a:off x="0" y="0"/>
                                  <a:ext cx="2431415" cy="1165225"/>
                                </a:xfrm>
                                <a:prstGeom prst="rect">
                                  <a:avLst/>
                                </a:prstGeom>
                                <a:noFill/>
                                <a:ln>
                                  <a:noFill/>
                                </a:ln>
                              </pic:spPr>
                            </pic:pic>
                          </a:graphicData>
                        </a:graphic>
                      </wp:inline>
                    </w:drawing>
                  </w:r>
                </w:p>
              </w:tc>
              <w:tc>
                <w:tcPr>
                  <w:tcW w:w="4636" w:type="dxa"/>
                  <w:vAlign w:val="center"/>
                </w:tcPr>
                <w:p>
                  <w:pPr>
                    <w:pStyle w:val="117"/>
                    <w:ind w:firstLine="0" w:firstLineChars="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drawing>
                      <wp:inline distT="0" distB="0" distL="114300" distR="114300">
                        <wp:extent cx="2869565" cy="1410970"/>
                        <wp:effectExtent l="0" t="0" r="10795" b="6350"/>
                        <wp:docPr id="18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6"/>
                                <pic:cNvPicPr>
                                  <a:picLocks noChangeAspect="1"/>
                                </pic:cNvPicPr>
                              </pic:nvPicPr>
                              <pic:blipFill>
                                <a:blip r:embed="rId15"/>
                                <a:stretch>
                                  <a:fillRect/>
                                </a:stretch>
                              </pic:blipFill>
                              <pic:spPr>
                                <a:xfrm>
                                  <a:off x="0" y="0"/>
                                  <a:ext cx="2869565" cy="14109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90" w:type="dxa"/>
                  <w:vAlign w:val="center"/>
                </w:tcPr>
                <w:p>
                  <w:pPr>
                    <w:pStyle w:val="117"/>
                    <w:ind w:firstLine="0" w:firstLineChars="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drawing>
                      <wp:inline distT="0" distB="0" distL="114300" distR="114300">
                        <wp:extent cx="2336800" cy="1136015"/>
                        <wp:effectExtent l="0" t="0" r="10160" b="6985"/>
                        <wp:docPr id="18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7"/>
                                <pic:cNvPicPr>
                                  <a:picLocks noChangeAspect="1"/>
                                </pic:cNvPicPr>
                              </pic:nvPicPr>
                              <pic:blipFill>
                                <a:blip r:embed="rId16"/>
                                <a:stretch>
                                  <a:fillRect/>
                                </a:stretch>
                              </pic:blipFill>
                              <pic:spPr>
                                <a:xfrm>
                                  <a:off x="0" y="0"/>
                                  <a:ext cx="2336800" cy="1136015"/>
                                </a:xfrm>
                                <a:prstGeom prst="rect">
                                  <a:avLst/>
                                </a:prstGeom>
                                <a:noFill/>
                                <a:ln>
                                  <a:noFill/>
                                </a:ln>
                              </pic:spPr>
                            </pic:pic>
                          </a:graphicData>
                        </a:graphic>
                      </wp:inline>
                    </w:drawing>
                  </w:r>
                </w:p>
              </w:tc>
              <w:tc>
                <w:tcPr>
                  <w:tcW w:w="4636" w:type="dxa"/>
                  <w:vAlign w:val="center"/>
                </w:tcPr>
                <w:p>
                  <w:pPr>
                    <w:pStyle w:val="117"/>
                    <w:ind w:firstLine="0" w:firstLineChars="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drawing>
                      <wp:inline distT="0" distB="0" distL="114300" distR="114300">
                        <wp:extent cx="2917190" cy="1403985"/>
                        <wp:effectExtent l="0" t="0" r="8890" b="13335"/>
                        <wp:docPr id="19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8"/>
                                <pic:cNvPicPr>
                                  <a:picLocks noChangeAspect="1"/>
                                </pic:cNvPicPr>
                              </pic:nvPicPr>
                              <pic:blipFill>
                                <a:blip r:embed="rId17"/>
                                <a:stretch>
                                  <a:fillRect/>
                                </a:stretch>
                              </pic:blipFill>
                              <pic:spPr>
                                <a:xfrm>
                                  <a:off x="0" y="0"/>
                                  <a:ext cx="2917190" cy="140398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90" w:type="dxa"/>
                  <w:vAlign w:val="center"/>
                </w:tcPr>
                <w:p>
                  <w:pPr>
                    <w:pStyle w:val="117"/>
                    <w:ind w:firstLine="0" w:firstLineChars="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drawing>
                      <wp:inline distT="0" distB="0" distL="114300" distR="114300">
                        <wp:extent cx="1901190" cy="2303145"/>
                        <wp:effectExtent l="0" t="0" r="3810" b="13335"/>
                        <wp:docPr id="30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19"/>
                                <pic:cNvPicPr>
                                  <a:picLocks noChangeAspect="1"/>
                                </pic:cNvPicPr>
                              </pic:nvPicPr>
                              <pic:blipFill>
                                <a:blip r:embed="rId18"/>
                                <a:stretch>
                                  <a:fillRect/>
                                </a:stretch>
                              </pic:blipFill>
                              <pic:spPr>
                                <a:xfrm>
                                  <a:off x="0" y="0"/>
                                  <a:ext cx="1901190" cy="2303145"/>
                                </a:xfrm>
                                <a:prstGeom prst="rect">
                                  <a:avLst/>
                                </a:prstGeom>
                                <a:noFill/>
                                <a:ln>
                                  <a:noFill/>
                                </a:ln>
                              </pic:spPr>
                            </pic:pic>
                          </a:graphicData>
                        </a:graphic>
                      </wp:inline>
                    </w:drawing>
                  </w:r>
                </w:p>
              </w:tc>
              <w:tc>
                <w:tcPr>
                  <w:tcW w:w="4636" w:type="dxa"/>
                  <w:vAlign w:val="center"/>
                </w:tcPr>
                <w:p>
                  <w:pPr>
                    <w:pStyle w:val="117"/>
                    <w:ind w:firstLine="0" w:firstLineChars="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drawing>
                      <wp:inline distT="0" distB="0" distL="114300" distR="114300">
                        <wp:extent cx="2863850" cy="997585"/>
                        <wp:effectExtent l="0" t="0" r="1270" b="8255"/>
                        <wp:docPr id="30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20"/>
                                <pic:cNvPicPr>
                                  <a:picLocks noChangeAspect="1"/>
                                </pic:cNvPicPr>
                              </pic:nvPicPr>
                              <pic:blipFill>
                                <a:blip r:embed="rId19"/>
                                <a:stretch>
                                  <a:fillRect/>
                                </a:stretch>
                              </pic:blipFill>
                              <pic:spPr>
                                <a:xfrm>
                                  <a:off x="0" y="0"/>
                                  <a:ext cx="2863850" cy="99758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90" w:type="dxa"/>
                  <w:vAlign w:val="center"/>
                </w:tcPr>
                <w:p>
                  <w:pPr>
                    <w:pStyle w:val="117"/>
                    <w:ind w:firstLine="0" w:firstLineChars="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drawing>
                      <wp:inline distT="0" distB="0" distL="114300" distR="114300">
                        <wp:extent cx="1971675" cy="942975"/>
                        <wp:effectExtent l="0" t="0" r="9525" b="1905"/>
                        <wp:docPr id="31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21"/>
                                <pic:cNvPicPr>
                                  <a:picLocks noChangeAspect="1"/>
                                </pic:cNvPicPr>
                              </pic:nvPicPr>
                              <pic:blipFill>
                                <a:blip r:embed="rId20"/>
                                <a:stretch>
                                  <a:fillRect/>
                                </a:stretch>
                              </pic:blipFill>
                              <pic:spPr>
                                <a:xfrm>
                                  <a:off x="0" y="0"/>
                                  <a:ext cx="1971675" cy="942975"/>
                                </a:xfrm>
                                <a:prstGeom prst="rect">
                                  <a:avLst/>
                                </a:prstGeom>
                                <a:noFill/>
                                <a:ln>
                                  <a:noFill/>
                                </a:ln>
                              </pic:spPr>
                            </pic:pic>
                          </a:graphicData>
                        </a:graphic>
                      </wp:inline>
                    </w:drawing>
                  </w:r>
                </w:p>
              </w:tc>
              <w:tc>
                <w:tcPr>
                  <w:tcW w:w="4636" w:type="dxa"/>
                  <w:vAlign w:val="center"/>
                </w:tcPr>
                <w:p>
                  <w:pPr>
                    <w:pStyle w:val="117"/>
                    <w:ind w:firstLine="0" w:firstLineChars="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drawing>
                      <wp:inline distT="0" distB="0" distL="114300" distR="114300">
                        <wp:extent cx="2901950" cy="1393825"/>
                        <wp:effectExtent l="0" t="0" r="8890" b="8255"/>
                        <wp:docPr id="31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22"/>
                                <pic:cNvPicPr>
                                  <a:picLocks noChangeAspect="1"/>
                                </pic:cNvPicPr>
                              </pic:nvPicPr>
                              <pic:blipFill>
                                <a:blip r:embed="rId21"/>
                                <a:stretch>
                                  <a:fillRect/>
                                </a:stretch>
                              </pic:blipFill>
                              <pic:spPr>
                                <a:xfrm>
                                  <a:off x="0" y="0"/>
                                  <a:ext cx="2901950" cy="13938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90" w:type="dxa"/>
                  <w:vAlign w:val="center"/>
                </w:tcPr>
                <w:p>
                  <w:pPr>
                    <w:pStyle w:val="117"/>
                    <w:ind w:firstLine="0" w:firstLineChars="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drawing>
                      <wp:inline distT="0" distB="0" distL="114300" distR="114300">
                        <wp:extent cx="1758950" cy="854075"/>
                        <wp:effectExtent l="0" t="0" r="8890" b="14605"/>
                        <wp:docPr id="33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图片 23"/>
                                <pic:cNvPicPr>
                                  <a:picLocks noChangeAspect="1"/>
                                </pic:cNvPicPr>
                              </pic:nvPicPr>
                              <pic:blipFill>
                                <a:blip r:embed="rId22"/>
                                <a:stretch>
                                  <a:fillRect/>
                                </a:stretch>
                              </pic:blipFill>
                              <pic:spPr>
                                <a:xfrm>
                                  <a:off x="0" y="0"/>
                                  <a:ext cx="1758950" cy="854075"/>
                                </a:xfrm>
                                <a:prstGeom prst="rect">
                                  <a:avLst/>
                                </a:prstGeom>
                                <a:noFill/>
                                <a:ln>
                                  <a:noFill/>
                                </a:ln>
                              </pic:spPr>
                            </pic:pic>
                          </a:graphicData>
                        </a:graphic>
                      </wp:inline>
                    </w:drawing>
                  </w:r>
                </w:p>
              </w:tc>
              <w:tc>
                <w:tcPr>
                  <w:tcW w:w="4636" w:type="dxa"/>
                  <w:vAlign w:val="center"/>
                </w:tcPr>
                <w:p>
                  <w:pPr>
                    <w:pStyle w:val="117"/>
                    <w:ind w:firstLine="0" w:firstLineChars="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drawing>
                      <wp:inline distT="0" distB="0" distL="114300" distR="114300">
                        <wp:extent cx="2903855" cy="1399540"/>
                        <wp:effectExtent l="0" t="0" r="6985" b="2540"/>
                        <wp:docPr id="33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图片 24"/>
                                <pic:cNvPicPr>
                                  <a:picLocks noChangeAspect="1"/>
                                </pic:cNvPicPr>
                              </pic:nvPicPr>
                              <pic:blipFill>
                                <a:blip r:embed="rId23"/>
                                <a:stretch>
                                  <a:fillRect/>
                                </a:stretch>
                              </pic:blipFill>
                              <pic:spPr>
                                <a:xfrm>
                                  <a:off x="0" y="0"/>
                                  <a:ext cx="2903855" cy="139954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90" w:type="dxa"/>
                  <w:vAlign w:val="center"/>
                </w:tcPr>
                <w:p>
                  <w:pPr>
                    <w:pStyle w:val="117"/>
                    <w:ind w:firstLine="0" w:firstLineChars="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drawing>
                      <wp:inline distT="0" distB="0" distL="114300" distR="114300">
                        <wp:extent cx="2010410" cy="2458085"/>
                        <wp:effectExtent l="0" t="0" r="1270" b="10795"/>
                        <wp:docPr id="33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图片 25"/>
                                <pic:cNvPicPr>
                                  <a:picLocks noChangeAspect="1"/>
                                </pic:cNvPicPr>
                              </pic:nvPicPr>
                              <pic:blipFill>
                                <a:blip r:embed="rId24"/>
                                <a:stretch>
                                  <a:fillRect/>
                                </a:stretch>
                              </pic:blipFill>
                              <pic:spPr>
                                <a:xfrm>
                                  <a:off x="0" y="0"/>
                                  <a:ext cx="2010410" cy="2458085"/>
                                </a:xfrm>
                                <a:prstGeom prst="rect">
                                  <a:avLst/>
                                </a:prstGeom>
                                <a:noFill/>
                                <a:ln>
                                  <a:noFill/>
                                </a:ln>
                              </pic:spPr>
                            </pic:pic>
                          </a:graphicData>
                        </a:graphic>
                      </wp:inline>
                    </w:drawing>
                  </w:r>
                </w:p>
              </w:tc>
              <w:tc>
                <w:tcPr>
                  <w:tcW w:w="4636" w:type="dxa"/>
                  <w:vAlign w:val="center"/>
                </w:tcPr>
                <w:p>
                  <w:pPr>
                    <w:pStyle w:val="117"/>
                    <w:ind w:firstLine="0" w:firstLineChars="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drawing>
                      <wp:inline distT="0" distB="0" distL="114300" distR="114300">
                        <wp:extent cx="2871470" cy="1415415"/>
                        <wp:effectExtent l="0" t="0" r="8890" b="1905"/>
                        <wp:docPr id="33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图片 26"/>
                                <pic:cNvPicPr>
                                  <a:picLocks noChangeAspect="1"/>
                                </pic:cNvPicPr>
                              </pic:nvPicPr>
                              <pic:blipFill>
                                <a:blip r:embed="rId25"/>
                                <a:stretch>
                                  <a:fillRect/>
                                </a:stretch>
                              </pic:blipFill>
                              <pic:spPr>
                                <a:xfrm>
                                  <a:off x="0" y="0"/>
                                  <a:ext cx="2871470" cy="1415415"/>
                                </a:xfrm>
                                <a:prstGeom prst="rect">
                                  <a:avLst/>
                                </a:prstGeom>
                                <a:noFill/>
                                <a:ln>
                                  <a:noFill/>
                                </a:ln>
                              </pic:spPr>
                            </pic:pic>
                          </a:graphicData>
                        </a:graphic>
                      </wp:inline>
                    </w:drawing>
                  </w:r>
                </w:p>
              </w:tc>
            </w:tr>
          </w:tbl>
          <w:p>
            <w:pPr>
              <w:pStyle w:val="578"/>
              <w:ind w:firstLine="48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图3.1-1  《福州市长乐区环境质量月通报》水质达标情况</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根据福州市长乐生态环境局公布的《福州市长乐区环境质量月通报》，项目所在区域的区域水域2个断面（闽安、炎山矶头取水口）均可以达到《地表水环境质量标准》</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rPr>
              <w:t>GB3838-2002</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rPr>
              <w:t>Ⅲ类水质标准，项目所在地表水区域属于达标区。</w:t>
            </w:r>
          </w:p>
          <w:p>
            <w:pPr>
              <w:pStyle w:val="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3.1.3声环境质量现状</w:t>
            </w:r>
          </w:p>
          <w:p>
            <w:pPr>
              <w:numPr>
                <w:ilvl w:val="0"/>
                <w:numId w:val="11"/>
              </w:numPr>
              <w:ind w:firstLine="480"/>
              <w:rPr>
                <w:rFonts w:hint="eastAsia" w:cs="Times New Roman"/>
                <w:color w:val="auto"/>
                <w:highlight w:val="none"/>
                <w:lang w:val="en-US" w:eastAsia="zh-CN"/>
              </w:rPr>
            </w:pPr>
            <w:r>
              <w:rPr>
                <w:rFonts w:hint="eastAsia" w:cs="Times New Roman"/>
                <w:color w:val="auto"/>
                <w:highlight w:val="none"/>
                <w:lang w:val="en-US" w:eastAsia="zh-CN"/>
              </w:rPr>
              <w:t>声环境质量标准</w:t>
            </w:r>
          </w:p>
          <w:p>
            <w:pPr>
              <w:ind w:firstLine="480"/>
              <w:rPr>
                <w:rFonts w:hint="default" w:ascii="Times New Roman" w:hAnsi="Times New Roman" w:eastAsia="宋体" w:cs="Times New Roman"/>
                <w:color w:val="auto"/>
                <w:highlight w:val="none"/>
              </w:rPr>
            </w:pPr>
            <w:r>
              <w:rPr>
                <w:rFonts w:hint="default" w:cs="Times New Roman"/>
                <w:color w:val="auto"/>
                <w:highlight w:val="none"/>
                <w:lang w:val="en-US" w:eastAsia="zh-CN"/>
              </w:rPr>
              <w:t>本次技改工程</w:t>
            </w:r>
            <w:r>
              <w:rPr>
                <w:rFonts w:hint="default" w:ascii="Times New Roman" w:hAnsi="Times New Roman" w:eastAsia="宋体" w:cs="Times New Roman"/>
                <w:color w:val="auto"/>
                <w:highlight w:val="none"/>
              </w:rPr>
              <w:t>位于营前工业区，厂界环境噪声执行GB3096-2008《声环境质量标准》的3类标准。</w:t>
            </w:r>
          </w:p>
          <w:p>
            <w:pPr>
              <w:numPr>
                <w:ilvl w:val="0"/>
                <w:numId w:val="11"/>
              </w:numPr>
              <w:ind w:firstLine="480"/>
              <w:rPr>
                <w:rFonts w:hint="eastAsia" w:cs="Times New Roman"/>
                <w:color w:val="auto"/>
                <w:highlight w:val="none"/>
                <w:lang w:val="en-US" w:eastAsia="zh-CN"/>
              </w:rPr>
            </w:pPr>
            <w:r>
              <w:rPr>
                <w:rFonts w:hint="eastAsia" w:cs="Times New Roman"/>
                <w:color w:val="auto"/>
                <w:highlight w:val="none"/>
                <w:lang w:val="en-US" w:eastAsia="zh-CN"/>
              </w:rPr>
              <w:t>声环境质量现状</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根据《建设项目环境影响报告表编制技术指南</w:t>
            </w:r>
            <w:r>
              <w:rPr>
                <w:rFonts w:hint="default"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rPr>
              <w:t>污染影响类</w:t>
            </w:r>
            <w:r>
              <w:rPr>
                <w:rFonts w:hint="default"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rPr>
              <w:t>》：厂界外周边50</w:t>
            </w:r>
            <w:r>
              <w:rPr>
                <w:rFonts w:hint="default" w:ascii="Times New Roman" w:hAnsi="Times New Roman" w:eastAsia="宋体" w:cs="Times New Roman"/>
                <w:color w:val="auto"/>
                <w:highlight w:val="none"/>
                <w:lang w:val="en-US" w:eastAsia="zh-CN"/>
              </w:rPr>
              <w:t>m</w:t>
            </w:r>
            <w:r>
              <w:rPr>
                <w:rFonts w:hint="default" w:ascii="Times New Roman" w:hAnsi="Times New Roman" w:eastAsia="宋体" w:cs="Times New Roman"/>
                <w:color w:val="auto"/>
                <w:highlight w:val="none"/>
              </w:rPr>
              <w:t>范围内存在声环境保护目标的建设项目，应监测保护目标声环境质量现状并评价达标情况。拟建项目位于长乐区营前街道福建吴航不锈钢制品有限公司现有厂区内，项目厂界外50m范围内无敏感目标</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不进行声环境质量现状监测</w:t>
            </w:r>
            <w:r>
              <w:rPr>
                <w:rFonts w:hint="default" w:ascii="Times New Roman" w:hAnsi="Times New Roman" w:eastAsia="宋体" w:cs="Times New Roman"/>
                <w:color w:val="auto"/>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5" w:hRule="atLeast"/>
          <w:jc w:val="center"/>
        </w:trPr>
        <w:tc>
          <w:tcPr>
            <w:tcW w:w="426" w:type="dxa"/>
            <w:vAlign w:val="center"/>
          </w:tcPr>
          <w:p>
            <w:pPr>
              <w:pStyle w:val="11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环境</w:t>
            </w:r>
          </w:p>
          <w:p>
            <w:pPr>
              <w:pStyle w:val="11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保护</w:t>
            </w:r>
          </w:p>
          <w:p>
            <w:pPr>
              <w:pStyle w:val="11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目标</w:t>
            </w:r>
          </w:p>
        </w:tc>
        <w:tc>
          <w:tcPr>
            <w:tcW w:w="8752" w:type="dxa"/>
            <w:vAlign w:val="center"/>
          </w:tcPr>
          <w:p>
            <w:pPr>
              <w:pStyle w:val="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3.2环境保护目标</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本项目选址周边无文物古迹、风景名胜，不在水源地保护区、自然保护区等敏感区域内。项目周边环境敏感目标分布见附图3。</w:t>
            </w:r>
          </w:p>
          <w:p>
            <w:pPr>
              <w:pStyle w:val="546"/>
              <w:rPr>
                <w:rFonts w:hint="default" w:ascii="Times New Roman" w:hAnsi="Times New Roman" w:eastAsia="宋体" w:cs="Times New Roman"/>
                <w:b/>
                <w:bCs/>
                <w:color w:val="auto"/>
                <w:szCs w:val="28"/>
                <w:highlight w:val="none"/>
                <w:lang w:val="en-US" w:bidi="ar-SA"/>
              </w:rPr>
            </w:pPr>
            <w:r>
              <w:rPr>
                <w:rFonts w:hint="default" w:ascii="Times New Roman" w:hAnsi="Times New Roman" w:eastAsia="宋体" w:cs="Times New Roman"/>
                <w:b/>
                <w:bCs/>
                <w:color w:val="auto"/>
                <w:szCs w:val="28"/>
                <w:highlight w:val="none"/>
                <w:lang w:val="en-US" w:bidi="ar-SA"/>
              </w:rPr>
              <w:t>表3.2-1 环境保护目标一览表</w:t>
            </w:r>
          </w:p>
          <w:tbl>
            <w:tblPr>
              <w:tblStyle w:val="49"/>
              <w:tblW w:w="8536" w:type="dxa"/>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21"/>
              <w:gridCol w:w="476"/>
              <w:gridCol w:w="407"/>
              <w:gridCol w:w="1985"/>
              <w:gridCol w:w="1115"/>
              <w:gridCol w:w="1171"/>
              <w:gridCol w:w="1028"/>
              <w:gridCol w:w="1733"/>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tblHeader/>
                <w:jc w:val="center"/>
              </w:trPr>
              <w:tc>
                <w:tcPr>
                  <w:tcW w:w="621" w:type="dxa"/>
                  <w:vMerge w:val="restart"/>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环境</w:t>
                  </w:r>
                </w:p>
                <w:p>
                  <w:pPr>
                    <w:pStyle w:val="117"/>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要素</w:t>
                  </w:r>
                </w:p>
              </w:tc>
              <w:tc>
                <w:tcPr>
                  <w:tcW w:w="2868" w:type="dxa"/>
                  <w:gridSpan w:val="3"/>
                  <w:vMerge w:val="restart"/>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环境保护目标名称</w:t>
                  </w:r>
                </w:p>
              </w:tc>
              <w:tc>
                <w:tcPr>
                  <w:tcW w:w="1115" w:type="dxa"/>
                  <w:vMerge w:val="restart"/>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相对厂</w:t>
                  </w:r>
                </w:p>
                <w:p>
                  <w:pPr>
                    <w:pStyle w:val="117"/>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址方位</w:t>
                  </w:r>
                </w:p>
              </w:tc>
              <w:tc>
                <w:tcPr>
                  <w:tcW w:w="1171" w:type="dxa"/>
                  <w:vMerge w:val="restart"/>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相对距离（m）</w:t>
                  </w:r>
                </w:p>
              </w:tc>
              <w:tc>
                <w:tcPr>
                  <w:tcW w:w="1028" w:type="dxa"/>
                  <w:vMerge w:val="restart"/>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人口</w:t>
                  </w:r>
                </w:p>
              </w:tc>
              <w:tc>
                <w:tcPr>
                  <w:tcW w:w="1733" w:type="dxa"/>
                  <w:vMerge w:val="restart"/>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环境功能及</w:t>
                  </w:r>
                </w:p>
                <w:p>
                  <w:pPr>
                    <w:pStyle w:val="117"/>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保护级别</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tblHeader/>
                <w:jc w:val="center"/>
              </w:trPr>
              <w:tc>
                <w:tcPr>
                  <w:tcW w:w="621" w:type="dxa"/>
                  <w:vMerge w:val="continue"/>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p>
              </w:tc>
              <w:tc>
                <w:tcPr>
                  <w:tcW w:w="2868" w:type="dxa"/>
                  <w:gridSpan w:val="3"/>
                  <w:vMerge w:val="continue"/>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p>
              </w:tc>
              <w:tc>
                <w:tcPr>
                  <w:tcW w:w="1115" w:type="dxa"/>
                  <w:vMerge w:val="continue"/>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p>
              </w:tc>
              <w:tc>
                <w:tcPr>
                  <w:tcW w:w="1171" w:type="dxa"/>
                  <w:vMerge w:val="continue"/>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p>
              </w:tc>
              <w:tc>
                <w:tcPr>
                  <w:tcW w:w="1028" w:type="dxa"/>
                  <w:vMerge w:val="continue"/>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p>
              </w:tc>
              <w:tc>
                <w:tcPr>
                  <w:tcW w:w="1733" w:type="dxa"/>
                  <w:vMerge w:val="continue"/>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jc w:val="center"/>
              </w:trPr>
              <w:tc>
                <w:tcPr>
                  <w:tcW w:w="621" w:type="dxa"/>
                  <w:vMerge w:val="restart"/>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大气</w:t>
                  </w:r>
                </w:p>
                <w:p>
                  <w:pPr>
                    <w:pStyle w:val="117"/>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环境</w:t>
                  </w:r>
                </w:p>
              </w:tc>
              <w:tc>
                <w:tcPr>
                  <w:tcW w:w="476" w:type="dxa"/>
                  <w:vMerge w:val="restart"/>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主要社会关注区</w:t>
                  </w:r>
                </w:p>
              </w:tc>
              <w:tc>
                <w:tcPr>
                  <w:tcW w:w="407" w:type="dxa"/>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w:t>
                  </w:r>
                </w:p>
              </w:tc>
              <w:tc>
                <w:tcPr>
                  <w:tcW w:w="1985" w:type="dxa"/>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73125部队营地</w:t>
                  </w:r>
                </w:p>
              </w:tc>
              <w:tc>
                <w:tcPr>
                  <w:tcW w:w="1115" w:type="dxa"/>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w:t>
                  </w:r>
                </w:p>
              </w:tc>
              <w:tc>
                <w:tcPr>
                  <w:tcW w:w="1171" w:type="dxa"/>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205</w:t>
                  </w:r>
                </w:p>
              </w:tc>
              <w:tc>
                <w:tcPr>
                  <w:tcW w:w="1028" w:type="dxa"/>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1228</w:t>
                  </w:r>
                </w:p>
              </w:tc>
              <w:tc>
                <w:tcPr>
                  <w:tcW w:w="1733" w:type="dxa"/>
                  <w:vMerge w:val="restart"/>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环境空气质量</w:t>
                  </w:r>
                </w:p>
                <w:p>
                  <w:pPr>
                    <w:pStyle w:val="117"/>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二类功能区</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jc w:val="center"/>
              </w:trPr>
              <w:tc>
                <w:tcPr>
                  <w:tcW w:w="621" w:type="dxa"/>
                  <w:vMerge w:val="continue"/>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p>
              </w:tc>
              <w:tc>
                <w:tcPr>
                  <w:tcW w:w="476" w:type="dxa"/>
                  <w:vMerge w:val="continue"/>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p>
              </w:tc>
              <w:tc>
                <w:tcPr>
                  <w:tcW w:w="407" w:type="dxa"/>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w:t>
                  </w:r>
                </w:p>
              </w:tc>
              <w:tc>
                <w:tcPr>
                  <w:tcW w:w="1985" w:type="dxa"/>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洞头村</w:t>
                  </w:r>
                </w:p>
              </w:tc>
              <w:tc>
                <w:tcPr>
                  <w:tcW w:w="1115" w:type="dxa"/>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ES</w:t>
                  </w:r>
                </w:p>
              </w:tc>
              <w:tc>
                <w:tcPr>
                  <w:tcW w:w="1171" w:type="dxa"/>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659</w:t>
                  </w:r>
                </w:p>
              </w:tc>
              <w:tc>
                <w:tcPr>
                  <w:tcW w:w="1028" w:type="dxa"/>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2500</w:t>
                  </w:r>
                </w:p>
              </w:tc>
              <w:tc>
                <w:tcPr>
                  <w:tcW w:w="1733" w:type="dxa"/>
                  <w:vMerge w:val="continue"/>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jc w:val="center"/>
              </w:trPr>
              <w:tc>
                <w:tcPr>
                  <w:tcW w:w="621" w:type="dxa"/>
                  <w:vMerge w:val="continue"/>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p>
              </w:tc>
              <w:tc>
                <w:tcPr>
                  <w:tcW w:w="476" w:type="dxa"/>
                  <w:vMerge w:val="continue"/>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p>
              </w:tc>
              <w:tc>
                <w:tcPr>
                  <w:tcW w:w="407" w:type="dxa"/>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w:t>
                  </w:r>
                </w:p>
              </w:tc>
              <w:tc>
                <w:tcPr>
                  <w:tcW w:w="1985" w:type="dxa"/>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吴钢宿舍</w:t>
                  </w:r>
                </w:p>
              </w:tc>
              <w:tc>
                <w:tcPr>
                  <w:tcW w:w="1115" w:type="dxa"/>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N</w:t>
                  </w:r>
                </w:p>
              </w:tc>
              <w:tc>
                <w:tcPr>
                  <w:tcW w:w="1171" w:type="dxa"/>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527</w:t>
                  </w:r>
                </w:p>
              </w:tc>
              <w:tc>
                <w:tcPr>
                  <w:tcW w:w="1028" w:type="dxa"/>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988</w:t>
                  </w:r>
                </w:p>
              </w:tc>
              <w:tc>
                <w:tcPr>
                  <w:tcW w:w="1733" w:type="dxa"/>
                  <w:vMerge w:val="continue"/>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0" w:hRule="atLeast"/>
                <w:jc w:val="center"/>
              </w:trPr>
              <w:tc>
                <w:tcPr>
                  <w:tcW w:w="621" w:type="dxa"/>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水环境</w:t>
                  </w:r>
                </w:p>
              </w:tc>
              <w:tc>
                <w:tcPr>
                  <w:tcW w:w="2868" w:type="dxa"/>
                  <w:gridSpan w:val="3"/>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长乐区炎山水源保护区</w:t>
                  </w:r>
                </w:p>
                <w:p>
                  <w:pPr>
                    <w:pStyle w:val="117"/>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二级保护区</w:t>
                  </w:r>
                </w:p>
              </w:tc>
              <w:tc>
                <w:tcPr>
                  <w:tcW w:w="1115" w:type="dxa"/>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WN</w:t>
                  </w:r>
                </w:p>
              </w:tc>
              <w:tc>
                <w:tcPr>
                  <w:tcW w:w="1171" w:type="dxa"/>
                  <w:tcBorders>
                    <w:tl2br w:val="nil"/>
                    <w:tr2bl w:val="nil"/>
                  </w:tcBorders>
                  <w:vAlign w:val="center"/>
                </w:tcPr>
                <w:p>
                  <w:pPr>
                    <w:pStyle w:val="117"/>
                    <w:ind w:firstLine="0" w:firstLineChars="0"/>
                    <w:rPr>
                      <w:rFonts w:hint="eastAsia" w:ascii="Times New Roman" w:hAnsi="Times New Roman" w:eastAsia="宋体" w:cs="Times New Roman"/>
                      <w:color w:val="auto"/>
                      <w:highlight w:val="none"/>
                      <w:lang w:eastAsia="zh-CN"/>
                    </w:rPr>
                  </w:pPr>
                  <w:r>
                    <w:rPr>
                      <w:rFonts w:hint="eastAsia" w:cs="Times New Roman"/>
                      <w:color w:val="auto"/>
                      <w:highlight w:val="none"/>
                      <w:lang w:val="en-US" w:eastAsia="zh-CN"/>
                    </w:rPr>
                    <w:t>384</w:t>
                  </w:r>
                  <w:r>
                    <w:rPr>
                      <w:rFonts w:hint="eastAsia"/>
                      <w:color w:val="auto"/>
                      <w:highlight w:val="none"/>
                      <w:lang w:eastAsia="zh-CN"/>
                    </w:rPr>
                    <w:t>（本技改工程北面）</w:t>
                  </w:r>
                </w:p>
              </w:tc>
              <w:tc>
                <w:tcPr>
                  <w:tcW w:w="1028" w:type="dxa"/>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1733" w:type="dxa"/>
                  <w:tcBorders>
                    <w:tl2br w:val="nil"/>
                    <w:tr2bl w:val="nil"/>
                  </w:tcBorders>
                  <w:vAlign w:val="center"/>
                </w:tcPr>
                <w:p>
                  <w:pPr>
                    <w:pStyle w:val="117"/>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Ⅲ类水质</w:t>
                  </w:r>
                </w:p>
              </w:tc>
            </w:tr>
          </w:tbl>
          <w:p>
            <w:pPr>
              <w:pStyle w:val="6"/>
              <w:rPr>
                <w:rFonts w:hint="default" w:ascii="Times New Roman" w:hAnsi="Times New Roman" w:eastAsia="宋体" w:cs="Times New Roman"/>
                <w:color w:val="auto"/>
                <w:highlight w:val="none"/>
              </w:rPr>
            </w:pPr>
          </w:p>
          <w:p>
            <w:pPr>
              <w:rPr>
                <w:rFonts w:hint="default"/>
                <w:color w:val="auto"/>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142" w:hRule="atLeast"/>
          <w:jc w:val="center"/>
        </w:trPr>
        <w:tc>
          <w:tcPr>
            <w:tcW w:w="426" w:type="dxa"/>
            <w:tcMar>
              <w:left w:w="28" w:type="dxa"/>
              <w:right w:w="28" w:type="dxa"/>
            </w:tcMar>
            <w:vAlign w:val="center"/>
          </w:tcPr>
          <w:p>
            <w:pPr>
              <w:pStyle w:val="11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污染</w:t>
            </w:r>
          </w:p>
          <w:p>
            <w:pPr>
              <w:pStyle w:val="11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物排</w:t>
            </w:r>
          </w:p>
          <w:p>
            <w:pPr>
              <w:pStyle w:val="11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放控</w:t>
            </w:r>
          </w:p>
          <w:p>
            <w:pPr>
              <w:pStyle w:val="11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制标</w:t>
            </w:r>
          </w:p>
          <w:p>
            <w:pPr>
              <w:pStyle w:val="11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准</w:t>
            </w:r>
          </w:p>
        </w:tc>
        <w:tc>
          <w:tcPr>
            <w:tcW w:w="8752" w:type="dxa"/>
            <w:vAlign w:val="center"/>
          </w:tcPr>
          <w:p>
            <w:pPr>
              <w:pStyle w:val="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3.3污染物排放控制标准</w:t>
            </w:r>
          </w:p>
          <w:p>
            <w:pPr>
              <w:pStyle w:val="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3.3.1废水</w:t>
            </w:r>
          </w:p>
          <w:p>
            <w:pPr>
              <w:ind w:firstLine="48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highlight w:val="none"/>
              </w:rPr>
              <w:t>运营期：项目生产废水循环使用，不外排；</w:t>
            </w:r>
            <w:r>
              <w:rPr>
                <w:rFonts w:hint="default" w:ascii="Times New Roman" w:hAnsi="Times New Roman" w:eastAsia="宋体" w:cs="Times New Roman"/>
                <w:color w:val="auto"/>
                <w:kern w:val="0"/>
                <w:szCs w:val="28"/>
                <w:highlight w:val="none"/>
              </w:rPr>
              <w:t>生活污水经化粪池处理符合《污水综合排放标准》（GB8978-1996）表4三级标准（氨氮参照</w:t>
            </w:r>
            <w:r>
              <w:rPr>
                <w:rFonts w:hint="default" w:ascii="Times New Roman" w:hAnsi="Times New Roman" w:eastAsia="宋体" w:cs="Times New Roman"/>
                <w:color w:val="auto"/>
                <w:szCs w:val="24"/>
                <w:highlight w:val="none"/>
              </w:rPr>
              <w:t>《污水排入城镇下水道水质标准》（GB/T31962-2015）表1B等级标准</w:t>
            </w:r>
            <w:r>
              <w:rPr>
                <w:rFonts w:hint="default" w:ascii="Times New Roman" w:hAnsi="Times New Roman" w:eastAsia="宋体" w:cs="Times New Roman"/>
                <w:color w:val="auto"/>
                <w:kern w:val="0"/>
                <w:szCs w:val="28"/>
                <w:highlight w:val="none"/>
              </w:rPr>
              <w:t>）后，通过市政污水管排至</w:t>
            </w:r>
            <w:r>
              <w:rPr>
                <w:rFonts w:hint="default" w:ascii="Times New Roman" w:hAnsi="Times New Roman" w:eastAsia="宋体" w:cs="Times New Roman"/>
                <w:color w:val="auto"/>
                <w:highlight w:val="none"/>
              </w:rPr>
              <w:t>长乐污水处理厂</w:t>
            </w:r>
            <w:r>
              <w:rPr>
                <w:rFonts w:hint="default" w:ascii="Times New Roman" w:hAnsi="Times New Roman" w:eastAsia="宋体" w:cs="Times New Roman"/>
                <w:color w:val="auto"/>
                <w:kern w:val="0"/>
                <w:szCs w:val="28"/>
                <w:highlight w:val="none"/>
              </w:rPr>
              <w:t>。</w:t>
            </w:r>
          </w:p>
          <w:p>
            <w:pPr>
              <w:pStyle w:val="546"/>
              <w:rPr>
                <w:rFonts w:hint="default" w:ascii="Times New Roman" w:hAnsi="Times New Roman" w:eastAsia="宋体" w:cs="Times New Roman"/>
                <w:b/>
                <w:bCs/>
                <w:color w:val="auto"/>
                <w:szCs w:val="28"/>
                <w:highlight w:val="none"/>
                <w:lang w:val="en-US" w:bidi="ar-SA"/>
              </w:rPr>
            </w:pPr>
            <w:r>
              <w:rPr>
                <w:rFonts w:hint="default" w:ascii="Times New Roman" w:hAnsi="Times New Roman" w:eastAsia="宋体" w:cs="Times New Roman"/>
                <w:b/>
                <w:bCs/>
                <w:color w:val="auto"/>
                <w:szCs w:val="28"/>
                <w:highlight w:val="none"/>
                <w:lang w:val="en-US" w:bidi="ar-SA"/>
              </w:rPr>
              <w:t>表3.3-1</w:t>
            </w:r>
            <w:r>
              <w:rPr>
                <w:rFonts w:hint="default" w:ascii="Times New Roman" w:hAnsi="Times New Roman" w:eastAsia="宋体" w:cs="Times New Roman"/>
                <w:b/>
                <w:bCs/>
                <w:color w:val="auto"/>
                <w:highlight w:val="none"/>
              </w:rPr>
              <w:t>废水排放标准</w:t>
            </w:r>
          </w:p>
          <w:tbl>
            <w:tblPr>
              <w:tblStyle w:val="49"/>
              <w:tblW w:w="853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59"/>
              <w:gridCol w:w="2233"/>
              <w:gridCol w:w="21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标准名称</w:t>
                  </w:r>
                </w:p>
              </w:tc>
              <w:tc>
                <w:tcPr>
                  <w:tcW w:w="223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项目</w:t>
                  </w:r>
                </w:p>
              </w:tc>
              <w:tc>
                <w:tcPr>
                  <w:tcW w:w="214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9" w:type="dxa"/>
                  <w:vMerge w:val="restart"/>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《污水综合排放标准》</w:t>
                  </w:r>
                </w:p>
                <w:p>
                  <w:pPr>
                    <w:adjustRightInd w:val="0"/>
                    <w:snapToGrid w:val="0"/>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（GB8978-1996）表4三级标准</w:t>
                  </w:r>
                </w:p>
              </w:tc>
              <w:tc>
                <w:tcPr>
                  <w:tcW w:w="223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pH</w:t>
                  </w:r>
                </w:p>
              </w:tc>
              <w:tc>
                <w:tcPr>
                  <w:tcW w:w="214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9" w:type="dxa"/>
                  <w:vMerge w:val="continue"/>
                  <w:tcBorders>
                    <w:tl2br w:val="nil"/>
                    <w:tr2bl w:val="nil"/>
                  </w:tcBorders>
                  <w:vAlign w:val="center"/>
                </w:tcPr>
                <w:p>
                  <w:pPr>
                    <w:widowControl/>
                    <w:spacing w:line="240" w:lineRule="auto"/>
                    <w:ind w:firstLine="0" w:firstLineChars="0"/>
                    <w:jc w:val="left"/>
                    <w:rPr>
                      <w:rFonts w:hint="default" w:ascii="Times New Roman" w:hAnsi="Times New Roman" w:eastAsia="宋体" w:cs="Times New Roman"/>
                      <w:bCs/>
                      <w:color w:val="auto"/>
                      <w:sz w:val="21"/>
                      <w:szCs w:val="21"/>
                      <w:highlight w:val="none"/>
                    </w:rPr>
                  </w:pPr>
                </w:p>
              </w:tc>
              <w:tc>
                <w:tcPr>
                  <w:tcW w:w="223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COD</w:t>
                  </w:r>
                </w:p>
              </w:tc>
              <w:tc>
                <w:tcPr>
                  <w:tcW w:w="214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500mg/L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9" w:type="dxa"/>
                  <w:vMerge w:val="continue"/>
                  <w:tcBorders>
                    <w:tl2br w:val="nil"/>
                    <w:tr2bl w:val="nil"/>
                  </w:tcBorders>
                  <w:vAlign w:val="center"/>
                </w:tcPr>
                <w:p>
                  <w:pPr>
                    <w:widowControl/>
                    <w:spacing w:line="240" w:lineRule="auto"/>
                    <w:ind w:firstLine="0" w:firstLineChars="0"/>
                    <w:jc w:val="left"/>
                    <w:rPr>
                      <w:rFonts w:hint="default" w:ascii="Times New Roman" w:hAnsi="Times New Roman" w:eastAsia="宋体" w:cs="Times New Roman"/>
                      <w:bCs/>
                      <w:color w:val="auto"/>
                      <w:sz w:val="21"/>
                      <w:szCs w:val="21"/>
                      <w:highlight w:val="none"/>
                    </w:rPr>
                  </w:pPr>
                </w:p>
              </w:tc>
              <w:tc>
                <w:tcPr>
                  <w:tcW w:w="223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BOD</w:t>
                  </w:r>
                  <w:r>
                    <w:rPr>
                      <w:rFonts w:hint="default" w:ascii="Times New Roman" w:hAnsi="Times New Roman" w:eastAsia="宋体" w:cs="Times New Roman"/>
                      <w:bCs/>
                      <w:color w:val="auto"/>
                      <w:sz w:val="21"/>
                      <w:szCs w:val="21"/>
                      <w:highlight w:val="none"/>
                      <w:vertAlign w:val="subscript"/>
                    </w:rPr>
                    <w:t>5</w:t>
                  </w:r>
                </w:p>
              </w:tc>
              <w:tc>
                <w:tcPr>
                  <w:tcW w:w="214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300mg/L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9" w:type="dxa"/>
                  <w:vMerge w:val="continue"/>
                  <w:tcBorders>
                    <w:tl2br w:val="nil"/>
                    <w:tr2bl w:val="nil"/>
                  </w:tcBorders>
                  <w:vAlign w:val="center"/>
                </w:tcPr>
                <w:p>
                  <w:pPr>
                    <w:widowControl/>
                    <w:spacing w:line="240" w:lineRule="auto"/>
                    <w:ind w:firstLine="0" w:firstLineChars="0"/>
                    <w:jc w:val="left"/>
                    <w:rPr>
                      <w:rFonts w:hint="default" w:ascii="Times New Roman" w:hAnsi="Times New Roman" w:eastAsia="宋体" w:cs="Times New Roman"/>
                      <w:bCs/>
                      <w:color w:val="auto"/>
                      <w:sz w:val="21"/>
                      <w:szCs w:val="21"/>
                      <w:highlight w:val="none"/>
                    </w:rPr>
                  </w:pPr>
                </w:p>
              </w:tc>
              <w:tc>
                <w:tcPr>
                  <w:tcW w:w="223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SS</w:t>
                  </w:r>
                </w:p>
              </w:tc>
              <w:tc>
                <w:tcPr>
                  <w:tcW w:w="214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400mg/L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5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《污水排入城镇下水道水质标准》（GB/T31962-2015）表1B等级标准</w:t>
                  </w:r>
                </w:p>
              </w:tc>
              <w:tc>
                <w:tcPr>
                  <w:tcW w:w="2233"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NH</w:t>
                  </w:r>
                  <w:r>
                    <w:rPr>
                      <w:rFonts w:hint="default" w:ascii="Times New Roman" w:hAnsi="Times New Roman" w:eastAsia="宋体" w:cs="Times New Roman"/>
                      <w:bCs/>
                      <w:color w:val="auto"/>
                      <w:sz w:val="21"/>
                      <w:szCs w:val="21"/>
                      <w:highlight w:val="none"/>
                      <w:vertAlign w:val="subscript"/>
                    </w:rPr>
                    <w:t>3</w:t>
                  </w:r>
                  <w:r>
                    <w:rPr>
                      <w:rFonts w:hint="default" w:ascii="Times New Roman" w:hAnsi="Times New Roman" w:eastAsia="宋体" w:cs="Times New Roman"/>
                      <w:bCs/>
                      <w:color w:val="auto"/>
                      <w:sz w:val="21"/>
                      <w:szCs w:val="21"/>
                      <w:highlight w:val="none"/>
                    </w:rPr>
                    <w:t>-N</w:t>
                  </w:r>
                </w:p>
              </w:tc>
              <w:tc>
                <w:tcPr>
                  <w:tcW w:w="2141"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45mg/L</w:t>
                  </w:r>
                </w:p>
              </w:tc>
            </w:tr>
          </w:tbl>
          <w:p>
            <w:pPr>
              <w:pStyle w:val="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3.3.2废气</w:t>
            </w:r>
          </w:p>
          <w:p>
            <w:pPr>
              <w:ind w:firstLine="480"/>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rPr>
              <w:t>（1）有组织废气</w:t>
            </w:r>
          </w:p>
          <w:p>
            <w:pPr>
              <w:pStyle w:val="581"/>
              <w:ind w:firstLine="48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highlight w:val="none"/>
              </w:rPr>
              <w:t>项目运营期有组织废气主要</w:t>
            </w:r>
            <w:r>
              <w:rPr>
                <w:rFonts w:hint="default" w:ascii="Times New Roman" w:hAnsi="Times New Roman" w:eastAsia="宋体" w:cs="Times New Roman"/>
                <w:color w:val="auto"/>
                <w:highlight w:val="none"/>
                <w:lang w:val="en-US" w:eastAsia="zh-CN"/>
              </w:rPr>
              <w:t>为</w:t>
            </w:r>
            <w:r>
              <w:rPr>
                <w:rFonts w:hint="default" w:ascii="Times New Roman" w:hAnsi="Times New Roman" w:eastAsia="宋体" w:cs="Times New Roman"/>
                <w:color w:val="auto"/>
                <w:highlight w:val="none"/>
              </w:rPr>
              <w:t>钢磨机破碎粉尘，</w:t>
            </w:r>
            <w:r>
              <w:rPr>
                <w:rFonts w:hint="default" w:ascii="Times New Roman" w:hAnsi="Times New Roman" w:eastAsia="宋体" w:cs="Times New Roman"/>
                <w:color w:val="auto"/>
                <w:szCs w:val="24"/>
                <w:highlight w:val="none"/>
                <w:lang w:val="en-US" w:eastAsia="zh-CN"/>
              </w:rPr>
              <w:t>粉尘</w:t>
            </w:r>
            <w:r>
              <w:rPr>
                <w:rFonts w:hint="default" w:ascii="Times New Roman" w:hAnsi="Times New Roman" w:eastAsia="宋体" w:cs="Times New Roman"/>
                <w:color w:val="auto"/>
                <w:szCs w:val="24"/>
                <w:highlight w:val="none"/>
              </w:rPr>
              <w:t>执行《大气污染物及综合排放标准》</w:t>
            </w:r>
            <w:r>
              <w:rPr>
                <w:rFonts w:hint="eastAsia" w:ascii="Times New Roman" w:hAnsi="Times New Roman" w:eastAsia="宋体" w:cs="Times New Roman"/>
                <w:color w:val="auto"/>
                <w:szCs w:val="24"/>
                <w:highlight w:val="none"/>
                <w:lang w:val="en-US" w:eastAsia="zh-CN"/>
              </w:rPr>
              <w:t>(</w:t>
            </w:r>
            <w:r>
              <w:rPr>
                <w:rFonts w:hint="default" w:ascii="Times New Roman" w:hAnsi="Times New Roman" w:eastAsia="宋体" w:cs="Times New Roman"/>
                <w:color w:val="auto"/>
                <w:szCs w:val="24"/>
                <w:highlight w:val="none"/>
              </w:rPr>
              <w:t>GB16297-1996</w:t>
            </w:r>
            <w:r>
              <w:rPr>
                <w:rFonts w:hint="eastAsia" w:ascii="Times New Roman" w:hAnsi="Times New Roman" w:eastAsia="宋体" w:cs="Times New Roman"/>
                <w:color w:val="auto"/>
                <w:szCs w:val="24"/>
                <w:highlight w:val="none"/>
                <w:lang w:val="en-US" w:eastAsia="zh-CN"/>
              </w:rPr>
              <w:t>)</w:t>
            </w:r>
            <w:r>
              <w:rPr>
                <w:rFonts w:hint="default" w:ascii="Times New Roman" w:hAnsi="Times New Roman" w:eastAsia="宋体" w:cs="Times New Roman"/>
                <w:color w:val="auto"/>
                <w:szCs w:val="24"/>
                <w:highlight w:val="none"/>
              </w:rPr>
              <w:t>表2中新建污染物排放标准</w:t>
            </w:r>
            <w:r>
              <w:rPr>
                <w:rFonts w:hint="eastAsia" w:ascii="Times New Roman" w:hAnsi="Times New Roman" w:eastAsia="宋体" w:cs="Times New Roman"/>
                <w:color w:val="auto"/>
                <w:szCs w:val="24"/>
                <w:highlight w:val="none"/>
                <w:lang w:val="en-US" w:eastAsia="zh-CN"/>
              </w:rPr>
              <w:t>中</w:t>
            </w:r>
            <w:r>
              <w:rPr>
                <w:rFonts w:hint="default" w:ascii="Times New Roman" w:hAnsi="Times New Roman" w:eastAsia="宋体" w:cs="Times New Roman"/>
                <w:color w:val="auto"/>
                <w:szCs w:val="24"/>
                <w:highlight w:val="none"/>
                <w:lang w:val="en-US" w:eastAsia="zh-CN"/>
              </w:rPr>
              <w:t>的</w:t>
            </w:r>
            <w:r>
              <w:rPr>
                <w:rFonts w:hint="default" w:ascii="Times New Roman" w:hAnsi="Times New Roman" w:eastAsia="宋体" w:cs="Times New Roman"/>
                <w:color w:val="auto"/>
                <w:szCs w:val="24"/>
                <w:highlight w:val="none"/>
              </w:rPr>
              <w:t>二级标准</w:t>
            </w:r>
            <w:r>
              <w:rPr>
                <w:rFonts w:hint="default" w:ascii="Times New Roman" w:hAnsi="Times New Roman" w:eastAsia="宋体" w:cs="Times New Roman"/>
                <w:color w:val="auto"/>
                <w:szCs w:val="24"/>
                <w:highlight w:val="none"/>
                <w:lang w:val="en-US" w:eastAsia="zh-CN"/>
              </w:rPr>
              <w:t>限值要求</w:t>
            </w:r>
            <w:r>
              <w:rPr>
                <w:rFonts w:hint="default" w:ascii="Times New Roman" w:hAnsi="Times New Roman" w:eastAsia="宋体" w:cs="Times New Roman"/>
                <w:color w:val="auto"/>
                <w:szCs w:val="24"/>
                <w:highlight w:val="none"/>
              </w:rPr>
              <w:t>；</w:t>
            </w:r>
          </w:p>
          <w:p>
            <w:pPr>
              <w:ind w:firstLine="480"/>
              <w:rPr>
                <w:rFonts w:hint="default" w:ascii="Times New Roman" w:hAnsi="Times New Roman" w:eastAsia="宋体" w:cs="Times New Roman"/>
                <w:color w:val="auto"/>
                <w:kern w:val="0"/>
                <w:highlight w:val="none"/>
              </w:rPr>
            </w:pPr>
            <w:r>
              <w:rPr>
                <w:rFonts w:hint="default" w:ascii="Times New Roman" w:hAnsi="Times New Roman" w:eastAsia="宋体" w:cs="Times New Roman"/>
                <w:color w:val="auto"/>
                <w:kern w:val="0"/>
                <w:highlight w:val="none"/>
              </w:rPr>
              <w:t>（2）无组织废气</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项目运营期大气污染物的有组织排放执行《大气污染物综合排放标准》（GB 16297-1996）。经现场核实，项目所设15</w:t>
            </w:r>
            <w:r>
              <w:rPr>
                <w:rFonts w:hint="eastAsia" w:cs="Times New Roman"/>
                <w:color w:val="auto"/>
                <w:highlight w:val="none"/>
                <w:lang w:val="en-US" w:eastAsia="zh-CN"/>
              </w:rPr>
              <w:t>m</w:t>
            </w:r>
            <w:r>
              <w:rPr>
                <w:rFonts w:hint="default" w:ascii="Times New Roman" w:hAnsi="Times New Roman" w:eastAsia="宋体" w:cs="Times New Roman"/>
                <w:color w:val="auto"/>
                <w:highlight w:val="none"/>
              </w:rPr>
              <w:t>高排气筒的高度符合该标准中“高出周围200米半径范围内最高建筑物5</w:t>
            </w:r>
            <w:r>
              <w:rPr>
                <w:rFonts w:hint="eastAsia" w:cs="Times New Roman"/>
                <w:color w:val="auto"/>
                <w:highlight w:val="none"/>
                <w:lang w:val="en-US" w:eastAsia="zh-CN"/>
              </w:rPr>
              <w:t>m</w:t>
            </w:r>
            <w:r>
              <w:rPr>
                <w:rFonts w:hint="default" w:ascii="Times New Roman" w:hAnsi="Times New Roman" w:eastAsia="宋体" w:cs="Times New Roman"/>
                <w:color w:val="auto"/>
                <w:highlight w:val="none"/>
              </w:rPr>
              <w:t>以上”的规定，其排放的污染物执行标准表2中二级标准对应的排放速率和浓度限值。对于生产过程中产生的无组织排放粉尘，其厂界监控点浓度须严格执行该标准表2规定的无组织排放监控浓度限值要求。</w:t>
            </w:r>
          </w:p>
          <w:p>
            <w:pPr>
              <w:pStyle w:val="546"/>
              <w:rPr>
                <w:rFonts w:hint="default" w:ascii="Times New Roman" w:hAnsi="Times New Roman" w:eastAsia="宋体" w:cs="Times New Roman"/>
                <w:b/>
                <w:bCs/>
                <w:color w:val="auto"/>
                <w:szCs w:val="28"/>
                <w:highlight w:val="none"/>
                <w:lang w:val="en-US" w:bidi="ar-SA"/>
              </w:rPr>
            </w:pPr>
            <w:r>
              <w:rPr>
                <w:rFonts w:hint="default" w:ascii="Times New Roman" w:hAnsi="Times New Roman" w:eastAsia="宋体" w:cs="Times New Roman"/>
                <w:b/>
                <w:bCs/>
                <w:color w:val="auto"/>
                <w:szCs w:val="28"/>
                <w:highlight w:val="none"/>
                <w:lang w:val="en-US" w:bidi="ar-SA"/>
              </w:rPr>
              <w:t>表3.3-2  废气排放标准</w:t>
            </w:r>
          </w:p>
          <w:tbl>
            <w:tblPr>
              <w:tblStyle w:val="49"/>
              <w:tblW w:w="850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11"/>
              <w:gridCol w:w="1532"/>
              <w:gridCol w:w="1504"/>
              <w:gridCol w:w="1504"/>
              <w:gridCol w:w="2049"/>
              <w:gridCol w:w="100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1" w:type="dxa"/>
                  <w:vMerge w:val="restart"/>
                  <w:tcBorders>
                    <w:top w:val="single" w:color="auto" w:sz="12" w:space="0"/>
                    <w:left w:val="nil"/>
                    <w:bottom w:val="single" w:color="auto" w:sz="4" w:space="0"/>
                    <w:right w:val="single" w:color="auto" w:sz="4" w:space="0"/>
                  </w:tcBorders>
                  <w:vAlign w:val="center"/>
                </w:tcPr>
                <w:p>
                  <w:pPr>
                    <w:pStyle w:val="113"/>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污染物</w:t>
                  </w:r>
                </w:p>
              </w:tc>
              <w:tc>
                <w:tcPr>
                  <w:tcW w:w="1532" w:type="dxa"/>
                  <w:vMerge w:val="restart"/>
                  <w:tcBorders>
                    <w:top w:val="single" w:color="auto" w:sz="12" w:space="0"/>
                    <w:left w:val="single" w:color="auto" w:sz="4" w:space="0"/>
                    <w:right w:val="single" w:color="auto" w:sz="4" w:space="0"/>
                  </w:tcBorders>
                  <w:vAlign w:val="center"/>
                </w:tcPr>
                <w:p>
                  <w:pPr>
                    <w:pStyle w:val="113"/>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有组织排放浓度mg/m</w:t>
                  </w:r>
                  <w:r>
                    <w:rPr>
                      <w:rFonts w:hint="default" w:ascii="Times New Roman" w:hAnsi="Times New Roman" w:eastAsia="宋体" w:cs="Times New Roman"/>
                      <w:color w:val="auto"/>
                      <w:highlight w:val="none"/>
                      <w:vertAlign w:val="superscript"/>
                    </w:rPr>
                    <w:t>3</w:t>
                  </w:r>
                </w:p>
              </w:tc>
              <w:tc>
                <w:tcPr>
                  <w:tcW w:w="1504" w:type="dxa"/>
                  <w:vMerge w:val="restart"/>
                  <w:tcBorders>
                    <w:top w:val="single" w:color="auto" w:sz="12" w:space="0"/>
                    <w:left w:val="single" w:color="auto" w:sz="4" w:space="0"/>
                    <w:right w:val="single" w:color="auto" w:sz="4" w:space="0"/>
                  </w:tcBorders>
                  <w:vAlign w:val="center"/>
                </w:tcPr>
                <w:p>
                  <w:pPr>
                    <w:pStyle w:val="113"/>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排气筒高度</w:t>
                  </w:r>
                </w:p>
              </w:tc>
              <w:tc>
                <w:tcPr>
                  <w:tcW w:w="1504" w:type="dxa"/>
                  <w:vMerge w:val="restart"/>
                  <w:tcBorders>
                    <w:top w:val="single" w:color="auto" w:sz="12" w:space="0"/>
                    <w:left w:val="single" w:color="auto" w:sz="4" w:space="0"/>
                    <w:right w:val="single" w:color="auto" w:sz="4" w:space="0"/>
                  </w:tcBorders>
                  <w:vAlign w:val="center"/>
                </w:tcPr>
                <w:p>
                  <w:pPr>
                    <w:pStyle w:val="113"/>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有组织排放速率kg/h</w:t>
                  </w:r>
                </w:p>
              </w:tc>
              <w:tc>
                <w:tcPr>
                  <w:tcW w:w="3055" w:type="dxa"/>
                  <w:gridSpan w:val="2"/>
                  <w:tcBorders>
                    <w:top w:val="single" w:color="auto" w:sz="12" w:space="0"/>
                    <w:left w:val="single" w:color="auto" w:sz="4" w:space="0"/>
                    <w:bottom w:val="single" w:color="auto" w:sz="4" w:space="0"/>
                    <w:right w:val="single" w:color="auto" w:sz="4" w:space="0"/>
                  </w:tcBorders>
                  <w:vAlign w:val="center"/>
                </w:tcPr>
                <w:p>
                  <w:pPr>
                    <w:pStyle w:val="113"/>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无组织排放浓度（mg/m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1" w:type="dxa"/>
                  <w:vMerge w:val="continue"/>
                  <w:tcBorders>
                    <w:top w:val="single" w:color="auto" w:sz="12" w:space="0"/>
                    <w:left w:val="nil"/>
                    <w:bottom w:val="single" w:color="auto" w:sz="4" w:space="0"/>
                    <w:right w:val="single" w:color="auto" w:sz="4" w:space="0"/>
                  </w:tcBorders>
                  <w:vAlign w:val="center"/>
                </w:tcPr>
                <w:p>
                  <w:pPr>
                    <w:pStyle w:val="113"/>
                    <w:bidi w:val="0"/>
                    <w:rPr>
                      <w:rFonts w:hint="default" w:ascii="Times New Roman" w:hAnsi="Times New Roman" w:eastAsia="宋体" w:cs="Times New Roman"/>
                      <w:color w:val="auto"/>
                      <w:highlight w:val="none"/>
                    </w:rPr>
                  </w:pPr>
                </w:p>
              </w:tc>
              <w:tc>
                <w:tcPr>
                  <w:tcW w:w="1532" w:type="dxa"/>
                  <w:vMerge w:val="continue"/>
                  <w:tcBorders>
                    <w:left w:val="single" w:color="auto" w:sz="4" w:space="0"/>
                    <w:bottom w:val="single" w:color="auto" w:sz="4" w:space="0"/>
                    <w:right w:val="single" w:color="auto" w:sz="4" w:space="0"/>
                  </w:tcBorders>
                  <w:vAlign w:val="center"/>
                </w:tcPr>
                <w:p>
                  <w:pPr>
                    <w:pStyle w:val="113"/>
                    <w:bidi w:val="0"/>
                    <w:rPr>
                      <w:rFonts w:hint="default" w:ascii="Times New Roman" w:hAnsi="Times New Roman" w:eastAsia="宋体" w:cs="Times New Roman"/>
                      <w:color w:val="auto"/>
                      <w:highlight w:val="none"/>
                    </w:rPr>
                  </w:pPr>
                </w:p>
              </w:tc>
              <w:tc>
                <w:tcPr>
                  <w:tcW w:w="1504" w:type="dxa"/>
                  <w:vMerge w:val="continue"/>
                  <w:tcBorders>
                    <w:left w:val="single" w:color="auto" w:sz="4" w:space="0"/>
                    <w:bottom w:val="single" w:color="auto" w:sz="4" w:space="0"/>
                    <w:right w:val="single" w:color="auto" w:sz="4" w:space="0"/>
                  </w:tcBorders>
                  <w:vAlign w:val="center"/>
                </w:tcPr>
                <w:p>
                  <w:pPr>
                    <w:pStyle w:val="113"/>
                    <w:bidi w:val="0"/>
                    <w:rPr>
                      <w:rFonts w:hint="default" w:ascii="Times New Roman" w:hAnsi="Times New Roman" w:eastAsia="宋体" w:cs="Times New Roman"/>
                      <w:color w:val="auto"/>
                      <w:highlight w:val="none"/>
                    </w:rPr>
                  </w:pPr>
                </w:p>
              </w:tc>
              <w:tc>
                <w:tcPr>
                  <w:tcW w:w="1504" w:type="dxa"/>
                  <w:vMerge w:val="continue"/>
                  <w:tcBorders>
                    <w:left w:val="single" w:color="auto" w:sz="4" w:space="0"/>
                    <w:bottom w:val="single" w:color="auto" w:sz="4" w:space="0"/>
                    <w:right w:val="single" w:color="auto" w:sz="4" w:space="0"/>
                  </w:tcBorders>
                  <w:vAlign w:val="center"/>
                </w:tcPr>
                <w:p>
                  <w:pPr>
                    <w:pStyle w:val="113"/>
                    <w:bidi w:val="0"/>
                    <w:rPr>
                      <w:rFonts w:hint="default" w:ascii="Times New Roman" w:hAnsi="Times New Roman" w:eastAsia="宋体" w:cs="Times New Roman"/>
                      <w:color w:val="auto"/>
                      <w:highlight w:val="none"/>
                    </w:rPr>
                  </w:pPr>
                </w:p>
              </w:tc>
              <w:tc>
                <w:tcPr>
                  <w:tcW w:w="2049" w:type="dxa"/>
                  <w:tcBorders>
                    <w:top w:val="single" w:color="auto" w:sz="4" w:space="0"/>
                    <w:left w:val="single" w:color="auto" w:sz="4" w:space="0"/>
                    <w:bottom w:val="single" w:color="auto" w:sz="4" w:space="0"/>
                    <w:right w:val="single" w:color="auto" w:sz="4" w:space="0"/>
                  </w:tcBorders>
                  <w:vAlign w:val="center"/>
                </w:tcPr>
                <w:p>
                  <w:pPr>
                    <w:pStyle w:val="113"/>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监控点位</w:t>
                  </w:r>
                </w:p>
              </w:tc>
              <w:tc>
                <w:tcPr>
                  <w:tcW w:w="1006" w:type="dxa"/>
                  <w:tcBorders>
                    <w:top w:val="single" w:color="auto" w:sz="4" w:space="0"/>
                    <w:left w:val="single" w:color="auto" w:sz="4" w:space="0"/>
                    <w:bottom w:val="single" w:color="auto" w:sz="4" w:space="0"/>
                    <w:right w:val="single" w:color="auto" w:sz="4" w:space="0"/>
                  </w:tcBorders>
                  <w:vAlign w:val="center"/>
                </w:tcPr>
                <w:p>
                  <w:pPr>
                    <w:pStyle w:val="113"/>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浓度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1" w:type="dxa"/>
                  <w:tcBorders>
                    <w:top w:val="single" w:color="auto" w:sz="4" w:space="0"/>
                    <w:left w:val="nil"/>
                    <w:bottom w:val="single" w:color="auto" w:sz="12" w:space="0"/>
                    <w:right w:val="single" w:color="auto" w:sz="4" w:space="0"/>
                  </w:tcBorders>
                  <w:vAlign w:val="center"/>
                </w:tcPr>
                <w:p>
                  <w:pPr>
                    <w:pStyle w:val="113"/>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颗粒物</w:t>
                  </w:r>
                </w:p>
              </w:tc>
              <w:tc>
                <w:tcPr>
                  <w:tcW w:w="1532" w:type="dxa"/>
                  <w:tcBorders>
                    <w:top w:val="single" w:color="auto" w:sz="4" w:space="0"/>
                    <w:left w:val="single" w:color="auto" w:sz="4" w:space="0"/>
                    <w:bottom w:val="single" w:color="auto" w:sz="12" w:space="0"/>
                    <w:right w:val="single" w:color="auto" w:sz="4" w:space="0"/>
                  </w:tcBorders>
                  <w:vAlign w:val="center"/>
                </w:tcPr>
                <w:p>
                  <w:pPr>
                    <w:pStyle w:val="113"/>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120</w:t>
                  </w:r>
                </w:p>
              </w:tc>
              <w:tc>
                <w:tcPr>
                  <w:tcW w:w="1504" w:type="dxa"/>
                  <w:tcBorders>
                    <w:top w:val="single" w:color="auto" w:sz="4" w:space="0"/>
                    <w:left w:val="single" w:color="auto" w:sz="4" w:space="0"/>
                    <w:bottom w:val="single" w:color="auto" w:sz="12" w:space="0"/>
                    <w:right w:val="single" w:color="auto" w:sz="4" w:space="0"/>
                  </w:tcBorders>
                  <w:vAlign w:val="center"/>
                </w:tcPr>
                <w:p>
                  <w:pPr>
                    <w:pStyle w:val="113"/>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15</w:t>
                  </w:r>
                </w:p>
              </w:tc>
              <w:tc>
                <w:tcPr>
                  <w:tcW w:w="1504" w:type="dxa"/>
                  <w:tcBorders>
                    <w:top w:val="single" w:color="auto" w:sz="4" w:space="0"/>
                    <w:left w:val="single" w:color="auto" w:sz="4" w:space="0"/>
                    <w:bottom w:val="single" w:color="auto" w:sz="12" w:space="0"/>
                    <w:right w:val="single" w:color="auto" w:sz="4" w:space="0"/>
                  </w:tcBorders>
                  <w:vAlign w:val="center"/>
                </w:tcPr>
                <w:p>
                  <w:pPr>
                    <w:pStyle w:val="113"/>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3.5</w:t>
                  </w:r>
                </w:p>
              </w:tc>
              <w:tc>
                <w:tcPr>
                  <w:tcW w:w="2049" w:type="dxa"/>
                  <w:tcBorders>
                    <w:top w:val="single" w:color="auto" w:sz="4" w:space="0"/>
                    <w:left w:val="single" w:color="auto" w:sz="4" w:space="0"/>
                    <w:bottom w:val="single" w:color="auto" w:sz="12" w:space="0"/>
                    <w:right w:val="single" w:color="auto" w:sz="4" w:space="0"/>
                  </w:tcBorders>
                  <w:vAlign w:val="center"/>
                </w:tcPr>
                <w:p>
                  <w:pPr>
                    <w:pStyle w:val="113"/>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周界外浓度最高点</w:t>
                  </w:r>
                </w:p>
              </w:tc>
              <w:tc>
                <w:tcPr>
                  <w:tcW w:w="1006" w:type="dxa"/>
                  <w:tcBorders>
                    <w:top w:val="single" w:color="auto" w:sz="4" w:space="0"/>
                    <w:left w:val="single" w:color="auto" w:sz="4" w:space="0"/>
                    <w:bottom w:val="single" w:color="auto" w:sz="12" w:space="0"/>
                    <w:right w:val="single" w:color="auto" w:sz="4" w:space="0"/>
                  </w:tcBorders>
                  <w:vAlign w:val="center"/>
                </w:tcPr>
                <w:p>
                  <w:pPr>
                    <w:pStyle w:val="113"/>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1.0</w:t>
                  </w:r>
                </w:p>
              </w:tc>
            </w:tr>
          </w:tbl>
          <w:p>
            <w:pPr>
              <w:pStyle w:val="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3.3.3噪声</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项目厂界</w:t>
            </w:r>
            <w:r>
              <w:rPr>
                <w:rFonts w:hint="default" w:ascii="Times New Roman" w:hAnsi="Times New Roman" w:eastAsia="宋体" w:cs="Times New Roman"/>
                <w:color w:val="auto"/>
                <w:highlight w:val="none"/>
              </w:rPr>
              <w:t>噪声排放执行《工业企业厂界环境噪声排放标准》（GB12348-2008）3类标准（昼间≤65dB；夜间≤55dB）。</w:t>
            </w:r>
          </w:p>
          <w:p>
            <w:pPr>
              <w:ind w:firstLine="480"/>
              <w:rPr>
                <w:rFonts w:hint="default" w:ascii="Times New Roman" w:hAnsi="Times New Roman" w:eastAsia="宋体" w:cs="Times New Roman"/>
                <w:color w:val="auto"/>
                <w:highlight w:val="none"/>
              </w:rPr>
            </w:pPr>
          </w:p>
          <w:p>
            <w:pPr>
              <w:pStyle w:val="546"/>
              <w:rPr>
                <w:rFonts w:hint="default" w:ascii="Times New Roman" w:hAnsi="Times New Roman" w:eastAsia="宋体" w:cs="Times New Roman"/>
                <w:b/>
                <w:bCs/>
                <w:color w:val="auto"/>
                <w:szCs w:val="28"/>
                <w:highlight w:val="none"/>
                <w:lang w:val="en-US" w:bidi="ar-SA"/>
              </w:rPr>
            </w:pPr>
            <w:r>
              <w:rPr>
                <w:rFonts w:hint="default" w:ascii="Times New Roman" w:hAnsi="Times New Roman" w:eastAsia="宋体" w:cs="Times New Roman"/>
                <w:b/>
                <w:bCs/>
                <w:color w:val="auto"/>
                <w:szCs w:val="28"/>
                <w:highlight w:val="none"/>
                <w:lang w:val="en-US" w:bidi="ar-SA"/>
              </w:rPr>
              <w:t>表3.3-3工业企业厂界环境噪声排放标准</w:t>
            </w:r>
          </w:p>
          <w:tbl>
            <w:tblPr>
              <w:tblStyle w:val="49"/>
              <w:tblW w:w="8432"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376"/>
              <w:gridCol w:w="3113"/>
              <w:gridCol w:w="294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7" w:hRule="exact"/>
                <w:jc w:val="center"/>
              </w:trPr>
              <w:tc>
                <w:tcPr>
                  <w:tcW w:w="2376" w:type="dxa"/>
                  <w:vAlign w:val="center"/>
                </w:tcPr>
                <w:p>
                  <w:pPr>
                    <w:pStyle w:val="544"/>
                    <w:rPr>
                      <w:rFonts w:hint="default" w:ascii="Times New Roman" w:hAnsi="Times New Roman" w:eastAsia="宋体" w:cs="Times New Roman"/>
                      <w:color w:val="auto"/>
                      <w:highlight w:val="none"/>
                      <w:lang w:val="en-US"/>
                    </w:rPr>
                  </w:pPr>
                  <w:r>
                    <w:rPr>
                      <w:rFonts w:hint="default" w:ascii="Times New Roman" w:hAnsi="Times New Roman" w:eastAsia="宋体" w:cs="Times New Roman"/>
                      <w:color w:val="auto"/>
                      <w:highlight w:val="none"/>
                      <w:lang w:val="en-US"/>
                    </w:rPr>
                    <w:t>类别</w:t>
                  </w:r>
                </w:p>
              </w:tc>
              <w:tc>
                <w:tcPr>
                  <w:tcW w:w="3113" w:type="dxa"/>
                  <w:vAlign w:val="center"/>
                </w:tcPr>
                <w:p>
                  <w:pPr>
                    <w:pStyle w:val="544"/>
                    <w:rPr>
                      <w:rFonts w:hint="default" w:ascii="Times New Roman" w:hAnsi="Times New Roman" w:eastAsia="宋体" w:cs="Times New Roman"/>
                      <w:color w:val="auto"/>
                      <w:highlight w:val="none"/>
                      <w:lang w:val="en-US"/>
                    </w:rPr>
                  </w:pPr>
                  <w:r>
                    <w:rPr>
                      <w:rFonts w:hint="default" w:ascii="Times New Roman" w:hAnsi="Times New Roman" w:eastAsia="宋体" w:cs="Times New Roman"/>
                      <w:color w:val="auto"/>
                      <w:highlight w:val="none"/>
                      <w:lang w:val="en-US"/>
                    </w:rPr>
                    <w:t>昼间（dB）</w:t>
                  </w:r>
                </w:p>
              </w:tc>
              <w:tc>
                <w:tcPr>
                  <w:tcW w:w="2943" w:type="dxa"/>
                  <w:vAlign w:val="center"/>
                </w:tcPr>
                <w:p>
                  <w:pPr>
                    <w:pStyle w:val="544"/>
                    <w:rPr>
                      <w:rFonts w:hint="default" w:ascii="Times New Roman" w:hAnsi="Times New Roman" w:eastAsia="宋体" w:cs="Times New Roman"/>
                      <w:color w:val="auto"/>
                      <w:highlight w:val="none"/>
                      <w:lang w:val="en-US"/>
                    </w:rPr>
                  </w:pPr>
                  <w:r>
                    <w:rPr>
                      <w:rFonts w:hint="default" w:ascii="Times New Roman" w:hAnsi="Times New Roman" w:eastAsia="宋体" w:cs="Times New Roman"/>
                      <w:color w:val="auto"/>
                      <w:highlight w:val="none"/>
                      <w:lang w:val="en-US"/>
                    </w:rPr>
                    <w:t>夜间（dB）</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7" w:hRule="exact"/>
                <w:jc w:val="center"/>
              </w:trPr>
              <w:tc>
                <w:tcPr>
                  <w:tcW w:w="2376" w:type="dxa"/>
                  <w:vAlign w:val="center"/>
                </w:tcPr>
                <w:p>
                  <w:pPr>
                    <w:pStyle w:val="544"/>
                    <w:rPr>
                      <w:rFonts w:hint="default" w:ascii="Times New Roman" w:hAnsi="Times New Roman" w:eastAsia="宋体" w:cs="Times New Roman"/>
                      <w:color w:val="auto"/>
                      <w:highlight w:val="none"/>
                      <w:lang w:val="en-US"/>
                    </w:rPr>
                  </w:pPr>
                  <w:r>
                    <w:rPr>
                      <w:rFonts w:hint="default" w:ascii="Times New Roman" w:hAnsi="Times New Roman" w:eastAsia="宋体" w:cs="Times New Roman"/>
                      <w:color w:val="auto"/>
                      <w:highlight w:val="none"/>
                      <w:lang w:val="en-US"/>
                    </w:rPr>
                    <w:t>3类</w:t>
                  </w:r>
                </w:p>
              </w:tc>
              <w:tc>
                <w:tcPr>
                  <w:tcW w:w="3113" w:type="dxa"/>
                  <w:vAlign w:val="center"/>
                </w:tcPr>
                <w:p>
                  <w:pPr>
                    <w:pStyle w:val="544"/>
                    <w:rPr>
                      <w:rFonts w:hint="default" w:ascii="Times New Roman" w:hAnsi="Times New Roman" w:eastAsia="宋体" w:cs="Times New Roman"/>
                      <w:color w:val="auto"/>
                      <w:highlight w:val="none"/>
                      <w:lang w:val="en-US"/>
                    </w:rPr>
                  </w:pPr>
                  <w:r>
                    <w:rPr>
                      <w:rFonts w:hint="default" w:ascii="Times New Roman" w:hAnsi="Times New Roman" w:eastAsia="宋体" w:cs="Times New Roman"/>
                      <w:color w:val="auto"/>
                      <w:highlight w:val="none"/>
                      <w:lang w:val="en-US"/>
                    </w:rPr>
                    <w:t>65</w:t>
                  </w:r>
                </w:p>
              </w:tc>
              <w:tc>
                <w:tcPr>
                  <w:tcW w:w="2943" w:type="dxa"/>
                  <w:vAlign w:val="center"/>
                </w:tcPr>
                <w:p>
                  <w:pPr>
                    <w:pStyle w:val="544"/>
                    <w:rPr>
                      <w:rFonts w:hint="default" w:ascii="Times New Roman" w:hAnsi="Times New Roman" w:eastAsia="宋体" w:cs="Times New Roman"/>
                      <w:color w:val="auto"/>
                      <w:highlight w:val="none"/>
                      <w:lang w:val="en-US"/>
                    </w:rPr>
                  </w:pPr>
                  <w:r>
                    <w:rPr>
                      <w:rFonts w:hint="default" w:ascii="Times New Roman" w:hAnsi="Times New Roman" w:eastAsia="宋体" w:cs="Times New Roman"/>
                      <w:color w:val="auto"/>
                      <w:highlight w:val="none"/>
                      <w:lang w:val="en-US"/>
                    </w:rPr>
                    <w:t>55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97" w:hRule="exact"/>
                <w:jc w:val="center"/>
              </w:trPr>
              <w:tc>
                <w:tcPr>
                  <w:tcW w:w="8432" w:type="dxa"/>
                  <w:gridSpan w:val="3"/>
                  <w:vAlign w:val="center"/>
                </w:tcPr>
                <w:p>
                  <w:pPr>
                    <w:pStyle w:val="544"/>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注：</w:t>
                  </w:r>
                  <w:r>
                    <w:rPr>
                      <w:rFonts w:hint="default" w:ascii="Times New Roman" w:hAnsi="Times New Roman" w:eastAsia="宋体" w:cs="Times New Roman"/>
                      <w:color w:val="auto"/>
                      <w:highlight w:val="none"/>
                      <w:lang w:val="en-US"/>
                    </w:rPr>
                    <w:t>夜间频发噪声的最大声级超过限值的幅度不得高于10dB(A)</w:t>
                  </w:r>
                  <w:r>
                    <w:rPr>
                      <w:rFonts w:hint="eastAsia" w:cs="Times New Roman"/>
                      <w:color w:val="auto"/>
                      <w:highlight w:val="none"/>
                      <w:lang w:val="en-US" w:eastAsia="zh-CN"/>
                    </w:rPr>
                    <w:t>；夜间偶发噪声的最大声级超过限值的幅度不得高于15dB(A)</w:t>
                  </w:r>
                </w:p>
              </w:tc>
            </w:tr>
          </w:tbl>
          <w:p>
            <w:pPr>
              <w:pStyle w:val="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3.3.4固体废物</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项目运营期间一般工业固体废物贮存执行《一般工业固体废物贮存和填埋污染控制标准》</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rPr>
              <w:t>GB18599-2020</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sz w:val="24"/>
                <w:szCs w:val="24"/>
                <w:highlight w:val="none"/>
                <w:lang w:val="en-US" w:eastAsia="zh-CN"/>
              </w:rPr>
              <w:t>危险废物厂区内临时贮存执行《危险废物贮存污染控制标准》</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GB18598-2023</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，危险废物转移管理执行《危险废物转移管理办法》（2022年1月1日起施行）</w:t>
            </w:r>
            <w:r>
              <w:rPr>
                <w:rFonts w:hint="default" w:ascii="Times New Roman" w:hAnsi="Times New Roman" w:eastAsia="宋体" w:cs="Times New Roman"/>
                <w:color w:val="auto"/>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6" w:type="dxa"/>
            <w:tcMar>
              <w:left w:w="28" w:type="dxa"/>
              <w:right w:w="28" w:type="dxa"/>
            </w:tcMar>
            <w:vAlign w:val="center"/>
          </w:tcPr>
          <w:p>
            <w:pPr>
              <w:pStyle w:val="11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总量</w:t>
            </w:r>
          </w:p>
          <w:p>
            <w:pPr>
              <w:pStyle w:val="11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控制</w:t>
            </w:r>
          </w:p>
          <w:p>
            <w:pPr>
              <w:pStyle w:val="11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指标</w:t>
            </w:r>
          </w:p>
        </w:tc>
        <w:tc>
          <w:tcPr>
            <w:tcW w:w="8752" w:type="dxa"/>
          </w:tcPr>
          <w:p>
            <w:pPr>
              <w:pStyle w:val="113"/>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根据国家“十四五”期间污染物总量控制要求及《福建省“十四五”生态环境保护专项规划》</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sz w:val="24"/>
                <w:szCs w:val="24"/>
                <w:highlight w:val="none"/>
              </w:rPr>
              <w:t>闽政办〔2021〕59号</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sz w:val="24"/>
                <w:szCs w:val="24"/>
                <w:highlight w:val="none"/>
              </w:rPr>
              <w:t>、《福建省人民政府关于推进排污权有偿使用和交易工作的意见(试行)》</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sz w:val="24"/>
                <w:szCs w:val="24"/>
                <w:highlight w:val="none"/>
              </w:rPr>
              <w:t>闽政〔2014〕24号</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sz w:val="24"/>
                <w:szCs w:val="24"/>
                <w:highlight w:val="none"/>
              </w:rPr>
              <w:t>、《福建省环保厅关于进一步加快推进排污权有偿使用和交易工作的意见》</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sz w:val="24"/>
                <w:szCs w:val="24"/>
                <w:highlight w:val="none"/>
              </w:rPr>
              <w:t>闽环发〔2015〕6号</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sz w:val="24"/>
                <w:szCs w:val="24"/>
                <w:highlight w:val="none"/>
              </w:rPr>
              <w:t>、《福建省环保厅关于环评审批中落实排污权交易工作要求的通知》</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sz w:val="24"/>
                <w:szCs w:val="24"/>
                <w:highlight w:val="none"/>
              </w:rPr>
              <w:t>闽环保评〔2014〕43号</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sz w:val="24"/>
                <w:szCs w:val="24"/>
                <w:highlight w:val="none"/>
              </w:rPr>
              <w:t>等有关文件要求，福建省主要污染物排放总量指标包括COD、NH</w:t>
            </w:r>
            <w:r>
              <w:rPr>
                <w:rFonts w:hint="default" w:ascii="Times New Roman" w:hAnsi="Times New Roman" w:eastAsia="宋体" w:cs="Times New Roman"/>
                <w:color w:val="auto"/>
                <w:sz w:val="24"/>
                <w:szCs w:val="24"/>
                <w:highlight w:val="none"/>
                <w:vertAlign w:val="subscript"/>
              </w:rPr>
              <w:t>3</w:t>
            </w:r>
            <w:r>
              <w:rPr>
                <w:rFonts w:hint="default" w:ascii="Times New Roman" w:hAnsi="Times New Roman" w:eastAsia="宋体" w:cs="Times New Roman"/>
                <w:color w:val="auto"/>
                <w:sz w:val="24"/>
                <w:szCs w:val="24"/>
                <w:highlight w:val="none"/>
              </w:rPr>
              <w:t>-N、SO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、NO</w:t>
            </w:r>
            <w:r>
              <w:rPr>
                <w:rFonts w:hint="default" w:ascii="Times New Roman" w:hAnsi="Times New Roman" w:eastAsia="宋体" w:cs="Times New Roman"/>
                <w:color w:val="auto"/>
                <w:sz w:val="24"/>
                <w:szCs w:val="24"/>
                <w:highlight w:val="none"/>
                <w:vertAlign w:val="subscript"/>
              </w:rPr>
              <w:t>x</w:t>
            </w:r>
            <w:r>
              <w:rPr>
                <w:rFonts w:hint="default" w:ascii="Times New Roman" w:hAnsi="Times New Roman" w:eastAsia="宋体" w:cs="Times New Roman"/>
                <w:color w:val="auto"/>
                <w:sz w:val="24"/>
                <w:szCs w:val="24"/>
                <w:highlight w:val="none"/>
                <w:vertAlign w:val="baseline"/>
              </w:rPr>
              <w:t>及VOCs</w:t>
            </w:r>
            <w:r>
              <w:rPr>
                <w:rFonts w:hint="default" w:ascii="Times New Roman" w:hAnsi="Times New Roman" w:eastAsia="宋体" w:cs="Times New Roman"/>
                <w:color w:val="auto"/>
                <w:sz w:val="24"/>
                <w:szCs w:val="24"/>
                <w:highlight w:val="none"/>
              </w:rPr>
              <w:t>。根据总量相关文件，现有工业排污单位的水污染物的初始排污权只核定工业废水部分，项目生活污水排放暂不需要购买相应的排污权指标，</w:t>
            </w:r>
          </w:p>
          <w:p>
            <w:pPr>
              <w:pStyle w:val="113"/>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本项目生产废水经沉淀处理后回用于生产，不外排，生活污水经化粪池处理后排入市政污水管网，纳入长乐处理厂进一步处理，无需申请总量。</w:t>
            </w:r>
          </w:p>
          <w:p>
            <w:pPr>
              <w:pStyle w:val="113"/>
              <w:spacing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项目不涉及二氧化硫以</w:t>
            </w:r>
            <w:r>
              <w:rPr>
                <w:rFonts w:hint="eastAsia"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氮氧化物</w:t>
            </w:r>
            <w:r>
              <w:rPr>
                <w:rFonts w:ascii="Times New Roman" w:hAnsi="Times New Roman" w:cs="Times New Roman"/>
                <w:color w:val="auto"/>
                <w:sz w:val="24"/>
                <w:szCs w:val="24"/>
                <w:highlight w:val="none"/>
              </w:rPr>
              <w:t>及VOCs（以非甲烷总烃计）</w:t>
            </w:r>
            <w:r>
              <w:rPr>
                <w:rFonts w:hint="default" w:ascii="Times New Roman" w:hAnsi="Times New Roman" w:eastAsia="宋体" w:cs="Times New Roman"/>
                <w:color w:val="auto"/>
                <w:sz w:val="24"/>
                <w:szCs w:val="24"/>
                <w:highlight w:val="none"/>
              </w:rPr>
              <w:t>的排放，故无需申请总量。</w:t>
            </w:r>
          </w:p>
          <w:p>
            <w:pPr>
              <w:pStyle w:val="113"/>
              <w:spacing w:line="360" w:lineRule="auto"/>
              <w:jc w:val="both"/>
              <w:rPr>
                <w:rFonts w:hint="default" w:ascii="Times New Roman" w:hAnsi="Times New Roman" w:eastAsia="宋体" w:cs="Times New Roman"/>
                <w:color w:val="auto"/>
                <w:sz w:val="24"/>
                <w:szCs w:val="24"/>
                <w:highlight w:val="none"/>
              </w:rPr>
            </w:pPr>
          </w:p>
          <w:p>
            <w:pPr>
              <w:pStyle w:val="113"/>
              <w:spacing w:line="360" w:lineRule="auto"/>
              <w:jc w:val="both"/>
              <w:rPr>
                <w:rFonts w:hint="default" w:ascii="Times New Roman" w:hAnsi="Times New Roman" w:eastAsia="宋体" w:cs="Times New Roman"/>
                <w:color w:val="auto"/>
                <w:sz w:val="24"/>
                <w:szCs w:val="24"/>
                <w:highlight w:val="none"/>
              </w:rPr>
            </w:pPr>
          </w:p>
        </w:tc>
      </w:tr>
    </w:tbl>
    <w:p>
      <w:pPr>
        <w:ind w:firstLine="480"/>
        <w:rPr>
          <w:color w:val="auto"/>
          <w:highlight w:val="none"/>
        </w:rPr>
      </w:pPr>
    </w:p>
    <w:p>
      <w:pPr>
        <w:ind w:firstLine="480"/>
        <w:rPr>
          <w:color w:val="auto"/>
          <w:highlight w:val="none"/>
        </w:rPr>
      </w:pPr>
    </w:p>
    <w:p>
      <w:pPr>
        <w:ind w:firstLine="480"/>
        <w:rPr>
          <w:color w:val="auto"/>
          <w:highlight w:val="none"/>
        </w:rPr>
      </w:pPr>
    </w:p>
    <w:p>
      <w:pPr>
        <w:ind w:firstLine="480"/>
        <w:rPr>
          <w:color w:val="auto"/>
          <w:highlight w:val="none"/>
        </w:rPr>
      </w:pPr>
    </w:p>
    <w:p>
      <w:pPr>
        <w:ind w:firstLine="480"/>
        <w:rPr>
          <w:color w:val="auto"/>
          <w:highlight w:val="none"/>
        </w:rPr>
      </w:pPr>
    </w:p>
    <w:p>
      <w:pPr>
        <w:ind w:firstLine="480"/>
        <w:rPr>
          <w:color w:val="auto"/>
          <w:highlight w:val="none"/>
        </w:rPr>
      </w:pPr>
    </w:p>
    <w:p>
      <w:pPr>
        <w:ind w:firstLine="480"/>
        <w:rPr>
          <w:color w:val="auto"/>
          <w:highlight w:val="none"/>
        </w:rPr>
      </w:pPr>
    </w:p>
    <w:p>
      <w:pPr>
        <w:ind w:firstLine="480"/>
        <w:rPr>
          <w:color w:val="auto"/>
          <w:highlight w:val="none"/>
        </w:rPr>
      </w:pPr>
    </w:p>
    <w:p>
      <w:pPr>
        <w:ind w:firstLine="480"/>
        <w:rPr>
          <w:color w:val="auto"/>
          <w:highlight w:val="none"/>
        </w:rPr>
      </w:pPr>
    </w:p>
    <w:p>
      <w:pPr>
        <w:ind w:firstLine="480"/>
        <w:rPr>
          <w:color w:val="auto"/>
          <w:highlight w:val="none"/>
        </w:rPr>
        <w:sectPr>
          <w:pgSz w:w="11907" w:h="16840"/>
          <w:pgMar w:top="1418" w:right="1418" w:bottom="1418" w:left="1418" w:header="851" w:footer="851" w:gutter="0"/>
          <w:pgBorders>
            <w:top w:val="none" w:sz="0" w:space="0"/>
            <w:left w:val="none" w:sz="0" w:space="0"/>
            <w:bottom w:val="none" w:sz="0" w:space="0"/>
            <w:right w:val="none" w:sz="0" w:space="0"/>
          </w:pgBorders>
          <w:cols w:space="720" w:num="1"/>
          <w:docGrid w:linePitch="312" w:charSpace="0"/>
        </w:sectPr>
      </w:pPr>
    </w:p>
    <w:p>
      <w:pPr>
        <w:pStyle w:val="2"/>
        <w:ind w:left="0"/>
        <w:rPr>
          <w:snapToGrid w:val="0"/>
          <w:color w:val="auto"/>
          <w:highlight w:val="none"/>
        </w:rPr>
      </w:pPr>
      <w:r>
        <w:rPr>
          <w:snapToGrid w:val="0"/>
          <w:color w:val="auto"/>
          <w:highlight w:val="none"/>
        </w:rPr>
        <w:t>主要环境影响和保护措施</w:t>
      </w:r>
    </w:p>
    <w:tbl>
      <w:tblPr>
        <w:tblStyle w:val="49"/>
        <w:tblW w:w="928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05"/>
        <w:gridCol w:w="878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0" w:hRule="atLeast"/>
          <w:jc w:val="center"/>
        </w:trPr>
        <w:tc>
          <w:tcPr>
            <w:tcW w:w="505" w:type="dxa"/>
            <w:tcMar>
              <w:left w:w="28" w:type="dxa"/>
              <w:right w:w="28" w:type="dxa"/>
            </w:tcMar>
            <w:vAlign w:val="center"/>
          </w:tcPr>
          <w:p>
            <w:pPr>
              <w:pStyle w:val="544"/>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lang w:val="en-US"/>
              </w:rPr>
              <w:t>施</w:t>
            </w:r>
          </w:p>
          <w:p>
            <w:pPr>
              <w:pStyle w:val="544"/>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lang w:val="en-US"/>
              </w:rPr>
              <w:t>工</w:t>
            </w:r>
          </w:p>
          <w:p>
            <w:pPr>
              <w:pStyle w:val="544"/>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lang w:val="en-US"/>
              </w:rPr>
              <w:t>期</w:t>
            </w:r>
          </w:p>
          <w:p>
            <w:pPr>
              <w:pStyle w:val="544"/>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lang w:val="en-US"/>
              </w:rPr>
              <w:t>环</w:t>
            </w:r>
          </w:p>
          <w:p>
            <w:pPr>
              <w:pStyle w:val="544"/>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lang w:val="en-US"/>
              </w:rPr>
              <w:t>保</w:t>
            </w:r>
          </w:p>
          <w:p>
            <w:pPr>
              <w:pStyle w:val="544"/>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lang w:val="en-US"/>
              </w:rPr>
              <w:t>措</w:t>
            </w:r>
          </w:p>
          <w:p>
            <w:pPr>
              <w:pStyle w:val="544"/>
              <w:rPr>
                <w:rFonts w:hint="default" w:ascii="Times New Roman" w:hAnsi="Times New Roman" w:eastAsia="宋体" w:cs="Times New Roman"/>
                <w:bCs/>
                <w:color w:val="auto"/>
                <w:highlight w:val="none"/>
                <w:lang w:val="en-US"/>
              </w:rPr>
            </w:pPr>
            <w:r>
              <w:rPr>
                <w:rFonts w:hint="default" w:ascii="Times New Roman" w:hAnsi="Times New Roman" w:eastAsia="宋体" w:cs="Times New Roman"/>
                <w:color w:val="auto"/>
                <w:sz w:val="24"/>
                <w:szCs w:val="24"/>
                <w:highlight w:val="none"/>
                <w:lang w:val="en-US"/>
              </w:rPr>
              <w:t>施</w:t>
            </w:r>
          </w:p>
        </w:tc>
        <w:tc>
          <w:tcPr>
            <w:tcW w:w="8781" w:type="dxa"/>
            <w:vAlign w:val="center"/>
          </w:tcPr>
          <w:p>
            <w:pPr>
              <w:pStyle w:val="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4.1施工期</w:t>
            </w:r>
          </w:p>
          <w:p>
            <w:pPr>
              <w:pStyle w:val="571"/>
              <w:spacing w:line="36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项目厂房已建成，施工期主要是安装生产设备，施工过程主要产生施工噪声、施工人员生活污水、生活垃圾及废设备零件、废包装等，施工结束后施工影响随即消除。</w:t>
            </w:r>
          </w:p>
          <w:p>
            <w:pPr>
              <w:pStyle w:val="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4.1.1水污染防治措施</w:t>
            </w:r>
          </w:p>
          <w:p>
            <w:pPr>
              <w:pStyle w:val="571"/>
              <w:spacing w:line="36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施工期间的生活污水主要来自施工人员的生活污水，施工期生活污水依托福建吴航不锈钢制品有限公司化粪池处理后排入市政污水管网。</w:t>
            </w:r>
          </w:p>
          <w:p>
            <w:pPr>
              <w:pStyle w:val="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4.1.2声环境保护措施</w:t>
            </w:r>
          </w:p>
          <w:p>
            <w:pPr>
              <w:pStyle w:val="571"/>
              <w:spacing w:line="36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项目厂房主体工程已建设完成，施工内容主要包括设备安装等。施工机械（载重车辆</w:t>
            </w:r>
            <w:r>
              <w:rPr>
                <w:rFonts w:hint="default" w:ascii="Times New Roman" w:hAnsi="Times New Roman" w:eastAsia="宋体" w:cs="Times New Roman"/>
                <w:color w:val="auto"/>
                <w:sz w:val="24"/>
                <w:highlight w:val="none"/>
                <w:lang w:eastAsia="zh-CN"/>
              </w:rPr>
              <w:t>、起重机、电弧焊机</w:t>
            </w:r>
            <w:r>
              <w:rPr>
                <w:rFonts w:hint="default" w:ascii="Times New Roman" w:hAnsi="Times New Roman" w:eastAsia="宋体" w:cs="Times New Roman"/>
                <w:color w:val="auto"/>
                <w:sz w:val="24"/>
                <w:highlight w:val="none"/>
              </w:rPr>
              <w:t>等），噪声值范围约75~95dB(A)，</w:t>
            </w:r>
          </w:p>
          <w:p>
            <w:pPr>
              <w:pStyle w:val="571"/>
              <w:spacing w:line="36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①合理安排高噪声施工作业的时间，夜间22点至次日6点严禁高噪声机械作业。</w:t>
            </w:r>
          </w:p>
          <w:p>
            <w:pPr>
              <w:pStyle w:val="571"/>
              <w:spacing w:line="36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②工地周围设立围挡，减少设备噪声对环境的影响。</w:t>
            </w:r>
          </w:p>
          <w:p>
            <w:pPr>
              <w:pStyle w:val="571"/>
              <w:spacing w:line="36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③加强施工区附近交通管理，避免交通堵塞而增加的车辆鸣笛，并适当降低车辆速度。</w:t>
            </w:r>
          </w:p>
          <w:p>
            <w:pPr>
              <w:pStyle w:val="571"/>
              <w:spacing w:line="36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项目采取上述相应措施后，厂界噪声能符合《建筑施工场界环境噪声排放标准》（GB12523-2011）的相关标准要求。施工结束后，施工噪声的影响也随之停止。</w:t>
            </w:r>
          </w:p>
          <w:p>
            <w:pPr>
              <w:pStyle w:val="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4.1.3固体废物保护措施</w:t>
            </w:r>
          </w:p>
          <w:p>
            <w:pPr>
              <w:pStyle w:val="571"/>
              <w:spacing w:line="36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施工期固体废物包括施工人员的生活垃圾和废包装、设备零件等。</w:t>
            </w:r>
            <w:r>
              <w:rPr>
                <w:rFonts w:hint="eastAsia" w:eastAsia="宋体" w:cs="Times New Roman"/>
                <w:color w:val="auto"/>
                <w:sz w:val="24"/>
                <w:highlight w:val="none"/>
                <w:lang w:val="en-US" w:eastAsia="zh-CN"/>
              </w:rPr>
              <w:t>于厂房内东北角设置一般固废暂存点，</w:t>
            </w:r>
            <w:r>
              <w:rPr>
                <w:rFonts w:hint="default" w:ascii="Times New Roman" w:hAnsi="Times New Roman" w:eastAsia="宋体" w:cs="Times New Roman"/>
                <w:color w:val="auto"/>
                <w:sz w:val="24"/>
                <w:highlight w:val="none"/>
              </w:rPr>
              <w:t>废包装外卖回收站，废设备零件等可转售或外卖回收，</w:t>
            </w:r>
          </w:p>
          <w:p>
            <w:pPr>
              <w:pStyle w:val="571"/>
              <w:spacing w:line="36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生活垃圾与建筑垃圾分开，设封闭式垃圾站，以免污染环境。将生活垃圾收集后，应及时由环卫部门分类进行消纳处理。</w:t>
            </w:r>
          </w:p>
          <w:p>
            <w:pPr>
              <w:pStyle w:val="571"/>
              <w:spacing w:line="360" w:lineRule="auto"/>
              <w:ind w:firstLine="0" w:firstLineChars="0"/>
              <w:rPr>
                <w:rFonts w:hint="default" w:ascii="Times New Roman" w:hAnsi="Times New Roman" w:eastAsia="宋体" w:cs="Times New Roman"/>
                <w:color w:val="auto"/>
                <w:sz w:val="24"/>
                <w:highlight w:val="none"/>
              </w:rPr>
            </w:pPr>
          </w:p>
          <w:p>
            <w:pPr>
              <w:pStyle w:val="571"/>
              <w:spacing w:line="360" w:lineRule="auto"/>
              <w:ind w:firstLine="0" w:firstLineChars="0"/>
              <w:rPr>
                <w:rFonts w:hint="default" w:ascii="Times New Roman" w:hAnsi="Times New Roman" w:eastAsia="宋体" w:cs="Times New Roman"/>
                <w:color w:val="auto"/>
                <w:sz w:val="24"/>
                <w:highlight w:val="none"/>
              </w:rPr>
            </w:pPr>
          </w:p>
          <w:p>
            <w:pPr>
              <w:pStyle w:val="571"/>
              <w:spacing w:line="360" w:lineRule="auto"/>
              <w:ind w:firstLine="0" w:firstLineChars="0"/>
              <w:rPr>
                <w:rFonts w:hint="default" w:ascii="Times New Roman" w:hAnsi="Times New Roman" w:eastAsia="宋体" w:cs="Times New Roman"/>
                <w:color w:val="auto"/>
                <w:sz w:val="24"/>
                <w:highlight w:val="none"/>
              </w:rPr>
            </w:pPr>
          </w:p>
          <w:p>
            <w:pPr>
              <w:pStyle w:val="571"/>
              <w:spacing w:line="360" w:lineRule="auto"/>
              <w:ind w:firstLine="0" w:firstLineChars="0"/>
              <w:rPr>
                <w:rFonts w:hint="default" w:ascii="Times New Roman" w:hAnsi="Times New Roman" w:eastAsia="宋体" w:cs="Times New Roman"/>
                <w:color w:val="auto"/>
                <w:sz w:val="24"/>
                <w:highlight w:val="none"/>
              </w:rPr>
            </w:pPr>
          </w:p>
          <w:p>
            <w:pPr>
              <w:pStyle w:val="571"/>
              <w:spacing w:line="360" w:lineRule="auto"/>
              <w:ind w:firstLine="0" w:firstLineChars="0"/>
              <w:rPr>
                <w:rFonts w:hint="default" w:ascii="Times New Roman" w:hAnsi="Times New Roman" w:eastAsia="宋体" w:cs="Times New Roman"/>
                <w:color w:val="auto"/>
                <w:sz w:val="24"/>
                <w:highlight w:val="none"/>
              </w:rPr>
            </w:pPr>
          </w:p>
          <w:p>
            <w:pPr>
              <w:pStyle w:val="571"/>
              <w:spacing w:line="360" w:lineRule="auto"/>
              <w:ind w:firstLine="0" w:firstLineChars="0"/>
              <w:rPr>
                <w:rFonts w:hint="default" w:ascii="Times New Roman" w:hAnsi="Times New Roman" w:eastAsia="宋体" w:cs="Times New Roman"/>
                <w:color w:val="auto"/>
                <w:sz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036" w:hRule="atLeast"/>
          <w:jc w:val="center"/>
        </w:trPr>
        <w:tc>
          <w:tcPr>
            <w:tcW w:w="505" w:type="dxa"/>
            <w:tcMar>
              <w:left w:w="28" w:type="dxa"/>
              <w:right w:w="28" w:type="dxa"/>
            </w:tcMar>
            <w:vAlign w:val="center"/>
          </w:tcPr>
          <w:p>
            <w:pPr>
              <w:adjustRightInd w:val="0"/>
              <w:snapToGrid w:val="0"/>
              <w:spacing w:line="240" w:lineRule="auto"/>
              <w:ind w:firstLine="0" w:firstLineChars="0"/>
              <w:jc w:val="center"/>
              <w:rPr>
                <w:rFonts w:hint="default" w:ascii="Times New Roman" w:hAnsi="Times New Roman" w:eastAsia="宋体" w:cs="Times New Roman"/>
                <w:bCs/>
                <w:color w:val="auto"/>
                <w:szCs w:val="24"/>
                <w:highlight w:val="none"/>
              </w:rPr>
            </w:pPr>
            <w:r>
              <w:rPr>
                <w:rFonts w:hint="default" w:ascii="Times New Roman" w:hAnsi="Times New Roman" w:eastAsia="宋体" w:cs="Times New Roman"/>
                <w:bCs/>
                <w:color w:val="auto"/>
                <w:szCs w:val="24"/>
                <w:highlight w:val="none"/>
              </w:rPr>
              <w:t>运营</w:t>
            </w:r>
          </w:p>
          <w:p>
            <w:pPr>
              <w:adjustRightInd w:val="0"/>
              <w:snapToGrid w:val="0"/>
              <w:spacing w:line="240" w:lineRule="auto"/>
              <w:ind w:firstLine="0" w:firstLineChars="0"/>
              <w:jc w:val="center"/>
              <w:rPr>
                <w:rFonts w:hint="default" w:ascii="Times New Roman" w:hAnsi="Times New Roman" w:eastAsia="宋体" w:cs="Times New Roman"/>
                <w:bCs/>
                <w:color w:val="auto"/>
                <w:szCs w:val="24"/>
                <w:highlight w:val="none"/>
              </w:rPr>
            </w:pPr>
            <w:r>
              <w:rPr>
                <w:rFonts w:hint="default" w:ascii="Times New Roman" w:hAnsi="Times New Roman" w:eastAsia="宋体" w:cs="Times New Roman"/>
                <w:bCs/>
                <w:color w:val="auto"/>
                <w:szCs w:val="24"/>
                <w:highlight w:val="none"/>
              </w:rPr>
              <w:t>期环</w:t>
            </w:r>
          </w:p>
          <w:p>
            <w:pPr>
              <w:adjustRightInd w:val="0"/>
              <w:snapToGrid w:val="0"/>
              <w:spacing w:line="240" w:lineRule="auto"/>
              <w:ind w:firstLine="0" w:firstLineChars="0"/>
              <w:jc w:val="center"/>
              <w:rPr>
                <w:rFonts w:hint="default" w:ascii="Times New Roman" w:hAnsi="Times New Roman" w:eastAsia="宋体" w:cs="Times New Roman"/>
                <w:bCs/>
                <w:color w:val="auto"/>
                <w:szCs w:val="24"/>
                <w:highlight w:val="none"/>
              </w:rPr>
            </w:pPr>
            <w:r>
              <w:rPr>
                <w:rFonts w:hint="default" w:ascii="Times New Roman" w:hAnsi="Times New Roman" w:eastAsia="宋体" w:cs="Times New Roman"/>
                <w:bCs/>
                <w:color w:val="auto"/>
                <w:szCs w:val="24"/>
                <w:highlight w:val="none"/>
              </w:rPr>
              <w:t>境影</w:t>
            </w:r>
          </w:p>
          <w:p>
            <w:pPr>
              <w:adjustRightInd w:val="0"/>
              <w:snapToGrid w:val="0"/>
              <w:spacing w:line="240" w:lineRule="auto"/>
              <w:ind w:firstLine="0" w:firstLineChars="0"/>
              <w:jc w:val="center"/>
              <w:rPr>
                <w:rFonts w:hint="default" w:ascii="Times New Roman" w:hAnsi="Times New Roman" w:eastAsia="宋体" w:cs="Times New Roman"/>
                <w:bCs/>
                <w:color w:val="auto"/>
                <w:szCs w:val="24"/>
                <w:highlight w:val="none"/>
              </w:rPr>
            </w:pPr>
            <w:r>
              <w:rPr>
                <w:rFonts w:hint="default" w:ascii="Times New Roman" w:hAnsi="Times New Roman" w:eastAsia="宋体" w:cs="Times New Roman"/>
                <w:bCs/>
                <w:color w:val="auto"/>
                <w:szCs w:val="24"/>
                <w:highlight w:val="none"/>
              </w:rPr>
              <w:t>响和</w:t>
            </w:r>
          </w:p>
          <w:p>
            <w:pPr>
              <w:adjustRightInd w:val="0"/>
              <w:snapToGrid w:val="0"/>
              <w:spacing w:line="240" w:lineRule="auto"/>
              <w:ind w:firstLine="0" w:firstLineChars="0"/>
              <w:jc w:val="center"/>
              <w:rPr>
                <w:rFonts w:hint="default" w:ascii="Times New Roman" w:hAnsi="Times New Roman" w:eastAsia="宋体" w:cs="Times New Roman"/>
                <w:bCs/>
                <w:color w:val="auto"/>
                <w:szCs w:val="24"/>
                <w:highlight w:val="none"/>
              </w:rPr>
            </w:pPr>
            <w:r>
              <w:rPr>
                <w:rFonts w:hint="default" w:ascii="Times New Roman" w:hAnsi="Times New Roman" w:eastAsia="宋体" w:cs="Times New Roman"/>
                <w:bCs/>
                <w:color w:val="auto"/>
                <w:szCs w:val="24"/>
                <w:highlight w:val="none"/>
              </w:rPr>
              <w:t>保护</w:t>
            </w:r>
          </w:p>
          <w:p>
            <w:pPr>
              <w:adjustRightInd w:val="0"/>
              <w:snapToGrid w:val="0"/>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Cs w:val="24"/>
                <w:highlight w:val="none"/>
              </w:rPr>
              <w:t>措施</w:t>
            </w:r>
          </w:p>
        </w:tc>
        <w:tc>
          <w:tcPr>
            <w:tcW w:w="8781" w:type="dxa"/>
            <w:vAlign w:val="center"/>
          </w:tcPr>
          <w:p>
            <w:pPr>
              <w:pStyle w:val="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4.2废气</w:t>
            </w:r>
          </w:p>
          <w:p>
            <w:pPr>
              <w:pStyle w:val="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4.2.1废气产排放情况</w:t>
            </w:r>
          </w:p>
          <w:p>
            <w:pPr>
              <w:ind w:firstLine="480"/>
              <w:rPr>
                <w:rFonts w:hint="default"/>
                <w:color w:val="auto"/>
                <w:highlight w:val="none"/>
              </w:rPr>
            </w:pPr>
            <w:r>
              <w:rPr>
                <w:rFonts w:hint="eastAsia"/>
                <w:color w:val="auto"/>
                <w:highlight w:val="none"/>
                <w:lang w:val="en-US" w:eastAsia="zh-CN"/>
              </w:rPr>
              <w:t>涉密删除！</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bCs/>
                <w:color w:val="auto"/>
                <w:sz w:val="24"/>
                <w:highlight w:val="none"/>
              </w:rPr>
              <w:t>表</w:t>
            </w:r>
            <w:r>
              <w:rPr>
                <w:rFonts w:hint="eastAsia" w:ascii="Times New Roman" w:hAnsi="Times New Roman" w:cs="Times New Roman"/>
                <w:b/>
                <w:bCs/>
                <w:color w:val="auto"/>
                <w:sz w:val="24"/>
                <w:highlight w:val="none"/>
                <w:lang w:val="en-US" w:eastAsia="zh-CN"/>
              </w:rPr>
              <w:t xml:space="preserve">4.2-4  </w:t>
            </w:r>
            <w:r>
              <w:rPr>
                <w:rFonts w:hint="default" w:ascii="Times New Roman" w:hAnsi="Times New Roman" w:eastAsia="宋体" w:cs="Times New Roman"/>
                <w:b/>
                <w:bCs/>
                <w:color w:val="auto"/>
                <w:sz w:val="24"/>
                <w:highlight w:val="none"/>
              </w:rPr>
              <w:t>本项目非正常工况下废气排放情况一览表</w:t>
            </w:r>
          </w:p>
          <w:tbl>
            <w:tblPr>
              <w:tblStyle w:val="49"/>
              <w:tblW w:w="5000" w:type="pct"/>
              <w:tblInd w:w="17" w:type="dxa"/>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4"/>
              <w:gridCol w:w="844"/>
              <w:gridCol w:w="673"/>
              <w:gridCol w:w="937"/>
              <w:gridCol w:w="673"/>
              <w:gridCol w:w="734"/>
              <w:gridCol w:w="483"/>
              <w:gridCol w:w="600"/>
              <w:gridCol w:w="382"/>
              <w:gridCol w:w="501"/>
              <w:gridCol w:w="486"/>
              <w:gridCol w:w="543"/>
              <w:gridCol w:w="349"/>
              <w:gridCol w:w="304"/>
              <w:gridCol w:w="304"/>
              <w:gridCol w:w="308"/>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9" w:type="pct"/>
                  <w:vMerge w:val="restart"/>
                  <w:tcBorders>
                    <w:tl2br w:val="nil"/>
                    <w:tr2bl w:val="nil"/>
                  </w:tcBorders>
                  <w:noWrap/>
                  <w:tcMar>
                    <w:top w:w="0" w:type="dxa"/>
                    <w:left w:w="57" w:type="dxa"/>
                    <w:bottom w:w="0" w:type="dxa"/>
                    <w:right w:w="57" w:type="dxa"/>
                  </w:tcMar>
                  <w:vAlign w:val="center"/>
                </w:tcPr>
                <w:p>
                  <w:pPr>
                    <w:pStyle w:val="465"/>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rPr>
                  </w:pPr>
                </w:p>
              </w:tc>
              <w:tc>
                <w:tcPr>
                  <w:tcW w:w="492" w:type="pct"/>
                  <w:vMerge w:val="restart"/>
                  <w:tcBorders>
                    <w:tl2br w:val="nil"/>
                    <w:tr2bl w:val="nil"/>
                  </w:tcBorders>
                  <w:noWrap/>
                  <w:tcMar>
                    <w:top w:w="0" w:type="dxa"/>
                    <w:left w:w="57" w:type="dxa"/>
                    <w:bottom w:w="0" w:type="dxa"/>
                    <w:right w:w="57" w:type="dxa"/>
                  </w:tcMar>
                  <w:vAlign w:val="center"/>
                </w:tcPr>
                <w:p>
                  <w:pPr>
                    <w:pStyle w:val="465"/>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rPr>
                  </w:pPr>
                </w:p>
              </w:tc>
              <w:tc>
                <w:tcPr>
                  <w:tcW w:w="392" w:type="pct"/>
                  <w:vMerge w:val="restart"/>
                  <w:tcBorders>
                    <w:tl2br w:val="nil"/>
                    <w:tr2bl w:val="nil"/>
                  </w:tcBorders>
                  <w:noWrap/>
                  <w:tcMar>
                    <w:top w:w="0" w:type="dxa"/>
                    <w:left w:w="57" w:type="dxa"/>
                    <w:bottom w:w="0" w:type="dxa"/>
                    <w:right w:w="57" w:type="dxa"/>
                  </w:tcMar>
                  <w:vAlign w:val="center"/>
                </w:tcPr>
                <w:p>
                  <w:pPr>
                    <w:pStyle w:val="465"/>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rPr>
                  </w:pPr>
                </w:p>
              </w:tc>
              <w:tc>
                <w:tcPr>
                  <w:tcW w:w="546" w:type="pct"/>
                  <w:vMerge w:val="restart"/>
                  <w:tcBorders>
                    <w:tl2br w:val="nil"/>
                    <w:tr2bl w:val="nil"/>
                  </w:tcBorders>
                  <w:noWrap/>
                  <w:tcMar>
                    <w:top w:w="0" w:type="dxa"/>
                    <w:left w:w="57" w:type="dxa"/>
                    <w:bottom w:w="0" w:type="dxa"/>
                    <w:right w:w="57" w:type="dxa"/>
                  </w:tcMar>
                  <w:vAlign w:val="center"/>
                </w:tcPr>
                <w:p>
                  <w:pPr>
                    <w:pStyle w:val="465"/>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rPr>
                  </w:pPr>
                </w:p>
              </w:tc>
              <w:tc>
                <w:tcPr>
                  <w:tcW w:w="392" w:type="pct"/>
                  <w:vMerge w:val="restart"/>
                  <w:tcBorders>
                    <w:tl2br w:val="nil"/>
                    <w:tr2bl w:val="nil"/>
                  </w:tcBorders>
                  <w:noWrap/>
                  <w:tcMar>
                    <w:top w:w="0" w:type="dxa"/>
                    <w:left w:w="57" w:type="dxa"/>
                    <w:bottom w:w="0" w:type="dxa"/>
                    <w:right w:w="57" w:type="dxa"/>
                  </w:tcMar>
                  <w:vAlign w:val="center"/>
                </w:tcPr>
                <w:p>
                  <w:pPr>
                    <w:pStyle w:val="465"/>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rPr>
                  </w:pPr>
                </w:p>
              </w:tc>
              <w:tc>
                <w:tcPr>
                  <w:tcW w:w="710" w:type="pct"/>
                  <w:gridSpan w:val="2"/>
                  <w:tcBorders>
                    <w:tl2br w:val="nil"/>
                    <w:tr2bl w:val="nil"/>
                  </w:tcBorders>
                  <w:noWrap/>
                  <w:tcMar>
                    <w:top w:w="0" w:type="dxa"/>
                    <w:left w:w="57" w:type="dxa"/>
                    <w:bottom w:w="0" w:type="dxa"/>
                    <w:right w:w="57" w:type="dxa"/>
                  </w:tcMar>
                  <w:vAlign w:val="center"/>
                </w:tcPr>
                <w:p>
                  <w:pPr>
                    <w:pStyle w:val="465"/>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rPr>
                  </w:pPr>
                </w:p>
              </w:tc>
              <w:tc>
                <w:tcPr>
                  <w:tcW w:w="350" w:type="pct"/>
                  <w:vMerge w:val="restart"/>
                  <w:tcBorders>
                    <w:tl2br w:val="nil"/>
                    <w:tr2bl w:val="nil"/>
                  </w:tcBorders>
                  <w:noWrap/>
                  <w:tcMar>
                    <w:top w:w="0" w:type="dxa"/>
                    <w:left w:w="57" w:type="dxa"/>
                    <w:bottom w:w="0" w:type="dxa"/>
                    <w:right w:w="57" w:type="dxa"/>
                  </w:tcMar>
                  <w:vAlign w:val="center"/>
                </w:tcPr>
                <w:p>
                  <w:pPr>
                    <w:pStyle w:val="465"/>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rPr>
                  </w:pPr>
                </w:p>
              </w:tc>
              <w:tc>
                <w:tcPr>
                  <w:tcW w:w="223" w:type="pct"/>
                  <w:vMerge w:val="restart"/>
                  <w:tcBorders>
                    <w:tl2br w:val="nil"/>
                    <w:tr2bl w:val="nil"/>
                  </w:tcBorders>
                  <w:noWrap/>
                  <w:tcMar>
                    <w:top w:w="0" w:type="dxa"/>
                    <w:left w:w="57" w:type="dxa"/>
                    <w:bottom w:w="0" w:type="dxa"/>
                    <w:right w:w="57" w:type="dxa"/>
                  </w:tcMar>
                  <w:vAlign w:val="center"/>
                </w:tcPr>
                <w:p>
                  <w:pPr>
                    <w:pStyle w:val="465"/>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lang w:val="en-US" w:eastAsia="zh-CN"/>
                    </w:rPr>
                  </w:pPr>
                </w:p>
              </w:tc>
              <w:tc>
                <w:tcPr>
                  <w:tcW w:w="893" w:type="pct"/>
                  <w:gridSpan w:val="3"/>
                  <w:tcBorders>
                    <w:tl2br w:val="nil"/>
                    <w:tr2bl w:val="nil"/>
                  </w:tcBorders>
                  <w:noWrap/>
                  <w:tcMar>
                    <w:top w:w="0" w:type="dxa"/>
                    <w:left w:w="57" w:type="dxa"/>
                    <w:bottom w:w="0" w:type="dxa"/>
                    <w:right w:w="57" w:type="dxa"/>
                  </w:tcMar>
                  <w:vAlign w:val="center"/>
                </w:tcPr>
                <w:p>
                  <w:pPr>
                    <w:pStyle w:val="465"/>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rPr>
                  </w:pPr>
                </w:p>
              </w:tc>
              <w:tc>
                <w:tcPr>
                  <w:tcW w:w="203" w:type="pct"/>
                  <w:vMerge w:val="restart"/>
                  <w:tcBorders>
                    <w:tl2br w:val="nil"/>
                    <w:tr2bl w:val="nil"/>
                  </w:tcBorders>
                  <w:noWrap/>
                  <w:tcMar>
                    <w:top w:w="0" w:type="dxa"/>
                    <w:left w:w="57" w:type="dxa"/>
                    <w:bottom w:w="0" w:type="dxa"/>
                    <w:right w:w="57" w:type="dxa"/>
                  </w:tcMar>
                  <w:vAlign w:val="center"/>
                </w:tcPr>
                <w:p>
                  <w:pPr>
                    <w:pStyle w:val="465"/>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rPr>
                  </w:pPr>
                </w:p>
              </w:tc>
              <w:tc>
                <w:tcPr>
                  <w:tcW w:w="534" w:type="pct"/>
                  <w:gridSpan w:val="3"/>
                  <w:tcBorders>
                    <w:tl2br w:val="nil"/>
                    <w:tr2bl w:val="nil"/>
                  </w:tcBorders>
                  <w:noWrap/>
                  <w:tcMar>
                    <w:top w:w="0" w:type="dxa"/>
                    <w:left w:w="57" w:type="dxa"/>
                    <w:bottom w:w="0" w:type="dxa"/>
                    <w:right w:w="57" w:type="dxa"/>
                  </w:tcMar>
                  <w:vAlign w:val="center"/>
                </w:tcPr>
                <w:p>
                  <w:pPr>
                    <w:pStyle w:val="465"/>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9" w:type="pct"/>
                  <w:vMerge w:val="continue"/>
                  <w:tcBorders>
                    <w:tl2br w:val="nil"/>
                    <w:tr2bl w:val="nil"/>
                  </w:tcBorders>
                  <w:noWrap w:val="0"/>
                  <w:tcMar>
                    <w:top w:w="0" w:type="dxa"/>
                    <w:left w:w="57" w:type="dxa"/>
                    <w:bottom w:w="0" w:type="dxa"/>
                    <w:right w:w="57" w:type="dxa"/>
                  </w:tcMar>
                  <w:vAlign w:val="center"/>
                </w:tcPr>
                <w:p>
                  <w:pPr>
                    <w:pStyle w:val="465"/>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rPr>
                  </w:pPr>
                </w:p>
              </w:tc>
              <w:tc>
                <w:tcPr>
                  <w:tcW w:w="492" w:type="pct"/>
                  <w:vMerge w:val="continue"/>
                  <w:tcBorders>
                    <w:tl2br w:val="nil"/>
                    <w:tr2bl w:val="nil"/>
                  </w:tcBorders>
                  <w:noWrap w:val="0"/>
                  <w:tcMar>
                    <w:top w:w="0" w:type="dxa"/>
                    <w:left w:w="57" w:type="dxa"/>
                    <w:bottom w:w="0" w:type="dxa"/>
                    <w:right w:w="57" w:type="dxa"/>
                  </w:tcMar>
                  <w:vAlign w:val="center"/>
                </w:tcPr>
                <w:p>
                  <w:pPr>
                    <w:pStyle w:val="465"/>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rPr>
                  </w:pPr>
                </w:p>
              </w:tc>
              <w:tc>
                <w:tcPr>
                  <w:tcW w:w="392" w:type="pct"/>
                  <w:vMerge w:val="continue"/>
                  <w:tcBorders>
                    <w:tl2br w:val="nil"/>
                    <w:tr2bl w:val="nil"/>
                  </w:tcBorders>
                  <w:noWrap w:val="0"/>
                  <w:tcMar>
                    <w:top w:w="0" w:type="dxa"/>
                    <w:left w:w="57" w:type="dxa"/>
                    <w:bottom w:w="0" w:type="dxa"/>
                    <w:right w:w="57" w:type="dxa"/>
                  </w:tcMar>
                  <w:vAlign w:val="center"/>
                </w:tcPr>
                <w:p>
                  <w:pPr>
                    <w:pStyle w:val="465"/>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rPr>
                  </w:pPr>
                </w:p>
              </w:tc>
              <w:tc>
                <w:tcPr>
                  <w:tcW w:w="546" w:type="pct"/>
                  <w:vMerge w:val="continue"/>
                  <w:tcBorders>
                    <w:tl2br w:val="nil"/>
                    <w:tr2bl w:val="nil"/>
                  </w:tcBorders>
                  <w:noWrap w:val="0"/>
                  <w:tcMar>
                    <w:top w:w="0" w:type="dxa"/>
                    <w:left w:w="57" w:type="dxa"/>
                    <w:bottom w:w="0" w:type="dxa"/>
                    <w:right w:w="57" w:type="dxa"/>
                  </w:tcMar>
                  <w:vAlign w:val="center"/>
                </w:tcPr>
                <w:p>
                  <w:pPr>
                    <w:pStyle w:val="465"/>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rPr>
                  </w:pPr>
                </w:p>
              </w:tc>
              <w:tc>
                <w:tcPr>
                  <w:tcW w:w="392" w:type="pct"/>
                  <w:vMerge w:val="continue"/>
                  <w:tcBorders>
                    <w:tl2br w:val="nil"/>
                    <w:tr2bl w:val="nil"/>
                  </w:tcBorders>
                  <w:noWrap/>
                  <w:tcMar>
                    <w:top w:w="0" w:type="dxa"/>
                    <w:left w:w="57" w:type="dxa"/>
                    <w:bottom w:w="0" w:type="dxa"/>
                    <w:right w:w="57" w:type="dxa"/>
                  </w:tcMar>
                  <w:vAlign w:val="center"/>
                </w:tcPr>
                <w:p>
                  <w:pPr>
                    <w:pStyle w:val="465"/>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rPr>
                  </w:pPr>
                </w:p>
              </w:tc>
              <w:tc>
                <w:tcPr>
                  <w:tcW w:w="428" w:type="pct"/>
                  <w:tcBorders>
                    <w:tl2br w:val="nil"/>
                    <w:tr2bl w:val="nil"/>
                  </w:tcBorders>
                  <w:noWrap/>
                  <w:tcMar>
                    <w:top w:w="0" w:type="dxa"/>
                    <w:left w:w="57" w:type="dxa"/>
                    <w:bottom w:w="0" w:type="dxa"/>
                    <w:right w:w="57" w:type="dxa"/>
                  </w:tcMar>
                  <w:vAlign w:val="center"/>
                </w:tcPr>
                <w:p>
                  <w:pPr>
                    <w:pStyle w:val="465"/>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rPr>
                  </w:pPr>
                </w:p>
              </w:tc>
              <w:tc>
                <w:tcPr>
                  <w:tcW w:w="281" w:type="pct"/>
                  <w:tcBorders>
                    <w:tl2br w:val="nil"/>
                    <w:tr2bl w:val="nil"/>
                  </w:tcBorders>
                  <w:noWrap/>
                  <w:tcMar>
                    <w:top w:w="0" w:type="dxa"/>
                    <w:left w:w="57" w:type="dxa"/>
                    <w:bottom w:w="0" w:type="dxa"/>
                    <w:right w:w="57" w:type="dxa"/>
                  </w:tcMar>
                  <w:vAlign w:val="center"/>
                </w:tcPr>
                <w:p>
                  <w:pPr>
                    <w:pStyle w:val="465"/>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rPr>
                  </w:pPr>
                </w:p>
              </w:tc>
              <w:tc>
                <w:tcPr>
                  <w:tcW w:w="350" w:type="pct"/>
                  <w:vMerge w:val="continue"/>
                  <w:tcBorders>
                    <w:tl2br w:val="nil"/>
                    <w:tr2bl w:val="nil"/>
                  </w:tcBorders>
                  <w:noWrap w:val="0"/>
                  <w:tcMar>
                    <w:top w:w="0" w:type="dxa"/>
                    <w:left w:w="57" w:type="dxa"/>
                    <w:bottom w:w="0" w:type="dxa"/>
                    <w:right w:w="57" w:type="dxa"/>
                  </w:tcMar>
                  <w:vAlign w:val="center"/>
                </w:tcPr>
                <w:p>
                  <w:pPr>
                    <w:pStyle w:val="465"/>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rPr>
                  </w:pPr>
                </w:p>
              </w:tc>
              <w:tc>
                <w:tcPr>
                  <w:tcW w:w="223" w:type="pct"/>
                  <w:vMerge w:val="continue"/>
                  <w:tcBorders>
                    <w:tl2br w:val="nil"/>
                    <w:tr2bl w:val="nil"/>
                  </w:tcBorders>
                  <w:noWrap w:val="0"/>
                  <w:tcMar>
                    <w:top w:w="0" w:type="dxa"/>
                    <w:left w:w="57" w:type="dxa"/>
                    <w:bottom w:w="0" w:type="dxa"/>
                    <w:right w:w="57" w:type="dxa"/>
                  </w:tcMar>
                  <w:vAlign w:val="center"/>
                </w:tcPr>
                <w:p>
                  <w:pPr>
                    <w:pStyle w:val="465"/>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rPr>
                  </w:pPr>
                </w:p>
              </w:tc>
              <w:tc>
                <w:tcPr>
                  <w:tcW w:w="292" w:type="pct"/>
                  <w:tcBorders>
                    <w:tl2br w:val="nil"/>
                    <w:tr2bl w:val="nil"/>
                  </w:tcBorders>
                  <w:noWrap/>
                  <w:tcMar>
                    <w:top w:w="0" w:type="dxa"/>
                    <w:left w:w="57" w:type="dxa"/>
                    <w:bottom w:w="0" w:type="dxa"/>
                    <w:right w:w="57" w:type="dxa"/>
                  </w:tcMar>
                  <w:vAlign w:val="center"/>
                </w:tcPr>
                <w:p>
                  <w:pPr>
                    <w:pStyle w:val="465"/>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rPr>
                  </w:pPr>
                </w:p>
              </w:tc>
              <w:tc>
                <w:tcPr>
                  <w:tcW w:w="283" w:type="pct"/>
                  <w:tcBorders>
                    <w:tl2br w:val="nil"/>
                    <w:tr2bl w:val="nil"/>
                  </w:tcBorders>
                  <w:noWrap/>
                  <w:tcMar>
                    <w:top w:w="0" w:type="dxa"/>
                    <w:left w:w="57" w:type="dxa"/>
                    <w:bottom w:w="0" w:type="dxa"/>
                    <w:right w:w="57" w:type="dxa"/>
                  </w:tcMar>
                  <w:vAlign w:val="center"/>
                </w:tcPr>
                <w:p>
                  <w:pPr>
                    <w:pStyle w:val="465"/>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rPr>
                  </w:pPr>
                </w:p>
              </w:tc>
              <w:tc>
                <w:tcPr>
                  <w:tcW w:w="316" w:type="pct"/>
                  <w:tcBorders>
                    <w:tl2br w:val="nil"/>
                    <w:tr2bl w:val="nil"/>
                  </w:tcBorders>
                  <w:noWrap/>
                  <w:tcMar>
                    <w:top w:w="0" w:type="dxa"/>
                    <w:left w:w="57" w:type="dxa"/>
                    <w:bottom w:w="0" w:type="dxa"/>
                    <w:right w:w="57" w:type="dxa"/>
                  </w:tcMar>
                  <w:vAlign w:val="center"/>
                </w:tcPr>
                <w:p>
                  <w:pPr>
                    <w:pStyle w:val="465"/>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rPr>
                  </w:pPr>
                </w:p>
              </w:tc>
              <w:tc>
                <w:tcPr>
                  <w:tcW w:w="203" w:type="pct"/>
                  <w:vMerge w:val="continue"/>
                  <w:tcBorders>
                    <w:tl2br w:val="nil"/>
                    <w:tr2bl w:val="nil"/>
                  </w:tcBorders>
                  <w:noWrap w:val="0"/>
                  <w:tcMar>
                    <w:top w:w="0" w:type="dxa"/>
                    <w:left w:w="57" w:type="dxa"/>
                    <w:bottom w:w="0" w:type="dxa"/>
                    <w:right w:w="57" w:type="dxa"/>
                  </w:tcMar>
                  <w:vAlign w:val="center"/>
                </w:tcPr>
                <w:p>
                  <w:pPr>
                    <w:pStyle w:val="465"/>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rPr>
                  </w:pPr>
                </w:p>
              </w:tc>
              <w:tc>
                <w:tcPr>
                  <w:tcW w:w="177" w:type="pct"/>
                  <w:tcBorders>
                    <w:tl2br w:val="nil"/>
                    <w:tr2bl w:val="nil"/>
                  </w:tcBorders>
                  <w:noWrap/>
                  <w:tcMar>
                    <w:top w:w="0" w:type="dxa"/>
                    <w:left w:w="57" w:type="dxa"/>
                    <w:bottom w:w="0" w:type="dxa"/>
                    <w:right w:w="57" w:type="dxa"/>
                  </w:tcMar>
                  <w:vAlign w:val="center"/>
                </w:tcPr>
                <w:p>
                  <w:pPr>
                    <w:pStyle w:val="465"/>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rPr>
                  </w:pPr>
                </w:p>
              </w:tc>
              <w:tc>
                <w:tcPr>
                  <w:tcW w:w="177" w:type="pct"/>
                  <w:tcBorders>
                    <w:tl2br w:val="nil"/>
                    <w:tr2bl w:val="nil"/>
                  </w:tcBorders>
                  <w:noWrap/>
                  <w:tcMar>
                    <w:top w:w="0" w:type="dxa"/>
                    <w:left w:w="57" w:type="dxa"/>
                    <w:bottom w:w="0" w:type="dxa"/>
                    <w:right w:w="57" w:type="dxa"/>
                  </w:tcMar>
                  <w:vAlign w:val="center"/>
                </w:tcPr>
                <w:p>
                  <w:pPr>
                    <w:pStyle w:val="465"/>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rPr>
                  </w:pPr>
                </w:p>
              </w:tc>
              <w:tc>
                <w:tcPr>
                  <w:tcW w:w="179" w:type="pct"/>
                  <w:tcBorders>
                    <w:tl2br w:val="nil"/>
                    <w:tr2bl w:val="nil"/>
                  </w:tcBorders>
                  <w:noWrap/>
                  <w:tcMar>
                    <w:top w:w="0" w:type="dxa"/>
                    <w:left w:w="57" w:type="dxa"/>
                    <w:bottom w:w="0" w:type="dxa"/>
                    <w:right w:w="57" w:type="dxa"/>
                  </w:tcMar>
                  <w:vAlign w:val="center"/>
                </w:tcPr>
                <w:p>
                  <w:pPr>
                    <w:pStyle w:val="465"/>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9" w:type="pct"/>
                  <w:vMerge w:val="continue"/>
                  <w:tcBorders>
                    <w:tl2br w:val="nil"/>
                    <w:tr2bl w:val="nil"/>
                  </w:tcBorders>
                  <w:noWrap w:val="0"/>
                  <w:tcMar>
                    <w:top w:w="0" w:type="dxa"/>
                    <w:left w:w="57" w:type="dxa"/>
                    <w:bottom w:w="0" w:type="dxa"/>
                    <w:right w:w="57" w:type="dxa"/>
                  </w:tcMar>
                  <w:vAlign w:val="center"/>
                </w:tcPr>
                <w:p>
                  <w:pPr>
                    <w:pStyle w:val="465"/>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rPr>
                  </w:pPr>
                </w:p>
              </w:tc>
              <w:tc>
                <w:tcPr>
                  <w:tcW w:w="492" w:type="pct"/>
                  <w:vMerge w:val="continue"/>
                  <w:tcBorders>
                    <w:tl2br w:val="nil"/>
                    <w:tr2bl w:val="nil"/>
                  </w:tcBorders>
                  <w:noWrap w:val="0"/>
                  <w:tcMar>
                    <w:top w:w="0" w:type="dxa"/>
                    <w:left w:w="57" w:type="dxa"/>
                    <w:bottom w:w="0" w:type="dxa"/>
                    <w:right w:w="57" w:type="dxa"/>
                  </w:tcMar>
                  <w:vAlign w:val="center"/>
                </w:tcPr>
                <w:p>
                  <w:pPr>
                    <w:pStyle w:val="465"/>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rPr>
                  </w:pPr>
                </w:p>
              </w:tc>
              <w:tc>
                <w:tcPr>
                  <w:tcW w:w="392" w:type="pct"/>
                  <w:vMerge w:val="continue"/>
                  <w:tcBorders>
                    <w:tl2br w:val="nil"/>
                    <w:tr2bl w:val="nil"/>
                  </w:tcBorders>
                  <w:noWrap/>
                  <w:tcMar>
                    <w:top w:w="0" w:type="dxa"/>
                    <w:left w:w="57" w:type="dxa"/>
                    <w:bottom w:w="0" w:type="dxa"/>
                    <w:right w:w="57" w:type="dxa"/>
                  </w:tcMar>
                  <w:vAlign w:val="center"/>
                </w:tcPr>
                <w:p>
                  <w:pPr>
                    <w:pStyle w:val="465"/>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rPr>
                  </w:pPr>
                </w:p>
              </w:tc>
              <w:tc>
                <w:tcPr>
                  <w:tcW w:w="546" w:type="pct"/>
                  <w:vMerge w:val="continue"/>
                  <w:tcBorders>
                    <w:tl2br w:val="nil"/>
                    <w:tr2bl w:val="nil"/>
                  </w:tcBorders>
                  <w:noWrap w:val="0"/>
                  <w:tcMar>
                    <w:top w:w="0" w:type="dxa"/>
                    <w:left w:w="57" w:type="dxa"/>
                    <w:bottom w:w="0" w:type="dxa"/>
                    <w:right w:w="57" w:type="dxa"/>
                  </w:tcMar>
                  <w:vAlign w:val="center"/>
                </w:tcPr>
                <w:p>
                  <w:pPr>
                    <w:pStyle w:val="465"/>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rPr>
                  </w:pPr>
                </w:p>
              </w:tc>
              <w:tc>
                <w:tcPr>
                  <w:tcW w:w="392" w:type="pct"/>
                  <w:vMerge w:val="continue"/>
                  <w:tcBorders>
                    <w:tl2br w:val="nil"/>
                    <w:tr2bl w:val="nil"/>
                  </w:tcBorders>
                  <w:noWrap w:val="0"/>
                  <w:tcMar>
                    <w:top w:w="0" w:type="dxa"/>
                    <w:left w:w="57" w:type="dxa"/>
                    <w:bottom w:w="0" w:type="dxa"/>
                    <w:right w:w="57" w:type="dxa"/>
                  </w:tcMar>
                  <w:vAlign w:val="center"/>
                </w:tcPr>
                <w:p>
                  <w:pPr>
                    <w:pStyle w:val="465"/>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rPr>
                  </w:pPr>
                </w:p>
              </w:tc>
              <w:tc>
                <w:tcPr>
                  <w:tcW w:w="428" w:type="pct"/>
                  <w:tcBorders>
                    <w:tl2br w:val="nil"/>
                    <w:tr2bl w:val="nil"/>
                  </w:tcBorders>
                  <w:noWrap/>
                  <w:tcMar>
                    <w:top w:w="0" w:type="dxa"/>
                    <w:left w:w="57" w:type="dxa"/>
                    <w:bottom w:w="0" w:type="dxa"/>
                    <w:right w:w="57" w:type="dxa"/>
                  </w:tcMar>
                  <w:vAlign w:val="center"/>
                </w:tcPr>
                <w:p>
                  <w:pPr>
                    <w:pStyle w:val="465"/>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rPr>
                  </w:pPr>
                </w:p>
              </w:tc>
              <w:tc>
                <w:tcPr>
                  <w:tcW w:w="281" w:type="pct"/>
                  <w:tcBorders>
                    <w:tl2br w:val="nil"/>
                    <w:tr2bl w:val="nil"/>
                  </w:tcBorders>
                  <w:noWrap/>
                  <w:tcMar>
                    <w:top w:w="0" w:type="dxa"/>
                    <w:left w:w="57" w:type="dxa"/>
                    <w:bottom w:w="0" w:type="dxa"/>
                    <w:right w:w="57" w:type="dxa"/>
                  </w:tcMar>
                  <w:vAlign w:val="center"/>
                </w:tcPr>
                <w:p>
                  <w:pPr>
                    <w:pStyle w:val="465"/>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rPr>
                  </w:pPr>
                </w:p>
              </w:tc>
              <w:tc>
                <w:tcPr>
                  <w:tcW w:w="350" w:type="pct"/>
                  <w:vMerge w:val="continue"/>
                  <w:tcBorders>
                    <w:tl2br w:val="nil"/>
                    <w:tr2bl w:val="nil"/>
                  </w:tcBorders>
                  <w:noWrap w:val="0"/>
                  <w:tcMar>
                    <w:top w:w="0" w:type="dxa"/>
                    <w:left w:w="57" w:type="dxa"/>
                    <w:bottom w:w="0" w:type="dxa"/>
                    <w:right w:w="57" w:type="dxa"/>
                  </w:tcMar>
                  <w:vAlign w:val="center"/>
                </w:tcPr>
                <w:p>
                  <w:pPr>
                    <w:pStyle w:val="465"/>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rPr>
                  </w:pPr>
                </w:p>
              </w:tc>
              <w:tc>
                <w:tcPr>
                  <w:tcW w:w="223" w:type="pct"/>
                  <w:vMerge w:val="continue"/>
                  <w:tcBorders>
                    <w:tl2br w:val="nil"/>
                    <w:tr2bl w:val="nil"/>
                  </w:tcBorders>
                  <w:noWrap w:val="0"/>
                  <w:tcMar>
                    <w:top w:w="0" w:type="dxa"/>
                    <w:left w:w="57" w:type="dxa"/>
                    <w:bottom w:w="0" w:type="dxa"/>
                    <w:right w:w="57" w:type="dxa"/>
                  </w:tcMar>
                  <w:vAlign w:val="center"/>
                </w:tcPr>
                <w:p>
                  <w:pPr>
                    <w:pStyle w:val="465"/>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rPr>
                  </w:pPr>
                </w:p>
              </w:tc>
              <w:tc>
                <w:tcPr>
                  <w:tcW w:w="292" w:type="pct"/>
                  <w:tcBorders>
                    <w:tl2br w:val="nil"/>
                    <w:tr2bl w:val="nil"/>
                  </w:tcBorders>
                  <w:noWrap w:val="0"/>
                  <w:tcMar>
                    <w:top w:w="0" w:type="dxa"/>
                    <w:left w:w="57" w:type="dxa"/>
                    <w:bottom w:w="0" w:type="dxa"/>
                    <w:right w:w="57" w:type="dxa"/>
                  </w:tcMar>
                  <w:vAlign w:val="center"/>
                </w:tcPr>
                <w:p>
                  <w:pPr>
                    <w:pStyle w:val="465"/>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rPr>
                  </w:pPr>
                </w:p>
              </w:tc>
              <w:tc>
                <w:tcPr>
                  <w:tcW w:w="283" w:type="pct"/>
                  <w:tcBorders>
                    <w:tl2br w:val="nil"/>
                    <w:tr2bl w:val="nil"/>
                  </w:tcBorders>
                  <w:noWrap w:val="0"/>
                  <w:tcMar>
                    <w:top w:w="0" w:type="dxa"/>
                    <w:left w:w="57" w:type="dxa"/>
                    <w:bottom w:w="0" w:type="dxa"/>
                    <w:right w:w="57" w:type="dxa"/>
                  </w:tcMar>
                  <w:vAlign w:val="center"/>
                </w:tcPr>
                <w:p>
                  <w:pPr>
                    <w:pStyle w:val="465"/>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rPr>
                  </w:pPr>
                </w:p>
              </w:tc>
              <w:tc>
                <w:tcPr>
                  <w:tcW w:w="316" w:type="pct"/>
                  <w:tcBorders>
                    <w:tl2br w:val="nil"/>
                    <w:tr2bl w:val="nil"/>
                  </w:tcBorders>
                  <w:noWrap w:val="0"/>
                  <w:tcMar>
                    <w:top w:w="0" w:type="dxa"/>
                    <w:left w:w="57" w:type="dxa"/>
                    <w:bottom w:w="0" w:type="dxa"/>
                    <w:right w:w="57" w:type="dxa"/>
                  </w:tcMar>
                  <w:vAlign w:val="center"/>
                </w:tcPr>
                <w:p>
                  <w:pPr>
                    <w:pStyle w:val="465"/>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lang w:val="en-US" w:eastAsia="zh-CN"/>
                    </w:rPr>
                  </w:pPr>
                </w:p>
              </w:tc>
              <w:tc>
                <w:tcPr>
                  <w:tcW w:w="203" w:type="pct"/>
                  <w:tcBorders>
                    <w:tl2br w:val="nil"/>
                    <w:tr2bl w:val="nil"/>
                  </w:tcBorders>
                  <w:noWrap/>
                  <w:tcMar>
                    <w:top w:w="0" w:type="dxa"/>
                    <w:left w:w="57" w:type="dxa"/>
                    <w:bottom w:w="0" w:type="dxa"/>
                    <w:right w:w="57" w:type="dxa"/>
                  </w:tcMar>
                  <w:vAlign w:val="center"/>
                </w:tcPr>
                <w:p>
                  <w:pPr>
                    <w:pStyle w:val="465"/>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rPr>
                  </w:pPr>
                </w:p>
              </w:tc>
              <w:tc>
                <w:tcPr>
                  <w:tcW w:w="177" w:type="pct"/>
                  <w:tcBorders>
                    <w:tl2br w:val="nil"/>
                    <w:tr2bl w:val="nil"/>
                  </w:tcBorders>
                  <w:noWrap/>
                  <w:tcMar>
                    <w:top w:w="0" w:type="dxa"/>
                    <w:left w:w="57" w:type="dxa"/>
                    <w:bottom w:w="0" w:type="dxa"/>
                    <w:right w:w="57" w:type="dxa"/>
                  </w:tcMar>
                  <w:vAlign w:val="center"/>
                </w:tcPr>
                <w:p>
                  <w:pPr>
                    <w:pStyle w:val="465"/>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rPr>
                  </w:pPr>
                </w:p>
              </w:tc>
              <w:tc>
                <w:tcPr>
                  <w:tcW w:w="177" w:type="pct"/>
                  <w:tcBorders>
                    <w:tl2br w:val="nil"/>
                    <w:tr2bl w:val="nil"/>
                  </w:tcBorders>
                  <w:noWrap/>
                  <w:tcMar>
                    <w:top w:w="0" w:type="dxa"/>
                    <w:left w:w="57" w:type="dxa"/>
                    <w:bottom w:w="0" w:type="dxa"/>
                    <w:right w:w="57" w:type="dxa"/>
                  </w:tcMar>
                  <w:vAlign w:val="center"/>
                </w:tcPr>
                <w:p>
                  <w:pPr>
                    <w:pStyle w:val="465"/>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rPr>
                  </w:pPr>
                </w:p>
              </w:tc>
              <w:tc>
                <w:tcPr>
                  <w:tcW w:w="179" w:type="pct"/>
                  <w:tcBorders>
                    <w:tl2br w:val="nil"/>
                    <w:tr2bl w:val="nil"/>
                  </w:tcBorders>
                  <w:noWrap/>
                  <w:tcMar>
                    <w:top w:w="0" w:type="dxa"/>
                    <w:left w:w="57" w:type="dxa"/>
                    <w:bottom w:w="0" w:type="dxa"/>
                    <w:right w:w="57" w:type="dxa"/>
                  </w:tcMar>
                  <w:vAlign w:val="center"/>
                </w:tcPr>
                <w:p>
                  <w:pPr>
                    <w:pStyle w:val="465"/>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59" w:type="pct"/>
                  <w:tcBorders>
                    <w:tl2br w:val="nil"/>
                    <w:tr2bl w:val="nil"/>
                  </w:tcBorders>
                  <w:noWrap w:val="0"/>
                  <w:tcMar>
                    <w:top w:w="0" w:type="dxa"/>
                    <w:left w:w="57" w:type="dxa"/>
                    <w:bottom w:w="0" w:type="dxa"/>
                    <w:right w:w="57" w:type="dxa"/>
                  </w:tcMar>
                  <w:vAlign w:val="center"/>
                </w:tcPr>
                <w:p>
                  <w:pPr>
                    <w:pStyle w:val="465"/>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lang w:val="en-US" w:eastAsia="zh-CN"/>
                    </w:rPr>
                  </w:pPr>
                </w:p>
              </w:tc>
              <w:tc>
                <w:tcPr>
                  <w:tcW w:w="492" w:type="pct"/>
                  <w:tcBorders>
                    <w:tl2br w:val="nil"/>
                    <w:tr2bl w:val="nil"/>
                  </w:tcBorders>
                  <w:noWrap w:val="0"/>
                  <w:tcMar>
                    <w:top w:w="0" w:type="dxa"/>
                    <w:left w:w="57" w:type="dxa"/>
                    <w:bottom w:w="0" w:type="dxa"/>
                    <w:right w:w="57" w:type="dxa"/>
                  </w:tcMar>
                  <w:vAlign w:val="center"/>
                </w:tcPr>
                <w:p>
                  <w:pPr>
                    <w:pStyle w:val="465"/>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lang w:val="en-US" w:eastAsia="zh-CN"/>
                    </w:rPr>
                  </w:pPr>
                </w:p>
              </w:tc>
              <w:tc>
                <w:tcPr>
                  <w:tcW w:w="392" w:type="pct"/>
                  <w:tcBorders>
                    <w:tl2br w:val="nil"/>
                    <w:tr2bl w:val="nil"/>
                  </w:tcBorders>
                  <w:noWrap/>
                  <w:tcMar>
                    <w:top w:w="0" w:type="dxa"/>
                    <w:left w:w="57" w:type="dxa"/>
                    <w:bottom w:w="0" w:type="dxa"/>
                    <w:right w:w="57" w:type="dxa"/>
                  </w:tcMar>
                  <w:vAlign w:val="center"/>
                </w:tcPr>
                <w:p>
                  <w:pPr>
                    <w:pStyle w:val="465"/>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lang w:val="en-US" w:eastAsia="zh-CN"/>
                    </w:rPr>
                  </w:pPr>
                </w:p>
              </w:tc>
              <w:tc>
                <w:tcPr>
                  <w:tcW w:w="546" w:type="pct"/>
                  <w:tcBorders>
                    <w:tl2br w:val="nil"/>
                    <w:tr2bl w:val="nil"/>
                  </w:tcBorders>
                  <w:noWrap w:val="0"/>
                  <w:tcMar>
                    <w:top w:w="0" w:type="dxa"/>
                    <w:left w:w="57" w:type="dxa"/>
                    <w:bottom w:w="0" w:type="dxa"/>
                    <w:right w:w="57" w:type="dxa"/>
                  </w:tcMar>
                  <w:vAlign w:val="center"/>
                </w:tcPr>
                <w:p>
                  <w:pPr>
                    <w:pStyle w:val="465"/>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lang w:val="en-US" w:eastAsia="zh-CN"/>
                    </w:rPr>
                  </w:pPr>
                </w:p>
              </w:tc>
              <w:tc>
                <w:tcPr>
                  <w:tcW w:w="392" w:type="pct"/>
                  <w:tcBorders>
                    <w:tl2br w:val="nil"/>
                    <w:tr2bl w:val="nil"/>
                  </w:tcBorders>
                  <w:noWrap w:val="0"/>
                  <w:tcMar>
                    <w:top w:w="0" w:type="dxa"/>
                    <w:left w:w="57" w:type="dxa"/>
                    <w:bottom w:w="0" w:type="dxa"/>
                    <w:right w:w="57" w:type="dxa"/>
                  </w:tcMar>
                  <w:vAlign w:val="center"/>
                </w:tcPr>
                <w:p>
                  <w:pPr>
                    <w:pStyle w:val="465"/>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lang w:val="en-US" w:eastAsia="zh-CN"/>
                    </w:rPr>
                  </w:pPr>
                </w:p>
              </w:tc>
              <w:tc>
                <w:tcPr>
                  <w:tcW w:w="734" w:type="dxa"/>
                  <w:tcBorders>
                    <w:tl2br w:val="nil"/>
                    <w:tr2bl w:val="nil"/>
                  </w:tcBorders>
                  <w:noWrap/>
                  <w:tcMar>
                    <w:top w:w="0" w:type="dxa"/>
                    <w:left w:w="57" w:type="dxa"/>
                    <w:bottom w:w="0" w:type="dxa"/>
                    <w:right w:w="57" w:type="dxa"/>
                  </w:tcMar>
                  <w:vAlign w:val="center"/>
                </w:tcPr>
                <w:p>
                  <w:pPr>
                    <w:pStyle w:val="465"/>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lang w:val="en-US" w:eastAsia="zh-CN"/>
                    </w:rPr>
                  </w:pPr>
                </w:p>
              </w:tc>
              <w:tc>
                <w:tcPr>
                  <w:tcW w:w="483" w:type="dxa"/>
                  <w:tcBorders>
                    <w:tl2br w:val="nil"/>
                    <w:tr2bl w:val="nil"/>
                  </w:tcBorders>
                  <w:noWrap/>
                  <w:tcMar>
                    <w:top w:w="0" w:type="dxa"/>
                    <w:left w:w="57" w:type="dxa"/>
                    <w:bottom w:w="0" w:type="dxa"/>
                    <w:right w:w="57" w:type="dxa"/>
                  </w:tcMar>
                  <w:vAlign w:val="center"/>
                </w:tcPr>
                <w:p>
                  <w:pPr>
                    <w:pStyle w:val="465"/>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lang w:val="en-US" w:eastAsia="zh-CN"/>
                    </w:rPr>
                  </w:pPr>
                </w:p>
              </w:tc>
              <w:tc>
                <w:tcPr>
                  <w:tcW w:w="350" w:type="pct"/>
                  <w:tcBorders>
                    <w:tl2br w:val="nil"/>
                    <w:tr2bl w:val="nil"/>
                  </w:tcBorders>
                  <w:noWrap w:val="0"/>
                  <w:tcMar>
                    <w:top w:w="0" w:type="dxa"/>
                    <w:left w:w="57" w:type="dxa"/>
                    <w:bottom w:w="0" w:type="dxa"/>
                    <w:right w:w="57" w:type="dxa"/>
                  </w:tcMar>
                  <w:vAlign w:val="center"/>
                </w:tcPr>
                <w:p>
                  <w:pPr>
                    <w:pStyle w:val="465"/>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lang w:val="en-US" w:eastAsia="zh-CN"/>
                    </w:rPr>
                  </w:pPr>
                </w:p>
              </w:tc>
              <w:tc>
                <w:tcPr>
                  <w:tcW w:w="223" w:type="pct"/>
                  <w:tcBorders>
                    <w:tl2br w:val="nil"/>
                    <w:tr2bl w:val="nil"/>
                  </w:tcBorders>
                  <w:noWrap w:val="0"/>
                  <w:tcMar>
                    <w:top w:w="0" w:type="dxa"/>
                    <w:left w:w="57" w:type="dxa"/>
                    <w:bottom w:w="0" w:type="dxa"/>
                    <w:right w:w="57" w:type="dxa"/>
                  </w:tcMar>
                  <w:vAlign w:val="center"/>
                </w:tcPr>
                <w:p>
                  <w:pPr>
                    <w:pStyle w:val="465"/>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lang w:val="en-US" w:eastAsia="zh-CN"/>
                    </w:rPr>
                  </w:pPr>
                </w:p>
              </w:tc>
              <w:tc>
                <w:tcPr>
                  <w:tcW w:w="501" w:type="dxa"/>
                  <w:tcBorders>
                    <w:tl2br w:val="nil"/>
                    <w:tr2bl w:val="nil"/>
                  </w:tcBorders>
                  <w:shd w:val="clear" w:color="auto" w:fill="auto"/>
                  <w:noWrap w:val="0"/>
                  <w:tcMar>
                    <w:top w:w="0" w:type="dxa"/>
                    <w:left w:w="57" w:type="dxa"/>
                    <w:bottom w:w="0" w:type="dxa"/>
                    <w:right w:w="57" w:type="dxa"/>
                  </w:tcMar>
                  <w:vAlign w:val="center"/>
                </w:tcPr>
                <w:p>
                  <w:pPr>
                    <w:pStyle w:val="465"/>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lang w:val="en-US" w:eastAsia="zh-CN"/>
                    </w:rPr>
                  </w:pPr>
                </w:p>
              </w:tc>
              <w:tc>
                <w:tcPr>
                  <w:tcW w:w="486" w:type="dxa"/>
                  <w:tcBorders>
                    <w:tl2br w:val="nil"/>
                    <w:tr2bl w:val="nil"/>
                  </w:tcBorders>
                  <w:shd w:val="clear" w:color="auto" w:fill="auto"/>
                  <w:noWrap w:val="0"/>
                  <w:tcMar>
                    <w:top w:w="0" w:type="dxa"/>
                    <w:left w:w="57" w:type="dxa"/>
                    <w:bottom w:w="0" w:type="dxa"/>
                    <w:right w:w="57" w:type="dxa"/>
                  </w:tcMar>
                  <w:vAlign w:val="center"/>
                </w:tcPr>
                <w:p>
                  <w:pPr>
                    <w:pStyle w:val="465"/>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lang w:val="en-US" w:eastAsia="zh-CN"/>
                    </w:rPr>
                  </w:pPr>
                </w:p>
              </w:tc>
              <w:tc>
                <w:tcPr>
                  <w:tcW w:w="316" w:type="pct"/>
                  <w:tcBorders>
                    <w:tl2br w:val="nil"/>
                    <w:tr2bl w:val="nil"/>
                  </w:tcBorders>
                  <w:noWrap w:val="0"/>
                  <w:tcMar>
                    <w:top w:w="0" w:type="dxa"/>
                    <w:left w:w="57" w:type="dxa"/>
                    <w:bottom w:w="0" w:type="dxa"/>
                    <w:right w:w="57" w:type="dxa"/>
                  </w:tcMar>
                  <w:vAlign w:val="center"/>
                </w:tcPr>
                <w:p>
                  <w:pPr>
                    <w:pStyle w:val="465"/>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lang w:val="en-US" w:eastAsia="zh-CN"/>
                    </w:rPr>
                  </w:pPr>
                </w:p>
              </w:tc>
              <w:tc>
                <w:tcPr>
                  <w:tcW w:w="203" w:type="pct"/>
                  <w:tcBorders>
                    <w:tl2br w:val="nil"/>
                    <w:tr2bl w:val="nil"/>
                  </w:tcBorders>
                  <w:noWrap/>
                  <w:tcMar>
                    <w:top w:w="0" w:type="dxa"/>
                    <w:left w:w="57" w:type="dxa"/>
                    <w:bottom w:w="0" w:type="dxa"/>
                    <w:right w:w="57" w:type="dxa"/>
                  </w:tcMar>
                  <w:vAlign w:val="center"/>
                </w:tcPr>
                <w:p>
                  <w:pPr>
                    <w:pStyle w:val="465"/>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lang w:val="en-US" w:eastAsia="zh-CN"/>
                    </w:rPr>
                  </w:pPr>
                </w:p>
              </w:tc>
              <w:tc>
                <w:tcPr>
                  <w:tcW w:w="177" w:type="pct"/>
                  <w:tcBorders>
                    <w:tl2br w:val="nil"/>
                    <w:tr2bl w:val="nil"/>
                  </w:tcBorders>
                  <w:noWrap/>
                  <w:tcMar>
                    <w:top w:w="0" w:type="dxa"/>
                    <w:left w:w="57" w:type="dxa"/>
                    <w:bottom w:w="0" w:type="dxa"/>
                    <w:right w:w="57" w:type="dxa"/>
                  </w:tcMar>
                  <w:vAlign w:val="center"/>
                </w:tcPr>
                <w:p>
                  <w:pPr>
                    <w:pStyle w:val="465"/>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lang w:val="en-US" w:eastAsia="zh-CN"/>
                    </w:rPr>
                  </w:pPr>
                </w:p>
              </w:tc>
              <w:tc>
                <w:tcPr>
                  <w:tcW w:w="177" w:type="pct"/>
                  <w:tcBorders>
                    <w:tl2br w:val="nil"/>
                    <w:tr2bl w:val="nil"/>
                  </w:tcBorders>
                  <w:noWrap/>
                  <w:tcMar>
                    <w:top w:w="0" w:type="dxa"/>
                    <w:left w:w="57" w:type="dxa"/>
                    <w:bottom w:w="0" w:type="dxa"/>
                    <w:right w:w="57" w:type="dxa"/>
                  </w:tcMar>
                  <w:vAlign w:val="center"/>
                </w:tcPr>
                <w:p>
                  <w:pPr>
                    <w:pStyle w:val="465"/>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lang w:val="en-US" w:eastAsia="zh-CN"/>
                    </w:rPr>
                  </w:pPr>
                </w:p>
              </w:tc>
              <w:tc>
                <w:tcPr>
                  <w:tcW w:w="179" w:type="pct"/>
                  <w:tcBorders>
                    <w:tl2br w:val="nil"/>
                    <w:tr2bl w:val="nil"/>
                  </w:tcBorders>
                  <w:noWrap/>
                  <w:tcMar>
                    <w:top w:w="0" w:type="dxa"/>
                    <w:left w:w="57" w:type="dxa"/>
                    <w:bottom w:w="0" w:type="dxa"/>
                    <w:right w:w="57" w:type="dxa"/>
                  </w:tcMar>
                  <w:vAlign w:val="center"/>
                </w:tcPr>
                <w:p>
                  <w:pPr>
                    <w:pStyle w:val="465"/>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color w:val="auto"/>
                      <w:highlight w:val="none"/>
                      <w:lang w:val="en-US" w:eastAsia="zh-CN"/>
                    </w:rPr>
                  </w:pPr>
                </w:p>
              </w:tc>
            </w:tr>
          </w:tbl>
          <w:p>
            <w:pPr>
              <w:pStyle w:val="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4.2.2年排放量和达标排放分析</w:t>
            </w:r>
          </w:p>
          <w:p>
            <w:pPr>
              <w:keepNext w:val="0"/>
              <w:keepLines w:val="0"/>
              <w:widowControl/>
              <w:suppressLineNumbers w:val="0"/>
              <w:ind w:firstLine="480"/>
              <w:jc w:val="lef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生产车间采取封闭式设计，钢磨机破碎粉尘采用动态全密闭收集，粉尘经布袋除尘器处理后由15m高排气筒（DA001）排放，</w:t>
            </w:r>
            <w:r>
              <w:rPr>
                <w:rFonts w:hint="default" w:ascii="Times New Roman" w:hAnsi="Times New Roman" w:eastAsia="宋体" w:cs="Times New Roman"/>
                <w:color w:val="auto"/>
                <w:szCs w:val="24"/>
                <w:highlight w:val="none"/>
              </w:rPr>
              <w:t>粉尘符合《</w:t>
            </w:r>
            <w:r>
              <w:rPr>
                <w:rFonts w:hint="default" w:ascii="Times New Roman" w:hAnsi="Times New Roman" w:eastAsia="宋体" w:cs="Times New Roman"/>
                <w:color w:val="auto"/>
                <w:highlight w:val="none"/>
              </w:rPr>
              <w:t>大气污染物综合排放标准</w:t>
            </w:r>
            <w:r>
              <w:rPr>
                <w:rFonts w:hint="default" w:ascii="Times New Roman" w:hAnsi="Times New Roman" w:eastAsia="宋体" w:cs="Times New Roman"/>
                <w:color w:val="auto"/>
                <w:szCs w:val="24"/>
                <w:highlight w:val="none"/>
              </w:rPr>
              <w:t>》</w:t>
            </w:r>
            <w:r>
              <w:rPr>
                <w:rFonts w:hint="default" w:ascii="Times New Roman" w:hAnsi="Times New Roman" w:eastAsia="宋体" w:cs="Times New Roman"/>
                <w:color w:val="auto"/>
                <w:szCs w:val="24"/>
                <w:highlight w:val="none"/>
                <w:lang w:val="en-US" w:eastAsia="zh-CN"/>
              </w:rPr>
              <w:t>(</w:t>
            </w:r>
            <w:r>
              <w:rPr>
                <w:rFonts w:hint="default" w:ascii="Times New Roman" w:hAnsi="Times New Roman" w:eastAsia="宋体" w:cs="Times New Roman"/>
                <w:color w:val="auto"/>
                <w:szCs w:val="24"/>
                <w:highlight w:val="none"/>
              </w:rPr>
              <w:t>GB16297-1996</w:t>
            </w:r>
            <w:r>
              <w:rPr>
                <w:rFonts w:hint="default" w:ascii="Times New Roman" w:hAnsi="Times New Roman" w:eastAsia="宋体" w:cs="Times New Roman"/>
                <w:color w:val="auto"/>
                <w:szCs w:val="24"/>
                <w:highlight w:val="none"/>
                <w:lang w:val="en-US" w:eastAsia="zh-CN"/>
              </w:rPr>
              <w:t>)</w:t>
            </w:r>
            <w:r>
              <w:rPr>
                <w:rFonts w:hint="default" w:ascii="Times New Roman" w:hAnsi="Times New Roman" w:eastAsia="宋体" w:cs="Times New Roman"/>
                <w:color w:val="auto"/>
                <w:szCs w:val="24"/>
                <w:highlight w:val="none"/>
              </w:rPr>
              <w:t>表2中新建污染物排放标准二级标准</w:t>
            </w:r>
            <w:r>
              <w:rPr>
                <w:rFonts w:hint="default" w:ascii="Times New Roman" w:hAnsi="Times New Roman" w:eastAsia="宋体" w:cs="Times New Roman"/>
                <w:color w:val="auto"/>
                <w:highlight w:val="none"/>
              </w:rPr>
              <w:t>；</w:t>
            </w:r>
            <w:r>
              <w:rPr>
                <w:rFonts w:hint="eastAsia" w:cs="Times New Roman"/>
                <w:color w:val="auto"/>
                <w:highlight w:val="none"/>
                <w:lang w:val="en-US" w:eastAsia="zh-CN"/>
              </w:rPr>
              <w:t>剪切、</w:t>
            </w:r>
            <w:r>
              <w:rPr>
                <w:rFonts w:hint="default" w:ascii="Times New Roman" w:hAnsi="Times New Roman" w:eastAsia="宋体" w:cs="Times New Roman"/>
                <w:color w:val="auto"/>
                <w:highlight w:val="none"/>
              </w:rPr>
              <w:t>卸料粉尘、堆场扬尘均采取喷雾降尘措施</w:t>
            </w:r>
            <w:r>
              <w:rPr>
                <w:rFonts w:hint="default" w:ascii="Times New Roman" w:hAnsi="Times New Roman" w:eastAsia="宋体" w:cs="Times New Roman"/>
                <w:color w:val="auto"/>
                <w:szCs w:val="24"/>
                <w:highlight w:val="none"/>
              </w:rPr>
              <w:t>；</w:t>
            </w:r>
            <w:r>
              <w:rPr>
                <w:rFonts w:hint="default" w:ascii="Times New Roman" w:hAnsi="Times New Roman" w:eastAsia="宋体" w:cs="Times New Roman"/>
                <w:color w:val="auto"/>
                <w:highlight w:val="none"/>
              </w:rPr>
              <w:t>切割设备主要通过人工</w:t>
            </w:r>
            <w:r>
              <w:rPr>
                <w:rFonts w:hint="eastAsia" w:cs="Times New Roman"/>
                <w:color w:val="auto"/>
                <w:highlight w:val="none"/>
                <w:lang w:val="en-US" w:eastAsia="zh-CN"/>
              </w:rPr>
              <w:t>切</w:t>
            </w:r>
            <w:r>
              <w:rPr>
                <w:rFonts w:hint="default" w:ascii="Times New Roman" w:hAnsi="Times New Roman" w:eastAsia="宋体" w:cs="Times New Roman"/>
                <w:color w:val="auto"/>
                <w:highlight w:val="none"/>
              </w:rPr>
              <w:t>割操作，产生的粉尘量很小</w:t>
            </w:r>
            <w:r>
              <w:rPr>
                <w:rFonts w:hint="eastAsia" w:cs="Times New Roman"/>
                <w:color w:val="auto"/>
                <w:highlight w:val="none"/>
                <w:lang w:eastAsia="zh-CN"/>
              </w:rPr>
              <w:t>；</w:t>
            </w:r>
            <w:r>
              <w:rPr>
                <w:rFonts w:hint="default" w:ascii="Times New Roman" w:hAnsi="Times New Roman" w:eastAsia="宋体" w:cs="Times New Roman"/>
                <w:color w:val="auto"/>
                <w:highlight w:val="none"/>
              </w:rPr>
              <w:t>运输车辆动力扬尘采取道路硬化和洒水降尘措施；</w:t>
            </w:r>
            <w:r>
              <w:rPr>
                <w:rFonts w:hint="eastAsia" w:cs="Times New Roman"/>
                <w:color w:val="auto"/>
                <w:highlight w:val="none"/>
                <w:lang w:val="en-US" w:eastAsia="zh-CN"/>
              </w:rPr>
              <w:t>湿</w:t>
            </w:r>
            <w:r>
              <w:rPr>
                <w:rFonts w:hint="default" w:ascii="Times New Roman" w:hAnsi="Times New Roman" w:eastAsia="宋体" w:cs="Times New Roman"/>
                <w:color w:val="auto"/>
                <w:highlight w:val="none"/>
              </w:rPr>
              <w:t>物料采用密闭管道运输；筛选工序物料含水率高，厂界粉尘可达到《大气污染物综合排放标准》</w:t>
            </w:r>
            <w:r>
              <w:rPr>
                <w:rFonts w:hint="default" w:ascii="Times New Roman" w:hAnsi="Times New Roman" w:eastAsia="宋体" w:cs="Times New Roman"/>
                <w:color w:val="auto"/>
                <w:szCs w:val="24"/>
                <w:highlight w:val="none"/>
                <w:lang w:val="en-US" w:eastAsia="zh-CN"/>
              </w:rPr>
              <w:t>(</w:t>
            </w:r>
            <w:r>
              <w:rPr>
                <w:rFonts w:hint="default" w:ascii="Times New Roman" w:hAnsi="Times New Roman" w:eastAsia="宋体" w:cs="Times New Roman"/>
                <w:color w:val="auto"/>
                <w:szCs w:val="24"/>
                <w:highlight w:val="none"/>
              </w:rPr>
              <w:t>GB16297-1996</w:t>
            </w:r>
            <w:r>
              <w:rPr>
                <w:rFonts w:hint="default" w:ascii="Times New Roman" w:hAnsi="Times New Roman" w:eastAsia="宋体" w:cs="Times New Roman"/>
                <w:color w:val="auto"/>
                <w:szCs w:val="24"/>
                <w:highlight w:val="none"/>
                <w:lang w:val="en-US" w:eastAsia="zh-CN"/>
              </w:rPr>
              <w:t>)</w:t>
            </w:r>
            <w:r>
              <w:rPr>
                <w:rFonts w:hint="default" w:ascii="Times New Roman" w:hAnsi="Times New Roman" w:eastAsia="宋体" w:cs="Times New Roman"/>
                <w:color w:val="auto"/>
                <w:highlight w:val="none"/>
              </w:rPr>
              <w:t>表2无组织排放监控浓度限值要求，本项目所在区域大气环境质量良好，对周边环境和敏感点影响较小。</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表4.2-</w:t>
            </w:r>
            <w:r>
              <w:rPr>
                <w:rFonts w:hint="eastAsia" w:ascii="Times New Roman" w:hAnsi="Times New Roman" w:eastAsia="宋体" w:cs="Times New Roman"/>
                <w:b/>
                <w:bCs/>
                <w:color w:val="auto"/>
                <w:sz w:val="24"/>
                <w:highlight w:val="none"/>
                <w:lang w:val="en-US" w:eastAsia="zh-CN"/>
              </w:rPr>
              <w:t>5</w:t>
            </w:r>
            <w:r>
              <w:rPr>
                <w:rFonts w:hint="default" w:ascii="Times New Roman" w:hAnsi="Times New Roman" w:eastAsia="宋体" w:cs="Times New Roman"/>
                <w:b/>
                <w:bCs/>
                <w:color w:val="auto"/>
                <w:sz w:val="24"/>
                <w:highlight w:val="none"/>
              </w:rPr>
              <w:t xml:space="preserve"> 本项目大气污染物有组织排放量核算表</w:t>
            </w:r>
          </w:p>
          <w:tbl>
            <w:tblPr>
              <w:tblStyle w:val="49"/>
              <w:tblW w:w="856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27"/>
              <w:gridCol w:w="1272"/>
              <w:gridCol w:w="1918"/>
              <w:gridCol w:w="1913"/>
              <w:gridCol w:w="163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27"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污染源名称</w:t>
                  </w:r>
                </w:p>
              </w:tc>
              <w:tc>
                <w:tcPr>
                  <w:tcW w:w="1272"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w:t>
                  </w:r>
                </w:p>
              </w:tc>
              <w:tc>
                <w:tcPr>
                  <w:tcW w:w="1918"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核算排放浓度</w:t>
                  </w:r>
                </w:p>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tc>
              <w:tc>
                <w:tcPr>
                  <w:tcW w:w="1913"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核算排放速率（kg/h）</w:t>
                  </w:r>
                </w:p>
              </w:tc>
              <w:tc>
                <w:tcPr>
                  <w:tcW w:w="1635"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核算年排放量（t/a）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27"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排气筒(DA001)</w:t>
                  </w:r>
                </w:p>
              </w:tc>
              <w:tc>
                <w:tcPr>
                  <w:tcW w:w="1272"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1918"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1.3359</w:t>
                  </w:r>
                </w:p>
              </w:tc>
              <w:tc>
                <w:tcPr>
                  <w:tcW w:w="1913" w:type="dxa"/>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trike/>
                      <w:color w:val="auto"/>
                      <w:sz w:val="21"/>
                      <w:szCs w:val="21"/>
                      <w:highlight w:val="none"/>
                      <w:lang w:val="en-US" w:eastAsia="zh-CN"/>
                    </w:rPr>
                  </w:pPr>
                  <w:r>
                    <w:rPr>
                      <w:rFonts w:hint="eastAsia" w:cs="Times New Roman"/>
                      <w:color w:val="auto"/>
                      <w:sz w:val="21"/>
                      <w:szCs w:val="21"/>
                      <w:highlight w:val="none"/>
                      <w:lang w:val="en-US" w:eastAsia="zh-CN"/>
                    </w:rPr>
                    <w:t>0.0267</w:t>
                  </w:r>
                </w:p>
              </w:tc>
              <w:tc>
                <w:tcPr>
                  <w:tcW w:w="1635" w:type="dxa"/>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trike/>
                      <w:color w:val="auto"/>
                      <w:sz w:val="21"/>
                      <w:szCs w:val="21"/>
                      <w:highlight w:val="none"/>
                      <w:lang w:val="en-US" w:eastAsia="zh-CN"/>
                    </w:rPr>
                  </w:pPr>
                  <w:r>
                    <w:rPr>
                      <w:rFonts w:hint="default" w:ascii="Times New Roman" w:hAnsi="Times New Roman" w:eastAsia="宋体" w:cs="Times New Roman"/>
                      <w:color w:val="auto"/>
                      <w:sz w:val="21"/>
                      <w:szCs w:val="21"/>
                      <w:highlight w:val="none"/>
                    </w:rPr>
                    <w:t>0.</w:t>
                  </w:r>
                  <w:r>
                    <w:rPr>
                      <w:rFonts w:hint="eastAsia" w:cs="Times New Roman"/>
                      <w:color w:val="auto"/>
                      <w:sz w:val="21"/>
                      <w:szCs w:val="21"/>
                      <w:highlight w:val="none"/>
                      <w:lang w:val="en-US" w:eastAsia="zh-CN"/>
                    </w:rPr>
                    <w:t>14535</w:t>
                  </w:r>
                </w:p>
              </w:tc>
            </w:tr>
          </w:tbl>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表4.2-</w:t>
            </w:r>
            <w:r>
              <w:rPr>
                <w:rFonts w:hint="eastAsia" w:ascii="Times New Roman" w:hAnsi="Times New Roman" w:eastAsia="宋体" w:cs="Times New Roman"/>
                <w:b/>
                <w:bCs/>
                <w:color w:val="auto"/>
                <w:sz w:val="24"/>
                <w:highlight w:val="none"/>
                <w:lang w:val="en-US" w:eastAsia="zh-CN"/>
              </w:rPr>
              <w:t>6</w:t>
            </w:r>
            <w:r>
              <w:rPr>
                <w:rFonts w:hint="default" w:ascii="Times New Roman" w:hAnsi="Times New Roman" w:eastAsia="宋体" w:cs="Times New Roman"/>
                <w:b/>
                <w:bCs/>
                <w:color w:val="auto"/>
                <w:sz w:val="24"/>
                <w:highlight w:val="none"/>
              </w:rPr>
              <w:t xml:space="preserve"> 本项目大气污染物无组织排放量核算表</w:t>
            </w:r>
          </w:p>
          <w:tbl>
            <w:tblPr>
              <w:tblStyle w:val="49"/>
              <w:tblW w:w="8504" w:type="dxa"/>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2351"/>
              <w:gridCol w:w="1200"/>
              <w:gridCol w:w="2463"/>
              <w:gridCol w:w="1219"/>
              <w:gridCol w:w="1271"/>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2351" w:type="dxa"/>
                  <w:vMerge w:val="restart"/>
                  <w:tcBorders>
                    <w:top w:val="single" w:color="auto" w:sz="12"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产污环节</w:t>
                  </w:r>
                </w:p>
              </w:tc>
              <w:tc>
                <w:tcPr>
                  <w:tcW w:w="1200" w:type="dxa"/>
                  <w:vMerge w:val="restart"/>
                  <w:tcBorders>
                    <w:top w:val="single" w:color="auto" w:sz="12"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w:t>
                  </w:r>
                </w:p>
              </w:tc>
              <w:tc>
                <w:tcPr>
                  <w:tcW w:w="3682" w:type="dxa"/>
                  <w:gridSpan w:val="2"/>
                  <w:tcBorders>
                    <w:top w:val="single" w:color="auto" w:sz="12"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国家或地方污染物排放标准</w:t>
                  </w:r>
                </w:p>
              </w:tc>
              <w:tc>
                <w:tcPr>
                  <w:tcW w:w="1271" w:type="dxa"/>
                  <w:vMerge w:val="restart"/>
                  <w:tcBorders>
                    <w:top w:val="single" w:color="auto" w:sz="12" w:space="0"/>
                    <w:left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年排放量(t/a)</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2351" w:type="dxa"/>
                  <w:vMerge w:val="continue"/>
                  <w:tcBorders>
                    <w:top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highlight w:val="none"/>
                    </w:rPr>
                  </w:pPr>
                </w:p>
              </w:tc>
              <w:tc>
                <w:tcPr>
                  <w:tcW w:w="120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highlight w:val="none"/>
                    </w:rPr>
                  </w:pPr>
                </w:p>
              </w:tc>
              <w:tc>
                <w:tcPr>
                  <w:tcW w:w="24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标准名称</w:t>
                  </w:r>
                </w:p>
              </w:tc>
              <w:tc>
                <w:tcPr>
                  <w:tcW w:w="121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浓度限值(mg/m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tc>
              <w:tc>
                <w:tcPr>
                  <w:tcW w:w="1271" w:type="dxa"/>
                  <w:vMerge w:val="continue"/>
                  <w:tcBorders>
                    <w:top w:val="single" w:color="auto" w:sz="4" w:space="0"/>
                    <w:left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2351" w:type="dxa"/>
                  <w:tcBorders>
                    <w:top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剪切、切割</w:t>
                  </w:r>
                </w:p>
              </w:tc>
              <w:tc>
                <w:tcPr>
                  <w:tcW w:w="1200"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2463"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GB16297-1996《大气污染物综合排放标准》</w:t>
                  </w:r>
                </w:p>
              </w:tc>
              <w:tc>
                <w:tcPr>
                  <w:tcW w:w="1219"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1271" w:type="dxa"/>
                  <w:tcBorders>
                    <w:top w:val="single" w:color="auto" w:sz="4" w:space="0"/>
                    <w:left w:val="single" w:color="auto" w:sz="4" w:space="0"/>
                    <w:bottom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1.98784</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2351" w:type="dxa"/>
                  <w:tcBorders>
                    <w:top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钢磨</w:t>
                  </w:r>
                </w:p>
              </w:tc>
              <w:tc>
                <w:tcPr>
                  <w:tcW w:w="120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highlight w:val="none"/>
                    </w:rPr>
                  </w:pPr>
                </w:p>
              </w:tc>
              <w:tc>
                <w:tcPr>
                  <w:tcW w:w="2463"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highlight w:val="none"/>
                    </w:rPr>
                  </w:pPr>
                </w:p>
              </w:tc>
              <w:tc>
                <w:tcPr>
                  <w:tcW w:w="1219"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highlight w:val="none"/>
                    </w:rPr>
                  </w:pPr>
                </w:p>
              </w:tc>
              <w:tc>
                <w:tcPr>
                  <w:tcW w:w="1271" w:type="dxa"/>
                  <w:tcBorders>
                    <w:top w:val="single" w:color="auto" w:sz="4" w:space="0"/>
                    <w:left w:val="single" w:color="auto" w:sz="4" w:space="0"/>
                    <w:bottom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0.765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2351" w:type="dxa"/>
                  <w:tcBorders>
                    <w:top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生产车间一</w:t>
                  </w:r>
                  <w:r>
                    <w:rPr>
                      <w:rFonts w:hint="default" w:ascii="Times New Roman" w:hAnsi="Times New Roman" w:eastAsia="宋体" w:cs="Times New Roman"/>
                      <w:color w:val="auto"/>
                      <w:sz w:val="21"/>
                      <w:szCs w:val="21"/>
                      <w:highlight w:val="none"/>
                    </w:rPr>
                    <w:t>车辆运输</w:t>
                  </w:r>
                </w:p>
              </w:tc>
              <w:tc>
                <w:tcPr>
                  <w:tcW w:w="120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highlight w:val="none"/>
                    </w:rPr>
                  </w:pPr>
                </w:p>
              </w:tc>
              <w:tc>
                <w:tcPr>
                  <w:tcW w:w="2463"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highlight w:val="none"/>
                    </w:rPr>
                  </w:pPr>
                </w:p>
              </w:tc>
              <w:tc>
                <w:tcPr>
                  <w:tcW w:w="1219"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highlight w:val="none"/>
                    </w:rPr>
                  </w:pPr>
                </w:p>
              </w:tc>
              <w:tc>
                <w:tcPr>
                  <w:tcW w:w="1271" w:type="dxa"/>
                  <w:tcBorders>
                    <w:top w:val="single" w:color="auto" w:sz="4" w:space="0"/>
                    <w:left w:val="single" w:color="auto" w:sz="4" w:space="0"/>
                    <w:bottom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1.629</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2351" w:type="dxa"/>
                  <w:tcBorders>
                    <w:top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生产车间二</w:t>
                  </w:r>
                  <w:r>
                    <w:rPr>
                      <w:rFonts w:hint="default" w:ascii="Times New Roman" w:hAnsi="Times New Roman" w:eastAsia="宋体" w:cs="Times New Roman"/>
                      <w:color w:val="auto"/>
                      <w:sz w:val="21"/>
                      <w:szCs w:val="21"/>
                      <w:highlight w:val="none"/>
                    </w:rPr>
                    <w:t>车辆运输</w:t>
                  </w:r>
                </w:p>
              </w:tc>
              <w:tc>
                <w:tcPr>
                  <w:tcW w:w="120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highlight w:val="none"/>
                    </w:rPr>
                  </w:pPr>
                </w:p>
              </w:tc>
              <w:tc>
                <w:tcPr>
                  <w:tcW w:w="2463"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highlight w:val="none"/>
                    </w:rPr>
                  </w:pPr>
                </w:p>
              </w:tc>
              <w:tc>
                <w:tcPr>
                  <w:tcW w:w="1219"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highlight w:val="none"/>
                    </w:rPr>
                  </w:pPr>
                </w:p>
              </w:tc>
              <w:tc>
                <w:tcPr>
                  <w:tcW w:w="1271" w:type="dxa"/>
                  <w:tcBorders>
                    <w:top w:val="single" w:color="auto" w:sz="4" w:space="0"/>
                    <w:left w:val="single" w:color="auto" w:sz="4" w:space="0"/>
                    <w:bottom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0.07059</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2351" w:type="dxa"/>
                  <w:tcBorders>
                    <w:top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铲车</w:t>
                  </w:r>
                  <w:r>
                    <w:rPr>
                      <w:rFonts w:hint="default" w:ascii="Times New Roman" w:hAnsi="Times New Roman" w:eastAsia="宋体" w:cs="Times New Roman"/>
                      <w:color w:val="auto"/>
                      <w:sz w:val="21"/>
                      <w:szCs w:val="21"/>
                      <w:highlight w:val="none"/>
                    </w:rPr>
                    <w:t>卸料</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块状</w:t>
                  </w:r>
                  <w:r>
                    <w:rPr>
                      <w:rFonts w:hint="eastAsia" w:cs="Times New Roman"/>
                      <w:color w:val="auto"/>
                      <w:sz w:val="21"/>
                      <w:szCs w:val="21"/>
                      <w:highlight w:val="none"/>
                      <w:lang w:eastAsia="zh-CN"/>
                    </w:rPr>
                    <w:t>）</w:t>
                  </w:r>
                </w:p>
              </w:tc>
              <w:tc>
                <w:tcPr>
                  <w:tcW w:w="120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highlight w:val="none"/>
                    </w:rPr>
                  </w:pPr>
                </w:p>
              </w:tc>
              <w:tc>
                <w:tcPr>
                  <w:tcW w:w="2463"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highlight w:val="none"/>
                    </w:rPr>
                  </w:pPr>
                </w:p>
              </w:tc>
              <w:tc>
                <w:tcPr>
                  <w:tcW w:w="1219"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highlight w:val="none"/>
                    </w:rPr>
                  </w:pPr>
                </w:p>
              </w:tc>
              <w:tc>
                <w:tcPr>
                  <w:tcW w:w="1271" w:type="dxa"/>
                  <w:tcBorders>
                    <w:top w:val="single" w:color="auto" w:sz="4" w:space="0"/>
                    <w:left w:val="single" w:color="auto" w:sz="4" w:space="0"/>
                    <w:bottom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0.0054</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2351" w:type="dxa"/>
                  <w:tcBorders>
                    <w:top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粉状原料卸料</w:t>
                  </w:r>
                </w:p>
              </w:tc>
              <w:tc>
                <w:tcPr>
                  <w:tcW w:w="1200"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highlight w:val="none"/>
                    </w:rPr>
                  </w:pPr>
                </w:p>
              </w:tc>
              <w:tc>
                <w:tcPr>
                  <w:tcW w:w="2463"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highlight w:val="none"/>
                    </w:rPr>
                  </w:pPr>
                </w:p>
              </w:tc>
              <w:tc>
                <w:tcPr>
                  <w:tcW w:w="1219"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highlight w:val="none"/>
                    </w:rPr>
                  </w:pPr>
                </w:p>
              </w:tc>
              <w:tc>
                <w:tcPr>
                  <w:tcW w:w="1271" w:type="dxa"/>
                  <w:tcBorders>
                    <w:top w:val="single" w:color="auto" w:sz="4" w:space="0"/>
                    <w:left w:val="single" w:color="auto" w:sz="4" w:space="0"/>
                    <w:bottom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0.525</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2351" w:type="dxa"/>
                  <w:tcBorders>
                    <w:top w:val="single" w:color="auto" w:sz="4" w:space="0"/>
                    <w:bottom w:val="single" w:color="auto" w:sz="12"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堆场扬尘</w:t>
                  </w:r>
                </w:p>
              </w:tc>
              <w:tc>
                <w:tcPr>
                  <w:tcW w:w="1200" w:type="dxa"/>
                  <w:vMerge w:val="continue"/>
                  <w:tcBorders>
                    <w:left w:val="single" w:color="auto" w:sz="4" w:space="0"/>
                    <w:bottom w:val="single" w:color="auto" w:sz="12"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highlight w:val="none"/>
                    </w:rPr>
                  </w:pPr>
                </w:p>
              </w:tc>
              <w:tc>
                <w:tcPr>
                  <w:tcW w:w="2463" w:type="dxa"/>
                  <w:vMerge w:val="continue"/>
                  <w:tcBorders>
                    <w:left w:val="single" w:color="auto" w:sz="4" w:space="0"/>
                    <w:bottom w:val="single" w:color="auto" w:sz="12"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highlight w:val="none"/>
                    </w:rPr>
                  </w:pPr>
                </w:p>
              </w:tc>
              <w:tc>
                <w:tcPr>
                  <w:tcW w:w="1219" w:type="dxa"/>
                  <w:vMerge w:val="continue"/>
                  <w:tcBorders>
                    <w:left w:val="single" w:color="auto" w:sz="4" w:space="0"/>
                    <w:bottom w:val="single" w:color="auto" w:sz="12"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highlight w:val="none"/>
                    </w:rPr>
                  </w:pPr>
                </w:p>
              </w:tc>
              <w:tc>
                <w:tcPr>
                  <w:tcW w:w="1271" w:type="dxa"/>
                  <w:tcBorders>
                    <w:top w:val="single" w:color="auto" w:sz="4" w:space="0"/>
                    <w:left w:val="single" w:color="auto" w:sz="4" w:space="0"/>
                    <w:bottom w:val="single" w:color="auto" w:sz="12"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0.5625</w:t>
                  </w:r>
                </w:p>
              </w:tc>
            </w:tr>
          </w:tbl>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表4.2-</w:t>
            </w:r>
            <w:r>
              <w:rPr>
                <w:rFonts w:hint="eastAsia" w:ascii="Times New Roman" w:hAnsi="Times New Roman" w:eastAsia="宋体" w:cs="Times New Roman"/>
                <w:b/>
                <w:bCs/>
                <w:color w:val="auto"/>
                <w:sz w:val="24"/>
                <w:highlight w:val="none"/>
                <w:lang w:val="en-US" w:eastAsia="zh-CN"/>
              </w:rPr>
              <w:t>7</w:t>
            </w:r>
            <w:r>
              <w:rPr>
                <w:rFonts w:hint="default" w:ascii="Times New Roman" w:hAnsi="Times New Roman" w:eastAsia="宋体" w:cs="Times New Roman"/>
                <w:b/>
                <w:bCs/>
                <w:color w:val="auto"/>
                <w:sz w:val="24"/>
                <w:highlight w:val="none"/>
              </w:rPr>
              <w:t xml:space="preserve"> 本项目大气污染物年排放量核算表</w:t>
            </w:r>
          </w:p>
          <w:tbl>
            <w:tblPr>
              <w:tblStyle w:val="49"/>
              <w:tblW w:w="856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0"/>
              <w:gridCol w:w="3219"/>
              <w:gridCol w:w="416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序号</w:t>
                  </w:r>
                </w:p>
              </w:tc>
              <w:tc>
                <w:tcPr>
                  <w:tcW w:w="321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污染物</w:t>
                  </w:r>
                </w:p>
              </w:tc>
              <w:tc>
                <w:tcPr>
                  <w:tcW w:w="416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年排放量(t/a)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0"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1</w:t>
                  </w:r>
                </w:p>
              </w:tc>
              <w:tc>
                <w:tcPr>
                  <w:tcW w:w="3219"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s="Times New Roman"/>
                      <w:color w:val="auto"/>
                      <w:sz w:val="21"/>
                      <w:szCs w:val="21"/>
                      <w:highlight w:val="none"/>
                      <w:lang w:val="en-US" w:eastAsia="zh-CN"/>
                    </w:rPr>
                  </w:pPr>
                  <w:r>
                    <w:rPr>
                      <w:rFonts w:hint="default" w:cs="Times New Roman"/>
                      <w:color w:val="auto"/>
                      <w:sz w:val="21"/>
                      <w:szCs w:val="21"/>
                      <w:highlight w:val="none"/>
                      <w:lang w:val="en-US" w:eastAsia="zh-CN"/>
                    </w:rPr>
                    <w:t>颗粒物</w:t>
                  </w:r>
                </w:p>
              </w:tc>
              <w:tc>
                <w:tcPr>
                  <w:tcW w:w="4164" w:type="dxa"/>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5.69068</w:t>
                  </w:r>
                </w:p>
              </w:tc>
            </w:tr>
          </w:tbl>
          <w:p>
            <w:pPr>
              <w:pStyle w:val="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4.2.3废气治理措施可行性</w:t>
            </w:r>
          </w:p>
          <w:p>
            <w:pPr>
              <w:numPr>
                <w:ilvl w:val="-1"/>
                <w:numId w:val="0"/>
              </w:num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布袋除尘措施可行性</w:t>
            </w:r>
          </w:p>
          <w:p>
            <w:pPr>
              <w:ind w:firstLine="480" w:firstLineChars="0"/>
              <w:rPr>
                <w:rFonts w:hint="default" w:ascii="Times New Roman" w:hAnsi="Times New Roman" w:eastAsia="宋体" w:cs="Times New Roman"/>
                <w:color w:val="auto"/>
                <w:spacing w:val="2"/>
                <w:highlight w:val="none"/>
              </w:rPr>
            </w:pPr>
            <w:r>
              <w:rPr>
                <w:rFonts w:hint="eastAsia" w:cs="Times New Roman"/>
                <w:color w:val="auto"/>
                <w:highlight w:val="none"/>
                <w:lang w:val="en-US" w:eastAsia="zh-CN"/>
              </w:rPr>
              <w:t>钢磨机粉</w:t>
            </w:r>
            <w:r>
              <w:rPr>
                <w:rFonts w:hint="default" w:ascii="Times New Roman" w:hAnsi="Times New Roman" w:eastAsia="宋体" w:cs="Times New Roman"/>
                <w:color w:val="auto"/>
                <w:highlight w:val="none"/>
                <w:lang w:val="en-GB"/>
              </w:rPr>
              <w:t>尘经</w:t>
            </w:r>
            <w:r>
              <w:rPr>
                <w:rFonts w:hint="default" w:ascii="Times New Roman" w:hAnsi="Times New Roman" w:eastAsia="宋体" w:cs="Times New Roman"/>
                <w:color w:val="auto"/>
                <w:highlight w:val="none"/>
              </w:rPr>
              <w:t>动态全密闭收集</w:t>
            </w:r>
            <w:r>
              <w:rPr>
                <w:rFonts w:hint="default" w:ascii="Times New Roman" w:hAnsi="Times New Roman" w:eastAsia="宋体" w:cs="Times New Roman"/>
                <w:color w:val="auto"/>
                <w:highlight w:val="none"/>
                <w:lang w:val="en-GB"/>
              </w:rPr>
              <w:t>后通过布袋除尘器处理</w:t>
            </w:r>
            <w:r>
              <w:rPr>
                <w:rFonts w:hint="default" w:ascii="Times New Roman" w:hAnsi="Times New Roman" w:eastAsia="宋体" w:cs="Times New Roman"/>
                <w:color w:val="auto"/>
                <w:highlight w:val="none"/>
              </w:rPr>
              <w:t>，粉尘</w:t>
            </w:r>
            <w:r>
              <w:rPr>
                <w:rFonts w:hint="default" w:ascii="Times New Roman" w:hAnsi="Times New Roman" w:eastAsia="宋体" w:cs="Times New Roman"/>
                <w:color w:val="auto"/>
                <w:highlight w:val="none"/>
                <w:lang w:val="en-GB"/>
              </w:rPr>
              <w:t>处理达标后通过</w:t>
            </w:r>
            <w:r>
              <w:rPr>
                <w:rFonts w:hint="default" w:ascii="Times New Roman" w:hAnsi="Times New Roman" w:eastAsia="宋体" w:cs="Times New Roman"/>
                <w:color w:val="auto"/>
                <w:highlight w:val="none"/>
              </w:rPr>
              <w:t>15m高排气筒排放</w:t>
            </w:r>
            <w:r>
              <w:rPr>
                <w:rFonts w:hint="default" w:ascii="Times New Roman" w:hAnsi="Times New Roman" w:eastAsia="宋体" w:cs="Times New Roman"/>
                <w:bCs/>
                <w:snapToGrid w:val="0"/>
                <w:color w:val="auto"/>
                <w:kern w:val="0"/>
                <w:highlight w:val="none"/>
                <w:lang w:val="zh-CN"/>
              </w:rPr>
              <w:t>。根据</w:t>
            </w:r>
            <w:r>
              <w:rPr>
                <w:rFonts w:hint="default" w:ascii="Times New Roman" w:hAnsi="Times New Roman" w:eastAsia="宋体" w:cs="Times New Roman"/>
                <w:color w:val="auto"/>
                <w:spacing w:val="2"/>
                <w:highlight w:val="none"/>
              </w:rPr>
              <w:t>《排放源统计调查产排污核算方法和系数手册》中4210金属废料和碎屑加工处理行业系数表，袋式除尘器处理效率可达95%。</w:t>
            </w:r>
          </w:p>
          <w:p>
            <w:pPr>
              <w:ind w:firstLine="480" w:firstLineChars="0"/>
              <w:rPr>
                <w:rFonts w:hint="default" w:ascii="Times New Roman" w:hAnsi="Times New Roman" w:eastAsia="宋体" w:cs="Times New Roman"/>
                <w:bCs/>
                <w:snapToGrid w:val="0"/>
                <w:color w:val="auto"/>
                <w:kern w:val="0"/>
                <w:highlight w:val="none"/>
                <w:lang w:val="zh-CN"/>
              </w:rPr>
            </w:pPr>
            <w:r>
              <w:rPr>
                <w:rFonts w:hint="default" w:ascii="Times New Roman" w:hAnsi="Times New Roman" w:eastAsia="宋体" w:cs="Times New Roman"/>
                <w:bCs/>
                <w:snapToGrid w:val="0"/>
                <w:color w:val="auto"/>
                <w:kern w:val="0"/>
                <w:highlight w:val="none"/>
                <w:lang w:val="zh-CN"/>
              </w:rPr>
              <w:t>布袋除尘器工作原理为：含尘气体由除尘器进风孔进入中、下箱体、通过滤袋进入上箱体的过程中由于滤袋的各种效应作用将粉尘、气体分离开、粉尘被吸附在滤袋上，而气体穿过滤袋由文氏管进入上箱体，从出风口排出。含尘气体通过滤袋净化的过程中随着时间的增加积在滤袋上的粉尘越来越多，因而使滤袋的阻力逐渐增加，通过滤袋的气体量逐渐减少，为了使除尘器正常工作，所以要把阻力控制在限定的范围内（一般为1176—1471Pa）。喷吹清灰是</w:t>
            </w:r>
            <w:r>
              <w:rPr>
                <w:rFonts w:hint="eastAsia" w:cs="Times New Roman"/>
                <w:bCs/>
                <w:snapToGrid w:val="0"/>
                <w:color w:val="auto"/>
                <w:kern w:val="0"/>
                <w:highlight w:val="none"/>
                <w:lang w:val="en-US" w:eastAsia="zh-CN"/>
              </w:rPr>
              <w:t>由</w:t>
            </w:r>
            <w:r>
              <w:rPr>
                <w:rFonts w:hint="default" w:ascii="Times New Roman" w:hAnsi="Times New Roman" w:eastAsia="宋体" w:cs="Times New Roman"/>
                <w:bCs/>
                <w:snapToGrid w:val="0"/>
                <w:color w:val="auto"/>
                <w:kern w:val="0"/>
                <w:highlight w:val="none"/>
                <w:lang w:val="zh-CN"/>
              </w:rPr>
              <w:t>控制仪发出指令按顺序触发各控制阀，开启脉冲阀，气包内的压缩空气由喷吹管各孔经文氏管喷射到各对应的滤袋内，滤袋得到再生。被清理的粉尘落入灰斗经排灰系统排出机体。由于积附在滤袋上的粉尘定期清理，被净化的气体才能正常通过，以保证除尘器正常工作。清洁脉冲由电-气动控制，清灰时间和间隔时间均可调节。</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该处理工艺具有可操作性强，运行维护便捷，处理效率较高，工艺技术成熟，投资规模适中，可以保证项目产生的粉尘能够稳定达标排放，处理效果良好，因此，本项目</w:t>
            </w:r>
            <w:r>
              <w:rPr>
                <w:rFonts w:hint="default" w:ascii="Times New Roman" w:hAnsi="Times New Roman" w:eastAsia="宋体" w:cs="Times New Roman"/>
                <w:color w:val="auto"/>
                <w:highlight w:val="none"/>
                <w:lang w:val="en-US" w:eastAsia="zh-CN"/>
              </w:rPr>
              <w:t>钢磨</w:t>
            </w:r>
            <w:r>
              <w:rPr>
                <w:rFonts w:hint="default" w:ascii="Times New Roman" w:hAnsi="Times New Roman" w:eastAsia="宋体" w:cs="Times New Roman"/>
                <w:color w:val="auto"/>
                <w:highlight w:val="none"/>
              </w:rPr>
              <w:t>过程产生的粉尘采用布袋除尘器进行处理措施可行。</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snapToGrid w:val="0"/>
                <w:color w:val="auto"/>
                <w:szCs w:val="24"/>
                <w:highlight w:val="none"/>
              </w:rPr>
              <w:t>综上所述，废气经上述措施处理后可达标排放。</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（2）喷雾降尘措施可行性</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切割设备主要通过人工气割操作，产生的粉尘量很小，剪切粉尘通过在生产过程中开启雾炮机，通过喷雾降尘，减少车间无组织粉尘排放；同时要求车间封闭，并定期洒水降尘</w:t>
            </w:r>
            <w:r>
              <w:rPr>
                <w:rFonts w:hint="eastAsia" w:cs="Times New Roman"/>
                <w:color w:val="auto"/>
                <w:highlight w:val="none"/>
                <w:lang w:eastAsia="zh-CN"/>
              </w:rPr>
              <w:t>；</w:t>
            </w:r>
            <w:r>
              <w:rPr>
                <w:rFonts w:hint="default" w:ascii="Times New Roman" w:hAnsi="Times New Roman" w:eastAsia="宋体" w:cs="Times New Roman"/>
                <w:color w:val="auto"/>
                <w:highlight w:val="none"/>
              </w:rPr>
              <w:t>项目卸料粉尘和堆场扬尘采取喷雾降尘措施，运输车辆动力扬尘采取洒水降尘措施，采取以上措施后，有效降低粉尘无组织排放量，措施可行。</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（3）运输车辆防尘管控措施</w:t>
            </w:r>
          </w:p>
          <w:p>
            <w:pPr>
              <w:ind w:firstLine="48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highlight w:val="none"/>
              </w:rPr>
              <w:t>①</w:t>
            </w:r>
            <w:r>
              <w:rPr>
                <w:rFonts w:hint="default" w:ascii="Times New Roman" w:hAnsi="Times New Roman" w:eastAsia="宋体" w:cs="Times New Roman"/>
                <w:snapToGrid w:val="0"/>
                <w:color w:val="auto"/>
                <w:szCs w:val="24"/>
                <w:highlight w:val="none"/>
              </w:rPr>
              <w:t>运输道路进行硬化，每天定时</w:t>
            </w:r>
            <w:r>
              <w:rPr>
                <w:rFonts w:hint="default" w:ascii="Times New Roman" w:hAnsi="Times New Roman" w:eastAsia="宋体" w:cs="Times New Roman"/>
                <w:color w:val="auto"/>
                <w:szCs w:val="24"/>
                <w:highlight w:val="none"/>
              </w:rPr>
              <w:t>对运输道路进行洒水降尘，防止运输过程原辅材料出现“滴、洒、落”现象。</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②定期对进出厂区的运输车辆进行检查，确保出厂运输车辆“净车出厂、洁净上路、密闭运输”，严防滴撒漏。</w:t>
            </w:r>
          </w:p>
          <w:p>
            <w:pPr>
              <w:ind w:firstLine="480"/>
              <w:rPr>
                <w:color w:val="auto"/>
                <w:highlight w:val="none"/>
              </w:rPr>
            </w:pPr>
            <w:r>
              <w:rPr>
                <w:rFonts w:hint="default" w:cs="Times New Roman"/>
                <w:color w:val="auto"/>
                <w:highlight w:val="none"/>
                <w:lang w:eastAsia="zh-CN"/>
              </w:rPr>
              <w:t>（</w:t>
            </w:r>
            <w:r>
              <w:rPr>
                <w:rFonts w:hint="default" w:cs="Times New Roman"/>
                <w:color w:val="auto"/>
                <w:highlight w:val="none"/>
                <w:lang w:val="en-US" w:eastAsia="zh-CN"/>
              </w:rPr>
              <w:t>4</w:t>
            </w:r>
            <w:r>
              <w:rPr>
                <w:rFonts w:hint="default" w:cs="Times New Roman"/>
                <w:color w:val="auto"/>
                <w:highlight w:val="none"/>
                <w:lang w:eastAsia="zh-CN"/>
              </w:rPr>
              <w:t>）</w:t>
            </w:r>
            <w:r>
              <w:rPr>
                <w:rFonts w:hint="eastAsia" w:cs="Times New Roman"/>
                <w:color w:val="auto"/>
                <w:highlight w:val="none"/>
                <w:lang w:val="en-US" w:eastAsia="zh-CN"/>
              </w:rPr>
              <w:t>环境</w:t>
            </w:r>
            <w:r>
              <w:rPr>
                <w:color w:val="auto"/>
                <w:highlight w:val="none"/>
              </w:rPr>
              <w:t>防护距离</w:t>
            </w:r>
          </w:p>
          <w:p>
            <w:pPr>
              <w:ind w:firstLine="480"/>
              <w:rPr>
                <w:rFonts w:hint="eastAsia"/>
                <w:color w:val="auto"/>
                <w:highlight w:val="none"/>
              </w:rPr>
            </w:pPr>
            <w:r>
              <w:rPr>
                <w:rFonts w:hint="eastAsia"/>
                <w:color w:val="auto"/>
                <w:highlight w:val="none"/>
              </w:rPr>
              <w:t>本评价依据《大气有害物质无组织排放卫生防护距离推导技术导则》(GB/T39499-2020)中规定的方法及当地的污染物气象条件来计算卫生防护距离初值，其计算公式如下：</w:t>
            </w:r>
          </w:p>
          <w:p>
            <w:pPr>
              <w:ind w:firstLine="480"/>
              <w:rPr>
                <w:rFonts w:hint="eastAsia"/>
                <w:color w:val="auto"/>
                <w:highlight w:val="none"/>
              </w:rPr>
            </w:pPr>
            <w:r>
              <w:rPr>
                <w:color w:val="auto"/>
                <w:szCs w:val="24"/>
                <w:highlight w:val="none"/>
              </w:rPr>
              <w:fldChar w:fldCharType="begin"/>
            </w:r>
            <w:r>
              <w:rPr>
                <w:color w:val="auto"/>
                <w:highlight w:val="none"/>
              </w:rPr>
              <w:instrText xml:space="preserve"> INCLUDEPICTURE "E:\\微信\\AppData\\ADMINI~1\\AppData\\Local\\Temp\\ksohtml\\wps2E68.tmp.png" \* MERGEFORMAT </w:instrText>
            </w:r>
            <w:r>
              <w:rPr>
                <w:color w:val="auto"/>
                <w:szCs w:val="24"/>
                <w:highlight w:val="none"/>
              </w:rPr>
              <w:fldChar w:fldCharType="separate"/>
            </w:r>
            <w:r>
              <w:rPr>
                <w:color w:val="auto"/>
                <w:szCs w:val="24"/>
                <w:highlight w:val="none"/>
              </w:rPr>
              <w:drawing>
                <wp:inline distT="0" distB="0" distL="114300" distR="114300">
                  <wp:extent cx="1790700" cy="438150"/>
                  <wp:effectExtent l="0" t="0" r="0" b="3175"/>
                  <wp:docPr id="115" name="图片 10" descr="wps2E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0" descr="wps2E68"/>
                          <pic:cNvPicPr>
                            <a:picLocks noChangeAspect="1"/>
                          </pic:cNvPicPr>
                        </pic:nvPicPr>
                        <pic:blipFill>
                          <a:blip r:embed="rId26"/>
                          <a:stretch>
                            <a:fillRect/>
                          </a:stretch>
                        </pic:blipFill>
                        <pic:spPr>
                          <a:xfrm>
                            <a:off x="0" y="0"/>
                            <a:ext cx="1790700" cy="438150"/>
                          </a:xfrm>
                          <a:prstGeom prst="rect">
                            <a:avLst/>
                          </a:prstGeom>
                          <a:noFill/>
                          <a:ln>
                            <a:noFill/>
                          </a:ln>
                        </pic:spPr>
                      </pic:pic>
                    </a:graphicData>
                  </a:graphic>
                </wp:inline>
              </w:drawing>
            </w:r>
            <w:r>
              <w:rPr>
                <w:color w:val="auto"/>
                <w:szCs w:val="24"/>
                <w:highlight w:val="none"/>
              </w:rPr>
              <w:fldChar w:fldCharType="end"/>
            </w:r>
          </w:p>
          <w:p>
            <w:pPr>
              <w:ind w:firstLine="480"/>
              <w:rPr>
                <w:rFonts w:hint="eastAsia"/>
                <w:color w:val="auto"/>
                <w:highlight w:val="none"/>
              </w:rPr>
            </w:pPr>
            <w:r>
              <w:rPr>
                <w:rFonts w:hint="eastAsia"/>
                <w:color w:val="auto"/>
                <w:highlight w:val="none"/>
              </w:rPr>
              <w:t>式中：Cm—大气有害物质环境空气质量的标准限值，mg/m</w:t>
            </w:r>
            <w:r>
              <w:rPr>
                <w:rFonts w:hint="eastAsia"/>
                <w:color w:val="auto"/>
                <w:highlight w:val="none"/>
                <w:vertAlign w:val="superscript"/>
              </w:rPr>
              <w:t>3</w:t>
            </w:r>
            <w:r>
              <w:rPr>
                <w:rFonts w:hint="eastAsia"/>
                <w:color w:val="auto"/>
                <w:highlight w:val="none"/>
              </w:rPr>
              <w:t>；</w:t>
            </w:r>
          </w:p>
          <w:p>
            <w:pPr>
              <w:ind w:firstLine="480"/>
              <w:rPr>
                <w:rFonts w:hint="eastAsia"/>
                <w:color w:val="auto"/>
                <w:highlight w:val="none"/>
              </w:rPr>
            </w:pPr>
            <w:r>
              <w:rPr>
                <w:rFonts w:hint="eastAsia"/>
                <w:color w:val="auto"/>
                <w:highlight w:val="none"/>
              </w:rPr>
              <w:t>Qc—大气有害物质的无组织排放量，kg/h；</w:t>
            </w:r>
          </w:p>
          <w:p>
            <w:pPr>
              <w:ind w:firstLine="480"/>
              <w:rPr>
                <w:rFonts w:hint="eastAsia"/>
                <w:color w:val="auto"/>
                <w:highlight w:val="none"/>
              </w:rPr>
            </w:pPr>
            <w:r>
              <w:rPr>
                <w:rFonts w:hint="eastAsia"/>
                <w:color w:val="auto"/>
                <w:highlight w:val="none"/>
              </w:rPr>
              <w:t>L—大气有害物质卫生防护距离初值，m；</w:t>
            </w:r>
          </w:p>
          <w:p>
            <w:pPr>
              <w:ind w:firstLine="480"/>
              <w:rPr>
                <w:rFonts w:hint="eastAsia"/>
                <w:color w:val="auto"/>
                <w:highlight w:val="none"/>
              </w:rPr>
            </w:pPr>
            <w:r>
              <w:rPr>
                <w:rFonts w:hint="eastAsia"/>
                <w:color w:val="auto"/>
                <w:highlight w:val="none"/>
              </w:rPr>
              <w:t>r——大气有害物质无组织排放源所在生产单元的等效半径 m；按车间面积进行等效换算。</w:t>
            </w:r>
          </w:p>
          <w:p>
            <w:pPr>
              <w:numPr>
                <w:ilvl w:val="-1"/>
                <w:numId w:val="0"/>
              </w:numPr>
              <w:ind w:firstLine="480"/>
              <w:rPr>
                <w:rFonts w:hint="eastAsia"/>
                <w:color w:val="auto"/>
                <w:highlight w:val="none"/>
              </w:rPr>
            </w:pPr>
            <w:r>
              <w:rPr>
                <w:rFonts w:hint="eastAsia"/>
                <w:color w:val="auto"/>
                <w:highlight w:val="none"/>
              </w:rPr>
              <w:t>B、C、D——卫生防护距离初值计算系数，无因次，根据工业企业所在地区近5年平均风速及大气污染源构成类别从下表查取。项目无组织排放废气均定为Ⅱ类。项目所在地区全年平均风速</w:t>
            </w:r>
            <w:r>
              <w:rPr>
                <w:rFonts w:hint="eastAsia"/>
                <w:color w:val="auto"/>
                <w:highlight w:val="none"/>
                <w:lang w:val="en-US" w:eastAsia="zh-CN"/>
              </w:rPr>
              <w:t>4.6</w:t>
            </w:r>
            <w:r>
              <w:rPr>
                <w:rFonts w:hint="eastAsia"/>
                <w:color w:val="auto"/>
                <w:highlight w:val="none"/>
              </w:rPr>
              <w:t>m/s。</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表</w:t>
            </w:r>
            <w:r>
              <w:rPr>
                <w:rFonts w:hint="eastAsia" w:ascii="Times New Roman" w:hAnsi="Times New Roman" w:eastAsia="宋体" w:cs="Times New Roman"/>
                <w:b/>
                <w:bCs/>
                <w:color w:val="auto"/>
                <w:sz w:val="24"/>
                <w:highlight w:val="none"/>
                <w:lang w:val="en-US" w:eastAsia="zh-CN"/>
              </w:rPr>
              <w:t xml:space="preserve">4.2-8  </w:t>
            </w:r>
            <w:r>
              <w:rPr>
                <w:rFonts w:hint="default" w:ascii="Times New Roman" w:hAnsi="Times New Roman" w:eastAsia="宋体" w:cs="Times New Roman"/>
                <w:b/>
                <w:bCs/>
                <w:color w:val="auto"/>
                <w:sz w:val="24"/>
                <w:highlight w:val="none"/>
              </w:rPr>
              <w:t>卫生防护距离初值计算系数</w:t>
            </w:r>
          </w:p>
          <w:tbl>
            <w:tblPr>
              <w:tblStyle w:val="49"/>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887"/>
              <w:gridCol w:w="1187"/>
              <w:gridCol w:w="704"/>
              <w:gridCol w:w="707"/>
              <w:gridCol w:w="714"/>
              <w:gridCol w:w="863"/>
              <w:gridCol w:w="704"/>
              <w:gridCol w:w="555"/>
              <w:gridCol w:w="707"/>
              <w:gridCol w:w="546"/>
              <w:gridCol w:w="98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18"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cs="Times New Roman"/>
                      <w:color w:val="auto"/>
                      <w:sz w:val="21"/>
                      <w:szCs w:val="21"/>
                      <w:highlight w:val="none"/>
                      <w:lang w:eastAsia="zh-CN"/>
                    </w:rPr>
                  </w:pPr>
                  <w:r>
                    <w:rPr>
                      <w:rFonts w:ascii="Times New Roman" w:hAnsi="Times New Roman" w:cs="Times New Roman"/>
                      <w:color w:val="auto"/>
                      <w:sz w:val="21"/>
                      <w:szCs w:val="21"/>
                      <w:highlight w:val="none"/>
                      <w:lang w:eastAsia="zh-CN"/>
                    </w:rPr>
                    <w:t>卫生防护距离初值计算系数</w:t>
                  </w:r>
                </w:p>
              </w:tc>
              <w:tc>
                <w:tcPr>
                  <w:tcW w:w="693"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cs="Times New Roman"/>
                      <w:color w:val="auto"/>
                      <w:sz w:val="21"/>
                      <w:szCs w:val="21"/>
                      <w:highlight w:val="none"/>
                      <w:lang w:eastAsia="zh-CN"/>
                    </w:rPr>
                  </w:pPr>
                  <w:r>
                    <w:rPr>
                      <w:rFonts w:ascii="Times New Roman" w:hAnsi="Times New Roman" w:cs="Times New Roman"/>
                      <w:color w:val="auto"/>
                      <w:sz w:val="21"/>
                      <w:szCs w:val="21"/>
                      <w:highlight w:val="none"/>
                      <w:lang w:eastAsia="zh-CN"/>
                    </w:rPr>
                    <w:t>工业企业在地区近五年平均风速</w:t>
                  </w:r>
                  <w:r>
                    <w:rPr>
                      <w:rFonts w:hint="eastAsia" w:ascii="Times New Roman" w:hAnsi="Times New Roman" w:cs="Times New Roman"/>
                      <w:color w:val="auto"/>
                      <w:sz w:val="21"/>
                      <w:szCs w:val="21"/>
                      <w:highlight w:val="none"/>
                      <w:lang w:eastAsia="zh-CN"/>
                    </w:rPr>
                    <w:t>（</w:t>
                  </w:r>
                  <w:r>
                    <w:rPr>
                      <w:rFonts w:ascii="Times New Roman" w:hAnsi="Times New Roman" w:cs="Times New Roman"/>
                      <w:color w:val="auto"/>
                      <w:sz w:val="21"/>
                      <w:szCs w:val="21"/>
                      <w:highlight w:val="none"/>
                      <w:lang w:eastAsia="zh-CN"/>
                    </w:rPr>
                    <w:t>m/s</w:t>
                  </w:r>
                  <w:r>
                    <w:rPr>
                      <w:rFonts w:hint="eastAsia"/>
                      <w:color w:val="auto"/>
                      <w:sz w:val="21"/>
                      <w:szCs w:val="21"/>
                      <w:highlight w:val="none"/>
                      <w:lang w:eastAsia="zh-CN"/>
                    </w:rPr>
                    <w:t>）</w:t>
                  </w:r>
                </w:p>
              </w:tc>
              <w:tc>
                <w:tcPr>
                  <w:tcW w:w="3787" w:type="pct"/>
                  <w:gridSpan w:val="9"/>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cs="Times New Roman"/>
                      <w:color w:val="auto"/>
                      <w:sz w:val="21"/>
                      <w:szCs w:val="21"/>
                      <w:highlight w:val="none"/>
                      <w:lang w:eastAsia="zh-CN"/>
                    </w:rPr>
                  </w:pPr>
                  <w:r>
                    <w:rPr>
                      <w:rFonts w:ascii="Times New Roman" w:hAnsi="Times New Roman" w:cs="Times New Roman"/>
                      <w:color w:val="auto"/>
                      <w:sz w:val="21"/>
                      <w:szCs w:val="21"/>
                      <w:highlight w:val="none"/>
                      <w:lang w:eastAsia="zh-CN"/>
                    </w:rPr>
                    <w:t>卫生防护距离L/m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1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cs="Times New Roman"/>
                      <w:color w:val="auto"/>
                      <w:sz w:val="21"/>
                      <w:szCs w:val="21"/>
                      <w:highlight w:val="none"/>
                    </w:rPr>
                  </w:pPr>
                </w:p>
              </w:tc>
              <w:tc>
                <w:tcPr>
                  <w:tcW w:w="69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cs="Times New Roman"/>
                      <w:color w:val="auto"/>
                      <w:sz w:val="21"/>
                      <w:szCs w:val="21"/>
                      <w:highlight w:val="none"/>
                    </w:rPr>
                  </w:pPr>
                </w:p>
              </w:tc>
              <w:tc>
                <w:tcPr>
                  <w:tcW w:w="1241"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L≤1000 m</w:t>
                  </w:r>
                </w:p>
              </w:tc>
              <w:tc>
                <w:tcPr>
                  <w:tcW w:w="1239"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1000＜L≤2000 m</w:t>
                  </w:r>
                </w:p>
              </w:tc>
              <w:tc>
                <w:tcPr>
                  <w:tcW w:w="1306"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L＞2000 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1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cs="Times New Roman"/>
                      <w:color w:val="auto"/>
                      <w:sz w:val="21"/>
                      <w:szCs w:val="21"/>
                      <w:highlight w:val="none"/>
                    </w:rPr>
                  </w:pPr>
                </w:p>
              </w:tc>
              <w:tc>
                <w:tcPr>
                  <w:tcW w:w="69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cs="Times New Roman"/>
                      <w:color w:val="auto"/>
                      <w:sz w:val="21"/>
                      <w:szCs w:val="21"/>
                      <w:highlight w:val="none"/>
                    </w:rPr>
                  </w:pPr>
                </w:p>
              </w:tc>
              <w:tc>
                <w:tcPr>
                  <w:tcW w:w="3787" w:type="pct"/>
                  <w:gridSpan w:val="9"/>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cs="Times New Roman"/>
                      <w:color w:val="auto"/>
                      <w:sz w:val="21"/>
                      <w:szCs w:val="21"/>
                      <w:highlight w:val="none"/>
                      <w:lang w:eastAsia="zh-CN"/>
                    </w:rPr>
                  </w:pPr>
                  <w:r>
                    <w:rPr>
                      <w:rFonts w:ascii="Times New Roman" w:hAnsi="Times New Roman" w:cs="Times New Roman"/>
                      <w:color w:val="auto"/>
                      <w:sz w:val="21"/>
                      <w:szCs w:val="21"/>
                      <w:highlight w:val="none"/>
                      <w:lang w:eastAsia="zh-CN"/>
                    </w:rPr>
                    <w:t>工业企业大气污染源构成类型</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1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cs="Times New Roman"/>
                      <w:color w:val="auto"/>
                      <w:sz w:val="21"/>
                      <w:szCs w:val="21"/>
                      <w:highlight w:val="none"/>
                      <w:lang w:eastAsia="zh-CN"/>
                    </w:rPr>
                  </w:pPr>
                </w:p>
              </w:tc>
              <w:tc>
                <w:tcPr>
                  <w:tcW w:w="69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cs="Times New Roman"/>
                      <w:color w:val="auto"/>
                      <w:sz w:val="21"/>
                      <w:szCs w:val="21"/>
                      <w:highlight w:val="none"/>
                      <w:lang w:eastAsia="zh-CN"/>
                    </w:rPr>
                  </w:pPr>
                </w:p>
              </w:tc>
              <w:tc>
                <w:tcPr>
                  <w:tcW w:w="41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I</w:t>
                  </w:r>
                </w:p>
              </w:tc>
              <w:tc>
                <w:tcPr>
                  <w:tcW w:w="4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II</w:t>
                  </w:r>
                </w:p>
              </w:tc>
              <w:tc>
                <w:tcPr>
                  <w:tcW w:w="41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eastAsia="zh-CN"/>
                    </w:rPr>
                    <w:t>Ⅲ</w:t>
                  </w:r>
                </w:p>
              </w:tc>
              <w:tc>
                <w:tcPr>
                  <w:tcW w:w="50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I</w:t>
                  </w:r>
                </w:p>
              </w:tc>
              <w:tc>
                <w:tcPr>
                  <w:tcW w:w="41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II</w:t>
                  </w:r>
                </w:p>
              </w:tc>
              <w:tc>
                <w:tcPr>
                  <w:tcW w:w="3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eastAsia="zh-CN"/>
                    </w:rPr>
                    <w:t>Ⅲ</w:t>
                  </w:r>
                </w:p>
              </w:tc>
              <w:tc>
                <w:tcPr>
                  <w:tcW w:w="4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I</w:t>
                  </w:r>
                </w:p>
              </w:tc>
              <w:tc>
                <w:tcPr>
                  <w:tcW w:w="3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II</w:t>
                  </w:r>
                </w:p>
              </w:tc>
              <w:tc>
                <w:tcPr>
                  <w:tcW w:w="57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eastAsia="zh-CN"/>
                    </w:rPr>
                    <w:t>Ⅲ</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18"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A</w:t>
                  </w:r>
                </w:p>
              </w:tc>
              <w:tc>
                <w:tcPr>
                  <w:tcW w:w="69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w:t>
                  </w:r>
                </w:p>
              </w:tc>
              <w:tc>
                <w:tcPr>
                  <w:tcW w:w="41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400</w:t>
                  </w:r>
                </w:p>
              </w:tc>
              <w:tc>
                <w:tcPr>
                  <w:tcW w:w="4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400</w:t>
                  </w:r>
                </w:p>
              </w:tc>
              <w:tc>
                <w:tcPr>
                  <w:tcW w:w="41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400</w:t>
                  </w:r>
                </w:p>
              </w:tc>
              <w:tc>
                <w:tcPr>
                  <w:tcW w:w="50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400</w:t>
                  </w:r>
                </w:p>
              </w:tc>
              <w:tc>
                <w:tcPr>
                  <w:tcW w:w="41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400</w:t>
                  </w:r>
                </w:p>
              </w:tc>
              <w:tc>
                <w:tcPr>
                  <w:tcW w:w="3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400</w:t>
                  </w:r>
                </w:p>
              </w:tc>
              <w:tc>
                <w:tcPr>
                  <w:tcW w:w="4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80</w:t>
                  </w:r>
                </w:p>
              </w:tc>
              <w:tc>
                <w:tcPr>
                  <w:tcW w:w="3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80</w:t>
                  </w:r>
                </w:p>
              </w:tc>
              <w:tc>
                <w:tcPr>
                  <w:tcW w:w="57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80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1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cs="Times New Roman"/>
                      <w:color w:val="auto"/>
                      <w:sz w:val="21"/>
                      <w:szCs w:val="21"/>
                      <w:highlight w:val="none"/>
                    </w:rPr>
                  </w:pPr>
                </w:p>
              </w:tc>
              <w:tc>
                <w:tcPr>
                  <w:tcW w:w="69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2~4</w:t>
                  </w:r>
                </w:p>
              </w:tc>
              <w:tc>
                <w:tcPr>
                  <w:tcW w:w="41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700</w:t>
                  </w:r>
                </w:p>
              </w:tc>
              <w:tc>
                <w:tcPr>
                  <w:tcW w:w="4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470</w:t>
                  </w:r>
                </w:p>
              </w:tc>
              <w:tc>
                <w:tcPr>
                  <w:tcW w:w="41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350</w:t>
                  </w:r>
                </w:p>
              </w:tc>
              <w:tc>
                <w:tcPr>
                  <w:tcW w:w="50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700</w:t>
                  </w:r>
                </w:p>
              </w:tc>
              <w:tc>
                <w:tcPr>
                  <w:tcW w:w="41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470</w:t>
                  </w:r>
                </w:p>
              </w:tc>
              <w:tc>
                <w:tcPr>
                  <w:tcW w:w="3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350</w:t>
                  </w:r>
                </w:p>
              </w:tc>
              <w:tc>
                <w:tcPr>
                  <w:tcW w:w="4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380</w:t>
                  </w:r>
                </w:p>
              </w:tc>
              <w:tc>
                <w:tcPr>
                  <w:tcW w:w="3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250</w:t>
                  </w:r>
                </w:p>
              </w:tc>
              <w:tc>
                <w:tcPr>
                  <w:tcW w:w="57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190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1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cs="Times New Roman"/>
                      <w:color w:val="auto"/>
                      <w:sz w:val="21"/>
                      <w:szCs w:val="21"/>
                      <w:highlight w:val="none"/>
                    </w:rPr>
                  </w:pPr>
                </w:p>
              </w:tc>
              <w:tc>
                <w:tcPr>
                  <w:tcW w:w="69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＞4</w:t>
                  </w:r>
                </w:p>
              </w:tc>
              <w:tc>
                <w:tcPr>
                  <w:tcW w:w="41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530</w:t>
                  </w:r>
                </w:p>
              </w:tc>
              <w:tc>
                <w:tcPr>
                  <w:tcW w:w="4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350</w:t>
                  </w:r>
                </w:p>
              </w:tc>
              <w:tc>
                <w:tcPr>
                  <w:tcW w:w="41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260</w:t>
                  </w:r>
                </w:p>
              </w:tc>
              <w:tc>
                <w:tcPr>
                  <w:tcW w:w="50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530</w:t>
                  </w:r>
                </w:p>
              </w:tc>
              <w:tc>
                <w:tcPr>
                  <w:tcW w:w="41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350</w:t>
                  </w:r>
                </w:p>
              </w:tc>
              <w:tc>
                <w:tcPr>
                  <w:tcW w:w="3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260</w:t>
                  </w:r>
                </w:p>
              </w:tc>
              <w:tc>
                <w:tcPr>
                  <w:tcW w:w="4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cs="Times New Roman"/>
                      <w:color w:val="auto"/>
                      <w:sz w:val="21"/>
                      <w:szCs w:val="21"/>
                      <w:highlight w:val="none"/>
                    </w:rPr>
                  </w:pPr>
                  <w:r>
                    <w:rPr>
                      <w:rFonts w:ascii="Times New Roman" w:hAnsi="Times New Roman" w:cs="Times New Roman"/>
                      <w:color w:val="auto"/>
                      <w:sz w:val="21"/>
                      <w:szCs w:val="21"/>
                      <w:highlight w:val="none"/>
                    </w:rPr>
                    <w:t>290</w:t>
                  </w:r>
                </w:p>
              </w:tc>
              <w:tc>
                <w:tcPr>
                  <w:tcW w:w="3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cs="Times New Roman"/>
                      <w:color w:val="auto"/>
                      <w:sz w:val="21"/>
                      <w:szCs w:val="21"/>
                      <w:highlight w:val="none"/>
                      <w:lang w:eastAsia="zh-CN"/>
                    </w:rPr>
                  </w:pPr>
                  <w:r>
                    <w:rPr>
                      <w:rFonts w:ascii="Times New Roman" w:hAnsi="Times New Roman" w:cs="Times New Roman"/>
                      <w:color w:val="auto"/>
                      <w:sz w:val="21"/>
                      <w:szCs w:val="21"/>
                      <w:highlight w:val="none"/>
                      <w:lang w:eastAsia="zh-CN"/>
                    </w:rPr>
                    <w:t>190</w:t>
                  </w:r>
                </w:p>
              </w:tc>
              <w:tc>
                <w:tcPr>
                  <w:tcW w:w="57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cs="Times New Roman"/>
                      <w:color w:val="auto"/>
                      <w:sz w:val="21"/>
                      <w:szCs w:val="21"/>
                      <w:highlight w:val="none"/>
                      <w:lang w:eastAsia="zh-CN"/>
                    </w:rPr>
                  </w:pPr>
                  <w:r>
                    <w:rPr>
                      <w:rFonts w:ascii="Times New Roman" w:hAnsi="Times New Roman" w:cs="Times New Roman"/>
                      <w:color w:val="auto"/>
                      <w:sz w:val="21"/>
                      <w:szCs w:val="21"/>
                      <w:highlight w:val="none"/>
                      <w:lang w:eastAsia="zh-CN"/>
                    </w:rPr>
                    <w:t>110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18"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cs="Times New Roman"/>
                      <w:color w:val="auto"/>
                      <w:sz w:val="21"/>
                      <w:szCs w:val="21"/>
                      <w:highlight w:val="none"/>
                      <w:lang w:eastAsia="zh-CN"/>
                    </w:rPr>
                  </w:pPr>
                  <w:r>
                    <w:rPr>
                      <w:rFonts w:ascii="Times New Roman" w:hAnsi="Times New Roman" w:cs="Times New Roman"/>
                      <w:color w:val="auto"/>
                      <w:sz w:val="21"/>
                      <w:szCs w:val="21"/>
                      <w:highlight w:val="none"/>
                      <w:lang w:eastAsia="zh-CN"/>
                    </w:rPr>
                    <w:t>B</w:t>
                  </w:r>
                </w:p>
              </w:tc>
              <w:tc>
                <w:tcPr>
                  <w:tcW w:w="69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cs="Times New Roman"/>
                      <w:color w:val="auto"/>
                      <w:sz w:val="21"/>
                      <w:szCs w:val="21"/>
                      <w:highlight w:val="none"/>
                      <w:lang w:eastAsia="zh-CN"/>
                    </w:rPr>
                  </w:pPr>
                  <w:r>
                    <w:rPr>
                      <w:rFonts w:ascii="Times New Roman" w:hAnsi="Times New Roman" w:cs="Times New Roman"/>
                      <w:color w:val="auto"/>
                      <w:sz w:val="21"/>
                      <w:szCs w:val="21"/>
                      <w:highlight w:val="none"/>
                      <w:lang w:eastAsia="zh-CN"/>
                    </w:rPr>
                    <w:t>＜2</w:t>
                  </w:r>
                </w:p>
              </w:tc>
              <w:tc>
                <w:tcPr>
                  <w:tcW w:w="1241"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cs="Times New Roman"/>
                      <w:color w:val="auto"/>
                      <w:sz w:val="21"/>
                      <w:szCs w:val="21"/>
                      <w:highlight w:val="none"/>
                      <w:lang w:eastAsia="zh-CN"/>
                    </w:rPr>
                  </w:pPr>
                  <w:r>
                    <w:rPr>
                      <w:rFonts w:ascii="Times New Roman" w:hAnsi="Times New Roman" w:cs="Times New Roman"/>
                      <w:color w:val="auto"/>
                      <w:sz w:val="21"/>
                      <w:szCs w:val="21"/>
                      <w:highlight w:val="none"/>
                      <w:lang w:eastAsia="zh-CN"/>
                    </w:rPr>
                    <w:t>0.01</w:t>
                  </w:r>
                </w:p>
              </w:tc>
              <w:tc>
                <w:tcPr>
                  <w:tcW w:w="1239"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cs="Times New Roman"/>
                      <w:color w:val="auto"/>
                      <w:sz w:val="21"/>
                      <w:szCs w:val="21"/>
                      <w:highlight w:val="none"/>
                      <w:lang w:eastAsia="zh-CN"/>
                    </w:rPr>
                  </w:pPr>
                  <w:r>
                    <w:rPr>
                      <w:rFonts w:ascii="Times New Roman" w:hAnsi="Times New Roman" w:cs="Times New Roman"/>
                      <w:color w:val="auto"/>
                      <w:sz w:val="21"/>
                      <w:szCs w:val="21"/>
                      <w:highlight w:val="none"/>
                      <w:lang w:eastAsia="zh-CN"/>
                    </w:rPr>
                    <w:t>0.015</w:t>
                  </w:r>
                </w:p>
              </w:tc>
              <w:tc>
                <w:tcPr>
                  <w:tcW w:w="1306"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cs="Times New Roman"/>
                      <w:color w:val="auto"/>
                      <w:sz w:val="21"/>
                      <w:szCs w:val="21"/>
                      <w:highlight w:val="none"/>
                      <w:lang w:eastAsia="zh-CN"/>
                    </w:rPr>
                  </w:pPr>
                  <w:r>
                    <w:rPr>
                      <w:rFonts w:ascii="Times New Roman" w:hAnsi="Times New Roman" w:cs="Times New Roman"/>
                      <w:color w:val="auto"/>
                      <w:sz w:val="21"/>
                      <w:szCs w:val="21"/>
                      <w:highlight w:val="none"/>
                      <w:lang w:eastAsia="zh-CN"/>
                    </w:rPr>
                    <w:t>0.015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1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1"/>
                      <w:szCs w:val="21"/>
                      <w:highlight w:val="none"/>
                    </w:rPr>
                  </w:pPr>
                </w:p>
              </w:tc>
              <w:tc>
                <w:tcPr>
                  <w:tcW w:w="69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cs="Times New Roman"/>
                      <w:color w:val="auto"/>
                      <w:sz w:val="21"/>
                      <w:szCs w:val="21"/>
                      <w:highlight w:val="none"/>
                      <w:lang w:eastAsia="zh-CN"/>
                    </w:rPr>
                  </w:pPr>
                  <w:r>
                    <w:rPr>
                      <w:rFonts w:ascii="Times New Roman" w:hAnsi="Times New Roman" w:cs="Times New Roman"/>
                      <w:color w:val="auto"/>
                      <w:sz w:val="21"/>
                      <w:szCs w:val="21"/>
                      <w:highlight w:val="none"/>
                      <w:lang w:eastAsia="zh-CN"/>
                    </w:rPr>
                    <w:t>＞2</w:t>
                  </w:r>
                </w:p>
              </w:tc>
              <w:tc>
                <w:tcPr>
                  <w:tcW w:w="1241"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cs="Times New Roman"/>
                      <w:color w:val="auto"/>
                      <w:sz w:val="21"/>
                      <w:szCs w:val="21"/>
                      <w:highlight w:val="none"/>
                      <w:lang w:eastAsia="zh-CN"/>
                    </w:rPr>
                  </w:pPr>
                  <w:r>
                    <w:rPr>
                      <w:rFonts w:ascii="Times New Roman" w:hAnsi="Times New Roman" w:cs="Times New Roman"/>
                      <w:color w:val="auto"/>
                      <w:sz w:val="21"/>
                      <w:szCs w:val="21"/>
                      <w:highlight w:val="none"/>
                      <w:lang w:eastAsia="zh-CN"/>
                    </w:rPr>
                    <w:t>0.021</w:t>
                  </w:r>
                </w:p>
              </w:tc>
              <w:tc>
                <w:tcPr>
                  <w:tcW w:w="1239"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cs="Times New Roman"/>
                      <w:color w:val="auto"/>
                      <w:sz w:val="21"/>
                      <w:szCs w:val="21"/>
                      <w:highlight w:val="none"/>
                      <w:lang w:eastAsia="zh-CN"/>
                    </w:rPr>
                  </w:pPr>
                  <w:r>
                    <w:rPr>
                      <w:rFonts w:ascii="Times New Roman" w:hAnsi="Times New Roman" w:cs="Times New Roman"/>
                      <w:color w:val="auto"/>
                      <w:sz w:val="21"/>
                      <w:szCs w:val="21"/>
                      <w:highlight w:val="none"/>
                      <w:lang w:eastAsia="zh-CN"/>
                    </w:rPr>
                    <w:t>0.036</w:t>
                  </w:r>
                </w:p>
              </w:tc>
              <w:tc>
                <w:tcPr>
                  <w:tcW w:w="1306"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cs="Times New Roman"/>
                      <w:color w:val="auto"/>
                      <w:sz w:val="21"/>
                      <w:szCs w:val="21"/>
                      <w:highlight w:val="none"/>
                      <w:lang w:eastAsia="zh-CN"/>
                    </w:rPr>
                  </w:pPr>
                  <w:r>
                    <w:rPr>
                      <w:rFonts w:ascii="Times New Roman" w:hAnsi="Times New Roman" w:cs="Times New Roman"/>
                      <w:color w:val="auto"/>
                      <w:sz w:val="21"/>
                      <w:szCs w:val="21"/>
                      <w:highlight w:val="none"/>
                      <w:lang w:eastAsia="zh-CN"/>
                    </w:rPr>
                    <w:t>0.036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18"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cs="Times New Roman"/>
                      <w:color w:val="auto"/>
                      <w:sz w:val="21"/>
                      <w:szCs w:val="21"/>
                      <w:highlight w:val="none"/>
                      <w:lang w:eastAsia="zh-CN"/>
                    </w:rPr>
                  </w:pPr>
                  <w:r>
                    <w:rPr>
                      <w:rFonts w:ascii="Times New Roman" w:hAnsi="Times New Roman" w:cs="Times New Roman"/>
                      <w:color w:val="auto"/>
                      <w:sz w:val="21"/>
                      <w:szCs w:val="21"/>
                      <w:highlight w:val="none"/>
                      <w:lang w:eastAsia="zh-CN"/>
                    </w:rPr>
                    <w:t>C</w:t>
                  </w:r>
                </w:p>
              </w:tc>
              <w:tc>
                <w:tcPr>
                  <w:tcW w:w="69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cs="Times New Roman"/>
                      <w:color w:val="auto"/>
                      <w:sz w:val="21"/>
                      <w:szCs w:val="21"/>
                      <w:highlight w:val="none"/>
                      <w:lang w:eastAsia="zh-CN"/>
                    </w:rPr>
                  </w:pPr>
                  <w:r>
                    <w:rPr>
                      <w:rFonts w:ascii="Times New Roman" w:hAnsi="Times New Roman" w:cs="Times New Roman"/>
                      <w:color w:val="auto"/>
                      <w:sz w:val="21"/>
                      <w:szCs w:val="21"/>
                      <w:highlight w:val="none"/>
                      <w:lang w:eastAsia="zh-CN"/>
                    </w:rPr>
                    <w:t>＜2</w:t>
                  </w:r>
                </w:p>
              </w:tc>
              <w:tc>
                <w:tcPr>
                  <w:tcW w:w="1241"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cs="Times New Roman"/>
                      <w:color w:val="auto"/>
                      <w:sz w:val="21"/>
                      <w:szCs w:val="21"/>
                      <w:highlight w:val="none"/>
                      <w:lang w:eastAsia="zh-CN"/>
                    </w:rPr>
                  </w:pPr>
                  <w:r>
                    <w:rPr>
                      <w:rFonts w:ascii="Times New Roman" w:hAnsi="Times New Roman" w:cs="Times New Roman"/>
                      <w:color w:val="auto"/>
                      <w:sz w:val="21"/>
                      <w:szCs w:val="21"/>
                      <w:highlight w:val="none"/>
                      <w:lang w:eastAsia="zh-CN"/>
                    </w:rPr>
                    <w:t>1.85</w:t>
                  </w:r>
                </w:p>
              </w:tc>
              <w:tc>
                <w:tcPr>
                  <w:tcW w:w="1239"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cs="Times New Roman"/>
                      <w:color w:val="auto"/>
                      <w:sz w:val="21"/>
                      <w:szCs w:val="21"/>
                      <w:highlight w:val="none"/>
                      <w:lang w:eastAsia="zh-CN"/>
                    </w:rPr>
                  </w:pPr>
                  <w:r>
                    <w:rPr>
                      <w:rFonts w:ascii="Times New Roman" w:hAnsi="Times New Roman" w:cs="Times New Roman"/>
                      <w:color w:val="auto"/>
                      <w:sz w:val="21"/>
                      <w:szCs w:val="21"/>
                      <w:highlight w:val="none"/>
                      <w:lang w:eastAsia="zh-CN"/>
                    </w:rPr>
                    <w:t>1.79</w:t>
                  </w:r>
                </w:p>
              </w:tc>
              <w:tc>
                <w:tcPr>
                  <w:tcW w:w="1306"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cs="Times New Roman"/>
                      <w:color w:val="auto"/>
                      <w:sz w:val="21"/>
                      <w:szCs w:val="21"/>
                      <w:highlight w:val="none"/>
                      <w:lang w:eastAsia="zh-CN"/>
                    </w:rPr>
                  </w:pPr>
                  <w:r>
                    <w:rPr>
                      <w:rFonts w:ascii="Times New Roman" w:hAnsi="Times New Roman" w:cs="Times New Roman"/>
                      <w:color w:val="auto"/>
                      <w:sz w:val="21"/>
                      <w:szCs w:val="21"/>
                      <w:highlight w:val="none"/>
                      <w:lang w:eastAsia="zh-CN"/>
                    </w:rPr>
                    <w:t>1.79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1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1"/>
                      <w:szCs w:val="21"/>
                      <w:highlight w:val="none"/>
                    </w:rPr>
                  </w:pPr>
                </w:p>
              </w:tc>
              <w:tc>
                <w:tcPr>
                  <w:tcW w:w="69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cs="Times New Roman"/>
                      <w:color w:val="auto"/>
                      <w:sz w:val="21"/>
                      <w:szCs w:val="21"/>
                      <w:highlight w:val="none"/>
                      <w:lang w:eastAsia="zh-CN"/>
                    </w:rPr>
                  </w:pPr>
                  <w:r>
                    <w:rPr>
                      <w:rFonts w:ascii="Times New Roman" w:hAnsi="Times New Roman" w:cs="Times New Roman"/>
                      <w:color w:val="auto"/>
                      <w:sz w:val="21"/>
                      <w:szCs w:val="21"/>
                      <w:highlight w:val="none"/>
                      <w:lang w:eastAsia="zh-CN"/>
                    </w:rPr>
                    <w:t>＞2</w:t>
                  </w:r>
                </w:p>
              </w:tc>
              <w:tc>
                <w:tcPr>
                  <w:tcW w:w="1241"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cs="Times New Roman"/>
                      <w:color w:val="auto"/>
                      <w:sz w:val="21"/>
                      <w:szCs w:val="21"/>
                      <w:highlight w:val="none"/>
                      <w:lang w:eastAsia="zh-CN"/>
                    </w:rPr>
                  </w:pPr>
                  <w:r>
                    <w:rPr>
                      <w:rFonts w:ascii="Times New Roman" w:hAnsi="Times New Roman" w:cs="Times New Roman"/>
                      <w:color w:val="auto"/>
                      <w:sz w:val="21"/>
                      <w:szCs w:val="21"/>
                      <w:highlight w:val="none"/>
                      <w:lang w:eastAsia="zh-CN"/>
                    </w:rPr>
                    <w:t>1.85</w:t>
                  </w:r>
                </w:p>
              </w:tc>
              <w:tc>
                <w:tcPr>
                  <w:tcW w:w="1239"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cs="Times New Roman"/>
                      <w:color w:val="auto"/>
                      <w:sz w:val="21"/>
                      <w:szCs w:val="21"/>
                      <w:highlight w:val="none"/>
                      <w:lang w:eastAsia="zh-CN"/>
                    </w:rPr>
                  </w:pPr>
                  <w:r>
                    <w:rPr>
                      <w:rFonts w:ascii="Times New Roman" w:hAnsi="Times New Roman" w:cs="Times New Roman"/>
                      <w:color w:val="auto"/>
                      <w:sz w:val="21"/>
                      <w:szCs w:val="21"/>
                      <w:highlight w:val="none"/>
                      <w:lang w:eastAsia="zh-CN"/>
                    </w:rPr>
                    <w:t>1.77</w:t>
                  </w:r>
                </w:p>
              </w:tc>
              <w:tc>
                <w:tcPr>
                  <w:tcW w:w="1306"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cs="Times New Roman"/>
                      <w:color w:val="auto"/>
                      <w:sz w:val="21"/>
                      <w:szCs w:val="21"/>
                      <w:highlight w:val="none"/>
                      <w:lang w:eastAsia="zh-CN"/>
                    </w:rPr>
                  </w:pPr>
                  <w:r>
                    <w:rPr>
                      <w:rFonts w:ascii="Times New Roman" w:hAnsi="Times New Roman" w:cs="Times New Roman"/>
                      <w:color w:val="auto"/>
                      <w:sz w:val="21"/>
                      <w:szCs w:val="21"/>
                      <w:highlight w:val="none"/>
                      <w:lang w:eastAsia="zh-CN"/>
                    </w:rPr>
                    <w:t>1.77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18"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cs="Times New Roman"/>
                      <w:color w:val="auto"/>
                      <w:sz w:val="21"/>
                      <w:szCs w:val="21"/>
                      <w:highlight w:val="none"/>
                      <w:lang w:eastAsia="zh-CN"/>
                    </w:rPr>
                  </w:pPr>
                  <w:r>
                    <w:rPr>
                      <w:rFonts w:ascii="Times New Roman" w:hAnsi="Times New Roman" w:cs="Times New Roman"/>
                      <w:color w:val="auto"/>
                      <w:sz w:val="21"/>
                      <w:szCs w:val="21"/>
                      <w:highlight w:val="none"/>
                      <w:lang w:eastAsia="zh-CN"/>
                    </w:rPr>
                    <w:t>D</w:t>
                  </w:r>
                </w:p>
              </w:tc>
              <w:tc>
                <w:tcPr>
                  <w:tcW w:w="69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cs="Times New Roman"/>
                      <w:color w:val="auto"/>
                      <w:sz w:val="21"/>
                      <w:szCs w:val="21"/>
                      <w:highlight w:val="none"/>
                      <w:lang w:eastAsia="zh-CN"/>
                    </w:rPr>
                  </w:pPr>
                  <w:r>
                    <w:rPr>
                      <w:rFonts w:ascii="Times New Roman" w:hAnsi="Times New Roman" w:cs="Times New Roman"/>
                      <w:color w:val="auto"/>
                      <w:sz w:val="21"/>
                      <w:szCs w:val="21"/>
                      <w:highlight w:val="none"/>
                      <w:lang w:eastAsia="zh-CN"/>
                    </w:rPr>
                    <w:t>＜2</w:t>
                  </w:r>
                </w:p>
              </w:tc>
              <w:tc>
                <w:tcPr>
                  <w:tcW w:w="1241"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cs="Times New Roman"/>
                      <w:color w:val="auto"/>
                      <w:sz w:val="21"/>
                      <w:szCs w:val="21"/>
                      <w:highlight w:val="none"/>
                      <w:lang w:eastAsia="zh-CN"/>
                    </w:rPr>
                  </w:pPr>
                  <w:r>
                    <w:rPr>
                      <w:rFonts w:ascii="Times New Roman" w:hAnsi="Times New Roman" w:cs="Times New Roman"/>
                      <w:color w:val="auto"/>
                      <w:sz w:val="21"/>
                      <w:szCs w:val="21"/>
                      <w:highlight w:val="none"/>
                      <w:lang w:eastAsia="zh-CN"/>
                    </w:rPr>
                    <w:t>0.78</w:t>
                  </w:r>
                </w:p>
              </w:tc>
              <w:tc>
                <w:tcPr>
                  <w:tcW w:w="1239"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cs="Times New Roman"/>
                      <w:color w:val="auto"/>
                      <w:sz w:val="21"/>
                      <w:szCs w:val="21"/>
                      <w:highlight w:val="none"/>
                      <w:lang w:eastAsia="zh-CN"/>
                    </w:rPr>
                  </w:pPr>
                  <w:r>
                    <w:rPr>
                      <w:rFonts w:ascii="Times New Roman" w:hAnsi="Times New Roman" w:cs="Times New Roman"/>
                      <w:color w:val="auto"/>
                      <w:sz w:val="21"/>
                      <w:szCs w:val="21"/>
                      <w:highlight w:val="none"/>
                      <w:lang w:eastAsia="zh-CN"/>
                    </w:rPr>
                    <w:t>0.78</w:t>
                  </w:r>
                </w:p>
              </w:tc>
              <w:tc>
                <w:tcPr>
                  <w:tcW w:w="1306"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cs="Times New Roman"/>
                      <w:color w:val="auto"/>
                      <w:sz w:val="21"/>
                      <w:szCs w:val="21"/>
                      <w:highlight w:val="none"/>
                      <w:lang w:eastAsia="zh-CN"/>
                    </w:rPr>
                  </w:pPr>
                  <w:r>
                    <w:rPr>
                      <w:rFonts w:ascii="Times New Roman" w:hAnsi="Times New Roman" w:cs="Times New Roman"/>
                      <w:color w:val="auto"/>
                      <w:sz w:val="21"/>
                      <w:szCs w:val="21"/>
                      <w:highlight w:val="none"/>
                      <w:lang w:eastAsia="zh-CN"/>
                    </w:rPr>
                    <w:t>0.57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1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color w:val="auto"/>
                      <w:sz w:val="21"/>
                      <w:szCs w:val="21"/>
                      <w:highlight w:val="none"/>
                    </w:rPr>
                  </w:pPr>
                </w:p>
              </w:tc>
              <w:tc>
                <w:tcPr>
                  <w:tcW w:w="69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cs="Times New Roman"/>
                      <w:color w:val="auto"/>
                      <w:sz w:val="21"/>
                      <w:szCs w:val="21"/>
                      <w:highlight w:val="none"/>
                      <w:lang w:eastAsia="zh-CN"/>
                    </w:rPr>
                  </w:pPr>
                  <w:r>
                    <w:rPr>
                      <w:rFonts w:ascii="Times New Roman" w:hAnsi="Times New Roman" w:cs="Times New Roman"/>
                      <w:color w:val="auto"/>
                      <w:sz w:val="21"/>
                      <w:szCs w:val="21"/>
                      <w:highlight w:val="none"/>
                      <w:lang w:eastAsia="zh-CN"/>
                    </w:rPr>
                    <w:t>＞2</w:t>
                  </w:r>
                </w:p>
              </w:tc>
              <w:tc>
                <w:tcPr>
                  <w:tcW w:w="1241"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cs="Times New Roman"/>
                      <w:color w:val="auto"/>
                      <w:sz w:val="21"/>
                      <w:szCs w:val="21"/>
                      <w:highlight w:val="none"/>
                      <w:lang w:eastAsia="zh-CN"/>
                    </w:rPr>
                  </w:pPr>
                  <w:r>
                    <w:rPr>
                      <w:rFonts w:ascii="Times New Roman" w:hAnsi="Times New Roman" w:cs="Times New Roman"/>
                      <w:color w:val="auto"/>
                      <w:sz w:val="21"/>
                      <w:szCs w:val="21"/>
                      <w:highlight w:val="none"/>
                      <w:lang w:eastAsia="zh-CN"/>
                    </w:rPr>
                    <w:t>0.84</w:t>
                  </w:r>
                </w:p>
              </w:tc>
              <w:tc>
                <w:tcPr>
                  <w:tcW w:w="1239"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cs="Times New Roman"/>
                      <w:color w:val="auto"/>
                      <w:sz w:val="21"/>
                      <w:szCs w:val="21"/>
                      <w:highlight w:val="none"/>
                      <w:lang w:eastAsia="zh-CN"/>
                    </w:rPr>
                  </w:pPr>
                  <w:r>
                    <w:rPr>
                      <w:rFonts w:ascii="Times New Roman" w:hAnsi="Times New Roman" w:cs="Times New Roman"/>
                      <w:color w:val="auto"/>
                      <w:sz w:val="21"/>
                      <w:szCs w:val="21"/>
                      <w:highlight w:val="none"/>
                      <w:lang w:eastAsia="zh-CN"/>
                    </w:rPr>
                    <w:t>0.84</w:t>
                  </w:r>
                </w:p>
              </w:tc>
              <w:tc>
                <w:tcPr>
                  <w:tcW w:w="1306"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ascii="Times New Roman" w:hAnsi="Times New Roman" w:cs="Times New Roman"/>
                      <w:color w:val="auto"/>
                      <w:sz w:val="21"/>
                      <w:szCs w:val="21"/>
                      <w:highlight w:val="none"/>
                      <w:lang w:eastAsia="zh-CN"/>
                    </w:rPr>
                  </w:pPr>
                  <w:r>
                    <w:rPr>
                      <w:rFonts w:ascii="Times New Roman" w:hAnsi="Times New Roman" w:cs="Times New Roman"/>
                      <w:color w:val="auto"/>
                      <w:sz w:val="21"/>
                      <w:szCs w:val="21"/>
                      <w:highlight w:val="none"/>
                      <w:lang w:eastAsia="zh-CN"/>
                    </w:rPr>
                    <w:t>0.76</w:t>
                  </w:r>
                </w:p>
              </w:tc>
            </w:tr>
          </w:tbl>
          <w:p>
            <w:pPr>
              <w:ind w:firstLine="480"/>
              <w:rPr>
                <w:rFonts w:ascii="Times New Roman" w:hAnsi="Times New Roman" w:cs="Times New Roman"/>
                <w:color w:val="auto"/>
                <w:highlight w:val="none"/>
                <w:lang w:eastAsia="zh-CN"/>
              </w:rPr>
            </w:pPr>
            <w:r>
              <w:rPr>
                <w:rFonts w:ascii="Times New Roman" w:hAnsi="Times New Roman" w:cs="Times New Roman"/>
                <w:color w:val="auto"/>
                <w:highlight w:val="none"/>
                <w:lang w:eastAsia="zh-CN"/>
              </w:rPr>
              <w:t>注：I 类：与无组织排放源共存的排放同种有害气体的排气筒的排放量，大于标准规定的允许排放量的1/3者；</w:t>
            </w:r>
          </w:p>
          <w:p>
            <w:pPr>
              <w:ind w:firstLine="480"/>
              <w:rPr>
                <w:rFonts w:ascii="Times New Roman" w:hAnsi="Times New Roman" w:cs="Times New Roman"/>
                <w:color w:val="auto"/>
                <w:highlight w:val="none"/>
                <w:lang w:eastAsia="zh-CN"/>
              </w:rPr>
            </w:pPr>
            <w:r>
              <w:rPr>
                <w:rFonts w:ascii="Times New Roman" w:hAnsi="Times New Roman" w:cs="Times New Roman"/>
                <w:color w:val="auto"/>
                <w:highlight w:val="none"/>
                <w:lang w:eastAsia="zh-CN"/>
              </w:rPr>
              <w:t>Ⅱ类：与无组织排放源共存的排放同种有害气体的排气筒的排放量，小于标准规定的1/3，或是虽无排放同种大气污染物之排气筒共存，但无组织排放的有害物质的容许浓度指标是按急性反应指标确定；</w:t>
            </w:r>
          </w:p>
          <w:p>
            <w:pPr>
              <w:ind w:firstLine="480"/>
              <w:rPr>
                <w:rFonts w:ascii="Times New Roman" w:hAnsi="Times New Roman" w:cs="Times New Roman"/>
                <w:color w:val="auto"/>
                <w:highlight w:val="none"/>
                <w:lang w:eastAsia="zh-CN"/>
              </w:rPr>
            </w:pPr>
            <w:r>
              <w:rPr>
                <w:rFonts w:ascii="Times New Roman" w:hAnsi="Times New Roman" w:cs="Times New Roman"/>
                <w:color w:val="auto"/>
                <w:highlight w:val="none"/>
                <w:lang w:eastAsia="zh-CN"/>
              </w:rPr>
              <w:t>III 类：无排放同种有害物质的排气筒与无组织源共存，无组织排放的有害物质的容许浓度是按慢性反应批指标确定者。</w:t>
            </w:r>
          </w:p>
          <w:p>
            <w:pPr>
              <w:rPr>
                <w:rFonts w:ascii="Times New Roman" w:hAnsi="Times New Roman" w:cs="Times New Roman"/>
                <w:color w:val="auto"/>
                <w:sz w:val="24"/>
                <w:szCs w:val="24"/>
                <w:highlight w:val="none"/>
                <w:lang w:eastAsia="zh-CN"/>
              </w:rPr>
            </w:pPr>
            <w:r>
              <w:rPr>
                <w:rFonts w:ascii="Times New Roman" w:hAnsi="Times New Roman" w:cs="Times New Roman"/>
                <w:color w:val="auto"/>
                <w:sz w:val="24"/>
                <w:szCs w:val="24"/>
                <w:highlight w:val="none"/>
                <w:lang w:eastAsia="zh-CN"/>
              </w:rPr>
              <w:t>全厂卫生防护距离计算结果见下表：</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bCs/>
                <w:color w:val="auto"/>
                <w:sz w:val="24"/>
                <w:highlight w:val="none"/>
              </w:rPr>
            </w:pPr>
            <w:r>
              <w:rPr>
                <w:rFonts w:hint="eastAsia" w:ascii="Times New Roman" w:hAnsi="Times New Roman" w:eastAsia="宋体" w:cs="Times New Roman"/>
                <w:b/>
                <w:bCs/>
                <w:color w:val="auto"/>
                <w:sz w:val="24"/>
                <w:highlight w:val="none"/>
              </w:rPr>
              <w:t>表4.</w:t>
            </w:r>
            <w:r>
              <w:rPr>
                <w:rFonts w:hint="default" w:ascii="Times New Roman" w:hAnsi="Times New Roman" w:eastAsia="宋体" w:cs="Times New Roman"/>
                <w:b/>
                <w:bCs/>
                <w:color w:val="auto"/>
                <w:sz w:val="24"/>
                <w:highlight w:val="none"/>
                <w:lang w:val="en-US" w:eastAsia="zh-CN"/>
              </w:rPr>
              <w:t>2-</w:t>
            </w:r>
            <w:r>
              <w:rPr>
                <w:rFonts w:hint="eastAsia" w:ascii="Times New Roman" w:hAnsi="Times New Roman" w:eastAsia="宋体" w:cs="Times New Roman"/>
                <w:b/>
                <w:bCs/>
                <w:color w:val="auto"/>
                <w:sz w:val="24"/>
                <w:highlight w:val="none"/>
                <w:lang w:val="en-US" w:eastAsia="zh-CN"/>
              </w:rPr>
              <w:t>9</w:t>
            </w:r>
            <w:r>
              <w:rPr>
                <w:rFonts w:hint="eastAsia" w:ascii="Times New Roman" w:hAnsi="Times New Roman" w:eastAsia="宋体" w:cs="Times New Roman"/>
                <w:b/>
                <w:bCs/>
                <w:color w:val="auto"/>
                <w:sz w:val="24"/>
                <w:highlight w:val="none"/>
              </w:rPr>
              <w:t xml:space="preserve"> 卫生防护距离计算结果一览表</w:t>
            </w:r>
          </w:p>
          <w:tbl>
            <w:tblPr>
              <w:tblStyle w:val="49"/>
              <w:tblW w:w="4995"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446"/>
              <w:gridCol w:w="745"/>
              <w:gridCol w:w="941"/>
              <w:gridCol w:w="906"/>
              <w:gridCol w:w="876"/>
              <w:gridCol w:w="485"/>
              <w:gridCol w:w="517"/>
              <w:gridCol w:w="533"/>
              <w:gridCol w:w="517"/>
              <w:gridCol w:w="764"/>
              <w:gridCol w:w="82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4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rPr>
                  </w:pPr>
                </w:p>
              </w:tc>
              <w:tc>
                <w:tcPr>
                  <w:tcW w:w="43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rPr>
                  </w:pPr>
                </w:p>
              </w:tc>
              <w:tc>
                <w:tcPr>
                  <w:tcW w:w="5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rPr>
                  </w:pPr>
                </w:p>
              </w:tc>
              <w:tc>
                <w:tcPr>
                  <w:tcW w:w="5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rPr>
                  </w:pPr>
                </w:p>
              </w:tc>
              <w:tc>
                <w:tcPr>
                  <w:tcW w:w="51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rPr>
                  </w:pPr>
                </w:p>
              </w:tc>
              <w:tc>
                <w:tcPr>
                  <w:tcW w:w="28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rPr>
                  </w:pPr>
                </w:p>
              </w:tc>
              <w:tc>
                <w:tcPr>
                  <w:tcW w:w="3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rPr>
                  </w:pPr>
                </w:p>
              </w:tc>
              <w:tc>
                <w:tcPr>
                  <w:tcW w:w="31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rPr>
                  </w:pPr>
                </w:p>
              </w:tc>
              <w:tc>
                <w:tcPr>
                  <w:tcW w:w="3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rPr>
                  </w:pPr>
                </w:p>
              </w:tc>
              <w:tc>
                <w:tcPr>
                  <w:tcW w:w="44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rPr>
                  </w:pPr>
                </w:p>
              </w:tc>
              <w:tc>
                <w:tcPr>
                  <w:tcW w:w="48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4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highlight w:val="none"/>
                      <w:lang w:val="en-US" w:eastAsia="zh-CN"/>
                    </w:rPr>
                  </w:pPr>
                </w:p>
              </w:tc>
              <w:tc>
                <w:tcPr>
                  <w:tcW w:w="43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rPr>
                  </w:pPr>
                </w:p>
              </w:tc>
              <w:tc>
                <w:tcPr>
                  <w:tcW w:w="5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highlight w:val="none"/>
                      <w:lang w:val="en-US" w:eastAsia="zh-CN"/>
                    </w:rPr>
                  </w:pPr>
                </w:p>
              </w:tc>
              <w:tc>
                <w:tcPr>
                  <w:tcW w:w="5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rPr>
                  </w:pPr>
                </w:p>
              </w:tc>
              <w:tc>
                <w:tcPr>
                  <w:tcW w:w="51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highlight w:val="none"/>
                      <w:lang w:val="en-US" w:eastAsia="zh-CN"/>
                    </w:rPr>
                  </w:pPr>
                </w:p>
              </w:tc>
              <w:tc>
                <w:tcPr>
                  <w:tcW w:w="28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highlight w:val="none"/>
                      <w:lang w:val="en-US" w:eastAsia="zh-CN"/>
                    </w:rPr>
                  </w:pPr>
                </w:p>
              </w:tc>
              <w:tc>
                <w:tcPr>
                  <w:tcW w:w="3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highlight w:val="none"/>
                      <w:lang w:val="en-US" w:eastAsia="zh-CN"/>
                    </w:rPr>
                  </w:pPr>
                </w:p>
              </w:tc>
              <w:tc>
                <w:tcPr>
                  <w:tcW w:w="31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highlight w:val="none"/>
                      <w:lang w:val="en-US" w:eastAsia="zh-CN"/>
                    </w:rPr>
                  </w:pPr>
                </w:p>
              </w:tc>
              <w:tc>
                <w:tcPr>
                  <w:tcW w:w="3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highlight w:val="none"/>
                      <w:lang w:val="en-US" w:eastAsia="zh-CN"/>
                    </w:rPr>
                  </w:pPr>
                </w:p>
              </w:tc>
              <w:tc>
                <w:tcPr>
                  <w:tcW w:w="44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highlight w:val="none"/>
                      <w:lang w:val="en-US" w:eastAsia="zh-CN"/>
                    </w:rPr>
                  </w:pPr>
                </w:p>
              </w:tc>
              <w:tc>
                <w:tcPr>
                  <w:tcW w:w="48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highlight w:val="none"/>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84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p>
              </w:tc>
              <w:tc>
                <w:tcPr>
                  <w:tcW w:w="43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rPr>
                  </w:pPr>
                </w:p>
              </w:tc>
              <w:tc>
                <w:tcPr>
                  <w:tcW w:w="549"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highlight w:val="none"/>
                      <w:lang w:val="en-US" w:eastAsia="zh-CN"/>
                    </w:rPr>
                  </w:pPr>
                </w:p>
              </w:tc>
              <w:tc>
                <w:tcPr>
                  <w:tcW w:w="5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sz w:val="21"/>
                      <w:szCs w:val="21"/>
                      <w:highlight w:val="none"/>
                      <w:lang w:val="en-US" w:eastAsia="zh-CN"/>
                    </w:rPr>
                  </w:pPr>
                </w:p>
              </w:tc>
              <w:tc>
                <w:tcPr>
                  <w:tcW w:w="51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highlight w:val="none"/>
                      <w:lang w:val="en-US" w:eastAsia="zh-CN"/>
                    </w:rPr>
                  </w:pPr>
                </w:p>
              </w:tc>
              <w:tc>
                <w:tcPr>
                  <w:tcW w:w="28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p>
              </w:tc>
              <w:tc>
                <w:tcPr>
                  <w:tcW w:w="3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p>
              </w:tc>
              <w:tc>
                <w:tcPr>
                  <w:tcW w:w="31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p>
              </w:tc>
              <w:tc>
                <w:tcPr>
                  <w:tcW w:w="3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p>
              </w:tc>
              <w:tc>
                <w:tcPr>
                  <w:tcW w:w="44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highlight w:val="none"/>
                      <w:lang w:val="en-US" w:eastAsia="zh-CN"/>
                    </w:rPr>
                  </w:pPr>
                </w:p>
              </w:tc>
              <w:tc>
                <w:tcPr>
                  <w:tcW w:w="48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highlight w:val="none"/>
                      <w:lang w:val="en-US" w:eastAsia="zh-CN"/>
                    </w:rPr>
                  </w:pPr>
                </w:p>
              </w:tc>
            </w:tr>
          </w:tbl>
          <w:p>
            <w:pPr>
              <w:ind w:firstLine="480"/>
              <w:rPr>
                <w:rFonts w:hint="eastAsia"/>
                <w:color w:val="auto"/>
                <w:highlight w:val="none"/>
              </w:rPr>
            </w:pPr>
            <w:r>
              <w:rPr>
                <w:rFonts w:hint="eastAsia"/>
                <w:color w:val="auto"/>
                <w:highlight w:val="none"/>
              </w:rPr>
              <w:t>根据上表计算结果</w:t>
            </w:r>
            <w:r>
              <w:rPr>
                <w:rFonts w:hint="eastAsia"/>
                <w:color w:val="auto"/>
                <w:highlight w:val="none"/>
                <w:lang w:eastAsia="zh-CN"/>
              </w:rPr>
              <w:t>，</w:t>
            </w:r>
            <w:r>
              <w:rPr>
                <w:rFonts w:hint="eastAsia"/>
                <w:color w:val="auto"/>
                <w:highlight w:val="none"/>
                <w:lang w:val="en-US" w:eastAsia="zh-CN"/>
              </w:rPr>
              <w:t>本项目生产</w:t>
            </w:r>
            <w:r>
              <w:rPr>
                <w:rFonts w:hint="eastAsia"/>
                <w:color w:val="auto"/>
                <w:highlight w:val="none"/>
              </w:rPr>
              <w:t>车间的卫生防护距离终值为</w:t>
            </w:r>
            <w:r>
              <w:rPr>
                <w:rFonts w:hint="eastAsia"/>
                <w:color w:val="auto"/>
                <w:highlight w:val="none"/>
                <w:lang w:val="en-US" w:eastAsia="zh-CN"/>
              </w:rPr>
              <w:t>5</w:t>
            </w:r>
            <w:r>
              <w:rPr>
                <w:rFonts w:hint="eastAsia"/>
                <w:color w:val="auto"/>
                <w:highlight w:val="none"/>
              </w:rPr>
              <w:t>0m，</w:t>
            </w:r>
            <w:r>
              <w:rPr>
                <w:rFonts w:hint="eastAsia"/>
                <w:color w:val="auto"/>
                <w:highlight w:val="none"/>
                <w:lang w:val="en-US" w:eastAsia="zh-CN"/>
              </w:rPr>
              <w:t>即本项目的环境防护距离为50m</w:t>
            </w:r>
            <w:r>
              <w:rPr>
                <w:rFonts w:hint="eastAsia"/>
                <w:color w:val="auto"/>
                <w:highlight w:val="none"/>
              </w:rPr>
              <w:t>，</w:t>
            </w:r>
            <w:r>
              <w:rPr>
                <w:rFonts w:hint="eastAsia"/>
                <w:color w:val="auto"/>
                <w:highlight w:val="none"/>
                <w:lang w:val="en-US" w:eastAsia="zh-CN"/>
              </w:rPr>
              <w:t>环境防护距离范围图见附图7。根据现场勘查，该防护距离范围内现状主要为吴航公司内部的其他生产车间、高速公路以及自然山体，无居民区、学校、医院等环境敏感目标，现有环境条件满足环境防护距离要求。为防范未来环境风险，特提出以下要求：该50m环境防护距离范围内，严禁规划或新建任何居民、学校、医院等对环境影响敏感的设施。建设单位应承诺配合当地规划部门，共同遵守此项管控规定，确保项目长期运营不会对周边环境造成不利影响。</w:t>
            </w:r>
          </w:p>
          <w:p>
            <w:pPr>
              <w:ind w:firstLine="480"/>
              <w:rPr>
                <w:rFonts w:hint="eastAsia" w:ascii="Times New Roman" w:hAnsi="Times New Roman" w:eastAsia="宋体" w:cs="Times New Roman"/>
                <w:color w:val="auto"/>
                <w:highlight w:val="none"/>
                <w:lang w:eastAsia="zh-CN"/>
              </w:rPr>
            </w:pPr>
            <w:r>
              <w:rPr>
                <w:rFonts w:hint="eastAsia"/>
                <w:color w:val="auto"/>
                <w:highlight w:val="none"/>
              </w:rPr>
              <w:t>因此，项目选址满足</w:t>
            </w:r>
            <w:r>
              <w:rPr>
                <w:rFonts w:hint="eastAsia"/>
                <w:color w:val="auto"/>
                <w:highlight w:val="none"/>
                <w:lang w:val="en-US" w:eastAsia="zh-CN"/>
              </w:rPr>
              <w:t>环境防护</w:t>
            </w:r>
            <w:r>
              <w:rPr>
                <w:rFonts w:hint="eastAsia"/>
                <w:color w:val="auto"/>
                <w:highlight w:val="none"/>
              </w:rPr>
              <w:t>距离要求，对周边环境影响较小。</w:t>
            </w:r>
          </w:p>
          <w:p>
            <w:pPr>
              <w:pStyle w:val="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4.2.4监测计划</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bCs/>
                <w:color w:val="auto"/>
                <w:highlight w:val="none"/>
              </w:rPr>
              <w:t>根据</w:t>
            </w:r>
            <w:r>
              <w:rPr>
                <w:rFonts w:hint="default" w:ascii="Times New Roman" w:hAnsi="Times New Roman" w:eastAsia="宋体" w:cs="Times New Roman"/>
                <w:bCs/>
                <w:color w:val="auto"/>
                <w:szCs w:val="32"/>
                <w:highlight w:val="none"/>
              </w:rPr>
              <w:t>《</w:t>
            </w:r>
            <w:r>
              <w:rPr>
                <w:rFonts w:hint="default" w:ascii="Times New Roman" w:hAnsi="Times New Roman" w:eastAsia="宋体" w:cs="Times New Roman"/>
                <w:bCs/>
                <w:color w:val="auto"/>
                <w:highlight w:val="none"/>
              </w:rPr>
              <w:t>排污单位自行监测技术指南 总则》（HJ819-2017）、《排污许可证申请与核发技术规范废弃资源加工工业》（HJ1034-2019）</w:t>
            </w:r>
            <w:r>
              <w:rPr>
                <w:rFonts w:hint="default" w:ascii="Times New Roman" w:hAnsi="Times New Roman" w:eastAsia="宋体" w:cs="Times New Roman"/>
                <w:bCs/>
                <w:color w:val="auto"/>
                <w:szCs w:val="24"/>
                <w:highlight w:val="none"/>
              </w:rPr>
              <w:t>，废气</w:t>
            </w:r>
            <w:r>
              <w:rPr>
                <w:rFonts w:hint="default" w:ascii="Times New Roman" w:hAnsi="Times New Roman" w:eastAsia="宋体" w:cs="Times New Roman"/>
                <w:color w:val="auto"/>
                <w:highlight w:val="none"/>
              </w:rPr>
              <w:t>监测计划见表4.2-</w:t>
            </w:r>
            <w:r>
              <w:rPr>
                <w:rFonts w:hint="eastAsia" w:cs="Times New Roman"/>
                <w:color w:val="auto"/>
                <w:highlight w:val="none"/>
                <w:lang w:val="en-US" w:eastAsia="zh-CN"/>
              </w:rPr>
              <w:t>10</w:t>
            </w:r>
            <w:r>
              <w:rPr>
                <w:rFonts w:hint="default" w:ascii="Times New Roman" w:hAnsi="Times New Roman" w:eastAsia="宋体" w:cs="Times New Roman"/>
                <w:color w:val="auto"/>
                <w:highlight w:val="none"/>
              </w:rPr>
              <w:t>。</w:t>
            </w:r>
          </w:p>
        </w:tc>
      </w:tr>
    </w:tbl>
    <w:p>
      <w:pPr>
        <w:adjustRightInd w:val="0"/>
        <w:snapToGrid w:val="0"/>
        <w:ind w:firstLine="562"/>
        <w:rPr>
          <w:b/>
          <w:color w:val="auto"/>
          <w:kern w:val="0"/>
          <w:sz w:val="28"/>
          <w:szCs w:val="28"/>
          <w:highlight w:val="none"/>
        </w:rPr>
        <w:sectPr>
          <w:pgSz w:w="11907" w:h="16840"/>
          <w:pgMar w:top="1418" w:right="1418" w:bottom="1418" w:left="1418" w:header="851" w:footer="851" w:gutter="0"/>
          <w:pgBorders>
            <w:top w:val="none" w:sz="0" w:space="0"/>
            <w:left w:val="none" w:sz="0" w:space="0"/>
            <w:bottom w:val="none" w:sz="0" w:space="0"/>
            <w:right w:val="none" w:sz="0" w:space="0"/>
          </w:pgBorders>
          <w:cols w:space="720" w:num="1"/>
          <w:docGrid w:linePitch="312" w:charSpace="0"/>
        </w:sectPr>
      </w:pPr>
    </w:p>
    <w:tbl>
      <w:tblPr>
        <w:tblStyle w:val="50"/>
        <w:tblW w:w="209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20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adjustRightInd w:val="0"/>
              <w:snapToGrid w:val="0"/>
              <w:spacing w:line="240" w:lineRule="auto"/>
              <w:ind w:firstLine="0" w:firstLineChars="0"/>
              <w:jc w:val="center"/>
              <w:rPr>
                <w:rFonts w:ascii="宋体" w:hAnsi="宋体" w:eastAsia="等线" w:cs="宋体"/>
                <w:bCs/>
                <w:color w:val="auto"/>
                <w:szCs w:val="24"/>
                <w:highlight w:val="none"/>
              </w:rPr>
            </w:pPr>
            <w:r>
              <w:rPr>
                <w:rFonts w:hint="eastAsia" w:ascii="宋体" w:hAnsi="宋体" w:eastAsia="等线" w:cs="宋体"/>
                <w:bCs/>
                <w:color w:val="auto"/>
                <w:szCs w:val="24"/>
                <w:highlight w:val="none"/>
              </w:rPr>
              <w:t>运营</w:t>
            </w:r>
          </w:p>
          <w:p>
            <w:pPr>
              <w:adjustRightInd w:val="0"/>
              <w:snapToGrid w:val="0"/>
              <w:spacing w:line="240" w:lineRule="auto"/>
              <w:ind w:firstLine="0" w:firstLineChars="0"/>
              <w:jc w:val="center"/>
              <w:rPr>
                <w:rFonts w:ascii="宋体" w:hAnsi="宋体" w:eastAsia="等线" w:cs="宋体"/>
                <w:bCs/>
                <w:color w:val="auto"/>
                <w:szCs w:val="24"/>
                <w:highlight w:val="none"/>
              </w:rPr>
            </w:pPr>
            <w:r>
              <w:rPr>
                <w:rFonts w:hint="eastAsia" w:ascii="宋体" w:hAnsi="宋体" w:eastAsia="等线" w:cs="宋体"/>
                <w:bCs/>
                <w:color w:val="auto"/>
                <w:szCs w:val="24"/>
                <w:highlight w:val="none"/>
              </w:rPr>
              <w:t>期环</w:t>
            </w:r>
          </w:p>
          <w:p>
            <w:pPr>
              <w:adjustRightInd w:val="0"/>
              <w:snapToGrid w:val="0"/>
              <w:spacing w:line="240" w:lineRule="auto"/>
              <w:ind w:firstLine="0" w:firstLineChars="0"/>
              <w:jc w:val="center"/>
              <w:rPr>
                <w:rFonts w:ascii="宋体" w:hAnsi="宋体" w:eastAsia="等线" w:cs="宋体"/>
                <w:bCs/>
                <w:color w:val="auto"/>
                <w:szCs w:val="24"/>
                <w:highlight w:val="none"/>
              </w:rPr>
            </w:pPr>
            <w:r>
              <w:rPr>
                <w:rFonts w:hint="eastAsia" w:ascii="宋体" w:hAnsi="宋体" w:eastAsia="等线" w:cs="宋体"/>
                <w:bCs/>
                <w:color w:val="auto"/>
                <w:szCs w:val="24"/>
                <w:highlight w:val="none"/>
              </w:rPr>
              <w:t>境影</w:t>
            </w:r>
          </w:p>
          <w:p>
            <w:pPr>
              <w:adjustRightInd w:val="0"/>
              <w:snapToGrid w:val="0"/>
              <w:spacing w:line="240" w:lineRule="auto"/>
              <w:ind w:firstLine="0" w:firstLineChars="0"/>
              <w:jc w:val="center"/>
              <w:rPr>
                <w:rFonts w:ascii="宋体" w:hAnsi="宋体" w:eastAsia="等线" w:cs="宋体"/>
                <w:bCs/>
                <w:color w:val="auto"/>
                <w:szCs w:val="24"/>
                <w:highlight w:val="none"/>
              </w:rPr>
            </w:pPr>
            <w:r>
              <w:rPr>
                <w:rFonts w:hint="eastAsia" w:ascii="宋体" w:hAnsi="宋体" w:eastAsia="等线" w:cs="宋体"/>
                <w:bCs/>
                <w:color w:val="auto"/>
                <w:szCs w:val="24"/>
                <w:highlight w:val="none"/>
              </w:rPr>
              <w:t>响和</w:t>
            </w:r>
          </w:p>
          <w:p>
            <w:pPr>
              <w:adjustRightInd w:val="0"/>
              <w:snapToGrid w:val="0"/>
              <w:spacing w:line="240" w:lineRule="auto"/>
              <w:ind w:firstLine="0" w:firstLineChars="0"/>
              <w:jc w:val="center"/>
              <w:rPr>
                <w:rFonts w:ascii="宋体" w:hAnsi="宋体" w:eastAsia="等线" w:cs="宋体"/>
                <w:bCs/>
                <w:color w:val="auto"/>
                <w:szCs w:val="24"/>
                <w:highlight w:val="none"/>
              </w:rPr>
            </w:pPr>
            <w:r>
              <w:rPr>
                <w:rFonts w:hint="eastAsia" w:ascii="宋体" w:hAnsi="宋体" w:eastAsia="等线" w:cs="宋体"/>
                <w:bCs/>
                <w:color w:val="auto"/>
                <w:szCs w:val="24"/>
                <w:highlight w:val="none"/>
              </w:rPr>
              <w:t>保护</w:t>
            </w:r>
          </w:p>
          <w:p>
            <w:pPr>
              <w:adjustRightInd w:val="0"/>
              <w:snapToGrid w:val="0"/>
              <w:spacing w:line="240" w:lineRule="auto"/>
              <w:ind w:firstLine="0" w:firstLineChars="0"/>
              <w:jc w:val="center"/>
              <w:rPr>
                <w:rFonts w:eastAsia="等线"/>
                <w:bCs/>
                <w:color w:val="auto"/>
                <w:sz w:val="21"/>
                <w:szCs w:val="21"/>
                <w:highlight w:val="none"/>
              </w:rPr>
            </w:pPr>
            <w:r>
              <w:rPr>
                <w:rFonts w:hint="eastAsia" w:ascii="宋体" w:hAnsi="宋体" w:eastAsia="等线" w:cs="宋体"/>
                <w:bCs/>
                <w:color w:val="auto"/>
                <w:szCs w:val="24"/>
                <w:highlight w:val="none"/>
              </w:rPr>
              <w:t>措施</w:t>
            </w:r>
          </w:p>
        </w:tc>
        <w:tc>
          <w:tcPr>
            <w:tcW w:w="20261" w:type="dxa"/>
          </w:tcPr>
          <w:p>
            <w:pPr>
              <w:spacing w:line="240" w:lineRule="auto"/>
              <w:ind w:firstLine="480"/>
              <w:jc w:val="center"/>
              <w:rPr>
                <w:rFonts w:eastAsia="等线"/>
                <w:b/>
                <w:bCs/>
                <w:color w:val="auto"/>
                <w:highlight w:val="none"/>
              </w:rPr>
            </w:pPr>
            <w:r>
              <w:rPr>
                <w:rFonts w:eastAsia="等线"/>
                <w:b/>
                <w:bCs/>
                <w:color w:val="auto"/>
                <w:highlight w:val="none"/>
              </w:rPr>
              <w:t>表4.</w:t>
            </w:r>
            <w:r>
              <w:rPr>
                <w:rFonts w:hint="eastAsia" w:eastAsia="等线"/>
                <w:b/>
                <w:bCs/>
                <w:color w:val="auto"/>
                <w:highlight w:val="none"/>
              </w:rPr>
              <w:t>2-</w:t>
            </w:r>
            <w:r>
              <w:rPr>
                <w:rFonts w:hint="eastAsia" w:eastAsia="等线"/>
                <w:b/>
                <w:bCs/>
                <w:color w:val="auto"/>
                <w:highlight w:val="none"/>
                <w:lang w:val="en-US" w:eastAsia="zh-CN"/>
              </w:rPr>
              <w:t>10</w:t>
            </w:r>
            <w:r>
              <w:rPr>
                <w:rFonts w:eastAsia="等线"/>
                <w:b/>
                <w:bCs/>
                <w:color w:val="auto"/>
                <w:highlight w:val="none"/>
              </w:rPr>
              <w:t>废气污染源源强核算结果及相关参数一览表</w:t>
            </w:r>
          </w:p>
          <w:tbl>
            <w:tblPr>
              <w:tblStyle w:val="49"/>
              <w:tblW w:w="2003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12"/>
              <w:gridCol w:w="885"/>
              <w:gridCol w:w="869"/>
              <w:gridCol w:w="989"/>
              <w:gridCol w:w="844"/>
              <w:gridCol w:w="1030"/>
              <w:gridCol w:w="1227"/>
              <w:gridCol w:w="1499"/>
              <w:gridCol w:w="861"/>
              <w:gridCol w:w="1295"/>
              <w:gridCol w:w="850"/>
              <w:gridCol w:w="1035"/>
              <w:gridCol w:w="1026"/>
              <w:gridCol w:w="2173"/>
              <w:gridCol w:w="1131"/>
              <w:gridCol w:w="1206"/>
              <w:gridCol w:w="1223"/>
              <w:gridCol w:w="108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198" w:hRule="atLeast"/>
                <w:jc w:val="center"/>
              </w:trPr>
              <w:tc>
                <w:tcPr>
                  <w:tcW w:w="812" w:type="dxa"/>
                  <w:vMerge w:val="restart"/>
                  <w:tcBorders>
                    <w:tl2br w:val="nil"/>
                    <w:tr2bl w:val="nil"/>
                  </w:tcBorders>
                  <w:vAlign w:val="center"/>
                </w:tcPr>
                <w:p>
                  <w:pPr>
                    <w:pStyle w:val="113"/>
                    <w:keepNext w:val="0"/>
                    <w:keepLines w:val="0"/>
                    <w:pageBreakBefore w:val="0"/>
                    <w:widowControl/>
                    <w:kinsoku/>
                    <w:wordWrap/>
                    <w:overflowPunct/>
                    <w:topLinePunct w:val="0"/>
                    <w:autoSpaceDE/>
                    <w:autoSpaceDN/>
                    <w:bidi w:val="0"/>
                    <w:adjustRightInd w:val="0"/>
                    <w:snapToGrid/>
                    <w:ind w:firstLineChars="0"/>
                    <w:rPr>
                      <w:color w:val="auto"/>
                      <w:highlight w:val="none"/>
                    </w:rPr>
                  </w:pPr>
                </w:p>
              </w:tc>
              <w:tc>
                <w:tcPr>
                  <w:tcW w:w="885" w:type="dxa"/>
                  <w:vMerge w:val="restart"/>
                  <w:tcBorders>
                    <w:tl2br w:val="nil"/>
                    <w:tr2bl w:val="nil"/>
                  </w:tcBorders>
                  <w:vAlign w:val="center"/>
                </w:tcPr>
                <w:p>
                  <w:pPr>
                    <w:pStyle w:val="113"/>
                    <w:keepNext w:val="0"/>
                    <w:keepLines w:val="0"/>
                    <w:pageBreakBefore w:val="0"/>
                    <w:widowControl/>
                    <w:kinsoku/>
                    <w:wordWrap/>
                    <w:overflowPunct/>
                    <w:topLinePunct w:val="0"/>
                    <w:autoSpaceDE/>
                    <w:autoSpaceDN/>
                    <w:bidi w:val="0"/>
                    <w:adjustRightInd w:val="0"/>
                    <w:snapToGrid/>
                    <w:ind w:firstLineChars="0"/>
                    <w:rPr>
                      <w:color w:val="auto"/>
                      <w:highlight w:val="none"/>
                    </w:rPr>
                  </w:pPr>
                </w:p>
              </w:tc>
              <w:tc>
                <w:tcPr>
                  <w:tcW w:w="869" w:type="dxa"/>
                  <w:vMerge w:val="restart"/>
                  <w:tcBorders>
                    <w:tl2br w:val="nil"/>
                    <w:tr2bl w:val="nil"/>
                  </w:tcBorders>
                  <w:vAlign w:val="center"/>
                </w:tcPr>
                <w:p>
                  <w:pPr>
                    <w:pStyle w:val="113"/>
                    <w:keepNext w:val="0"/>
                    <w:keepLines w:val="0"/>
                    <w:pageBreakBefore w:val="0"/>
                    <w:widowControl/>
                    <w:kinsoku/>
                    <w:wordWrap/>
                    <w:overflowPunct/>
                    <w:topLinePunct w:val="0"/>
                    <w:autoSpaceDE/>
                    <w:autoSpaceDN/>
                    <w:bidi w:val="0"/>
                    <w:adjustRightInd w:val="0"/>
                    <w:snapToGrid/>
                    <w:ind w:firstLineChars="0"/>
                    <w:rPr>
                      <w:color w:val="auto"/>
                      <w:highlight w:val="none"/>
                    </w:rPr>
                  </w:pPr>
                </w:p>
              </w:tc>
              <w:tc>
                <w:tcPr>
                  <w:tcW w:w="989" w:type="dxa"/>
                  <w:vMerge w:val="restart"/>
                  <w:tcBorders>
                    <w:tl2br w:val="nil"/>
                    <w:tr2bl w:val="nil"/>
                  </w:tcBorders>
                  <w:vAlign w:val="center"/>
                </w:tcPr>
                <w:p>
                  <w:pPr>
                    <w:pStyle w:val="113"/>
                    <w:keepNext w:val="0"/>
                    <w:keepLines w:val="0"/>
                    <w:pageBreakBefore w:val="0"/>
                    <w:widowControl/>
                    <w:kinsoku/>
                    <w:wordWrap/>
                    <w:overflowPunct/>
                    <w:topLinePunct w:val="0"/>
                    <w:autoSpaceDE/>
                    <w:autoSpaceDN/>
                    <w:bidi w:val="0"/>
                    <w:adjustRightInd w:val="0"/>
                    <w:snapToGrid/>
                    <w:ind w:firstLineChars="0"/>
                    <w:rPr>
                      <w:color w:val="auto"/>
                      <w:highlight w:val="none"/>
                    </w:rPr>
                  </w:pPr>
                </w:p>
              </w:tc>
              <w:tc>
                <w:tcPr>
                  <w:tcW w:w="844" w:type="dxa"/>
                  <w:vMerge w:val="restart"/>
                  <w:tcBorders>
                    <w:tl2br w:val="nil"/>
                    <w:tr2bl w:val="nil"/>
                  </w:tcBorders>
                  <w:vAlign w:val="center"/>
                </w:tcPr>
                <w:p>
                  <w:pPr>
                    <w:pStyle w:val="113"/>
                    <w:keepNext w:val="0"/>
                    <w:keepLines w:val="0"/>
                    <w:pageBreakBefore w:val="0"/>
                    <w:widowControl/>
                    <w:kinsoku/>
                    <w:wordWrap/>
                    <w:overflowPunct/>
                    <w:topLinePunct w:val="0"/>
                    <w:autoSpaceDE/>
                    <w:autoSpaceDN/>
                    <w:bidi w:val="0"/>
                    <w:adjustRightInd w:val="0"/>
                    <w:snapToGrid/>
                    <w:ind w:firstLineChars="0"/>
                    <w:rPr>
                      <w:color w:val="auto"/>
                      <w:highlight w:val="none"/>
                    </w:rPr>
                  </w:pPr>
                </w:p>
              </w:tc>
              <w:tc>
                <w:tcPr>
                  <w:tcW w:w="2257" w:type="dxa"/>
                  <w:gridSpan w:val="2"/>
                  <w:tcBorders>
                    <w:tl2br w:val="nil"/>
                    <w:tr2bl w:val="nil"/>
                  </w:tcBorders>
                  <w:vAlign w:val="center"/>
                </w:tcPr>
                <w:p>
                  <w:pPr>
                    <w:pStyle w:val="113"/>
                    <w:keepNext w:val="0"/>
                    <w:keepLines w:val="0"/>
                    <w:pageBreakBefore w:val="0"/>
                    <w:widowControl/>
                    <w:kinsoku/>
                    <w:wordWrap/>
                    <w:overflowPunct/>
                    <w:topLinePunct w:val="0"/>
                    <w:autoSpaceDE/>
                    <w:autoSpaceDN/>
                    <w:bidi w:val="0"/>
                    <w:adjustRightInd w:val="0"/>
                    <w:snapToGrid/>
                    <w:ind w:firstLineChars="0"/>
                    <w:rPr>
                      <w:color w:val="auto"/>
                      <w:highlight w:val="none"/>
                    </w:rPr>
                  </w:pPr>
                </w:p>
              </w:tc>
              <w:tc>
                <w:tcPr>
                  <w:tcW w:w="1499" w:type="dxa"/>
                  <w:vMerge w:val="restart"/>
                  <w:tcBorders>
                    <w:tl2br w:val="nil"/>
                    <w:tr2bl w:val="nil"/>
                  </w:tcBorders>
                  <w:tcMar>
                    <w:top w:w="0" w:type="dxa"/>
                    <w:left w:w="28" w:type="dxa"/>
                    <w:bottom w:w="0" w:type="dxa"/>
                    <w:right w:w="28" w:type="dxa"/>
                  </w:tcMar>
                  <w:vAlign w:val="center"/>
                </w:tcPr>
                <w:p>
                  <w:pPr>
                    <w:pStyle w:val="113"/>
                    <w:keepNext w:val="0"/>
                    <w:keepLines w:val="0"/>
                    <w:pageBreakBefore w:val="0"/>
                    <w:widowControl/>
                    <w:kinsoku/>
                    <w:wordWrap/>
                    <w:overflowPunct/>
                    <w:topLinePunct w:val="0"/>
                    <w:autoSpaceDE/>
                    <w:autoSpaceDN/>
                    <w:bidi w:val="0"/>
                    <w:adjustRightInd w:val="0"/>
                    <w:snapToGrid/>
                    <w:ind w:firstLineChars="0"/>
                    <w:rPr>
                      <w:color w:val="auto"/>
                      <w:highlight w:val="none"/>
                    </w:rPr>
                  </w:pPr>
                </w:p>
              </w:tc>
              <w:tc>
                <w:tcPr>
                  <w:tcW w:w="861" w:type="dxa"/>
                  <w:vMerge w:val="restart"/>
                  <w:tcBorders>
                    <w:tl2br w:val="nil"/>
                    <w:tr2bl w:val="nil"/>
                  </w:tcBorders>
                  <w:tcMar>
                    <w:top w:w="0" w:type="dxa"/>
                    <w:left w:w="28" w:type="dxa"/>
                    <w:bottom w:w="0" w:type="dxa"/>
                    <w:right w:w="28" w:type="dxa"/>
                  </w:tcMar>
                  <w:vAlign w:val="center"/>
                </w:tcPr>
                <w:p>
                  <w:pPr>
                    <w:pStyle w:val="113"/>
                    <w:keepNext w:val="0"/>
                    <w:keepLines w:val="0"/>
                    <w:pageBreakBefore w:val="0"/>
                    <w:widowControl/>
                    <w:kinsoku/>
                    <w:wordWrap/>
                    <w:overflowPunct/>
                    <w:topLinePunct w:val="0"/>
                    <w:autoSpaceDE/>
                    <w:autoSpaceDN/>
                    <w:bidi w:val="0"/>
                    <w:adjustRightInd w:val="0"/>
                    <w:snapToGrid/>
                    <w:ind w:firstLineChars="0"/>
                    <w:rPr>
                      <w:color w:val="auto"/>
                      <w:highlight w:val="none"/>
                    </w:rPr>
                  </w:pPr>
                </w:p>
              </w:tc>
              <w:tc>
                <w:tcPr>
                  <w:tcW w:w="3180" w:type="dxa"/>
                  <w:gridSpan w:val="3"/>
                  <w:tcBorders>
                    <w:tl2br w:val="nil"/>
                    <w:tr2bl w:val="nil"/>
                  </w:tcBorders>
                  <w:tcMar>
                    <w:top w:w="0" w:type="dxa"/>
                    <w:left w:w="28" w:type="dxa"/>
                    <w:bottom w:w="0" w:type="dxa"/>
                    <w:right w:w="28" w:type="dxa"/>
                  </w:tcMar>
                  <w:vAlign w:val="center"/>
                </w:tcPr>
                <w:p>
                  <w:pPr>
                    <w:pStyle w:val="113"/>
                    <w:keepNext w:val="0"/>
                    <w:keepLines w:val="0"/>
                    <w:pageBreakBefore w:val="0"/>
                    <w:widowControl/>
                    <w:kinsoku/>
                    <w:wordWrap/>
                    <w:overflowPunct/>
                    <w:topLinePunct w:val="0"/>
                    <w:autoSpaceDE/>
                    <w:autoSpaceDN/>
                    <w:bidi w:val="0"/>
                    <w:adjustRightInd w:val="0"/>
                    <w:snapToGrid/>
                    <w:ind w:firstLineChars="0"/>
                    <w:rPr>
                      <w:color w:val="auto"/>
                      <w:highlight w:val="none"/>
                    </w:rPr>
                  </w:pPr>
                </w:p>
              </w:tc>
              <w:tc>
                <w:tcPr>
                  <w:tcW w:w="1026" w:type="dxa"/>
                  <w:vMerge w:val="restart"/>
                  <w:tcBorders>
                    <w:tl2br w:val="nil"/>
                    <w:tr2bl w:val="nil"/>
                  </w:tcBorders>
                  <w:vAlign w:val="center"/>
                </w:tcPr>
                <w:p>
                  <w:pPr>
                    <w:pStyle w:val="113"/>
                    <w:keepNext w:val="0"/>
                    <w:keepLines w:val="0"/>
                    <w:pageBreakBefore w:val="0"/>
                    <w:widowControl/>
                    <w:kinsoku/>
                    <w:wordWrap/>
                    <w:overflowPunct/>
                    <w:topLinePunct w:val="0"/>
                    <w:autoSpaceDE/>
                    <w:autoSpaceDN/>
                    <w:bidi w:val="0"/>
                    <w:adjustRightInd w:val="0"/>
                    <w:snapToGrid/>
                    <w:ind w:firstLineChars="0"/>
                    <w:rPr>
                      <w:color w:val="auto"/>
                      <w:highlight w:val="none"/>
                    </w:rPr>
                  </w:pPr>
                </w:p>
              </w:tc>
              <w:tc>
                <w:tcPr>
                  <w:tcW w:w="2173" w:type="dxa"/>
                  <w:vMerge w:val="restart"/>
                  <w:tcBorders>
                    <w:tl2br w:val="nil"/>
                    <w:tr2bl w:val="nil"/>
                  </w:tcBorders>
                  <w:vAlign w:val="center"/>
                </w:tcPr>
                <w:p>
                  <w:pPr>
                    <w:pStyle w:val="113"/>
                    <w:keepNext w:val="0"/>
                    <w:keepLines w:val="0"/>
                    <w:pageBreakBefore w:val="0"/>
                    <w:widowControl/>
                    <w:kinsoku/>
                    <w:wordWrap/>
                    <w:overflowPunct/>
                    <w:topLinePunct w:val="0"/>
                    <w:autoSpaceDE/>
                    <w:autoSpaceDN/>
                    <w:bidi w:val="0"/>
                    <w:adjustRightInd w:val="0"/>
                    <w:snapToGrid/>
                    <w:ind w:firstLineChars="0"/>
                    <w:rPr>
                      <w:color w:val="auto"/>
                      <w:highlight w:val="none"/>
                    </w:rPr>
                  </w:pPr>
                </w:p>
              </w:tc>
              <w:tc>
                <w:tcPr>
                  <w:tcW w:w="1131" w:type="dxa"/>
                  <w:vMerge w:val="restart"/>
                  <w:tcBorders>
                    <w:tl2br w:val="nil"/>
                    <w:tr2bl w:val="nil"/>
                  </w:tcBorders>
                  <w:vAlign w:val="center"/>
                </w:tcPr>
                <w:p>
                  <w:pPr>
                    <w:pStyle w:val="113"/>
                    <w:keepNext w:val="0"/>
                    <w:keepLines w:val="0"/>
                    <w:pageBreakBefore w:val="0"/>
                    <w:widowControl/>
                    <w:kinsoku/>
                    <w:wordWrap/>
                    <w:overflowPunct/>
                    <w:topLinePunct w:val="0"/>
                    <w:autoSpaceDE/>
                    <w:autoSpaceDN/>
                    <w:bidi w:val="0"/>
                    <w:adjustRightInd w:val="0"/>
                    <w:snapToGrid/>
                    <w:ind w:firstLineChars="0"/>
                    <w:rPr>
                      <w:color w:val="auto"/>
                      <w:highlight w:val="none"/>
                    </w:rPr>
                  </w:pPr>
                </w:p>
              </w:tc>
              <w:tc>
                <w:tcPr>
                  <w:tcW w:w="3511" w:type="dxa"/>
                  <w:gridSpan w:val="3"/>
                  <w:tcBorders>
                    <w:tl2br w:val="nil"/>
                    <w:tr2bl w:val="nil"/>
                  </w:tcBorders>
                  <w:vAlign w:val="center"/>
                </w:tcPr>
                <w:p>
                  <w:pPr>
                    <w:pStyle w:val="113"/>
                    <w:keepNext w:val="0"/>
                    <w:keepLines w:val="0"/>
                    <w:pageBreakBefore w:val="0"/>
                    <w:widowControl/>
                    <w:kinsoku/>
                    <w:wordWrap/>
                    <w:overflowPunct/>
                    <w:topLinePunct w:val="0"/>
                    <w:autoSpaceDE/>
                    <w:autoSpaceDN/>
                    <w:bidi w:val="0"/>
                    <w:adjustRightInd w:val="0"/>
                    <w:snapToGrid/>
                    <w:ind w:firstLineChars="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198" w:hRule="atLeast"/>
                <w:jc w:val="center"/>
              </w:trPr>
              <w:tc>
                <w:tcPr>
                  <w:tcW w:w="812" w:type="dxa"/>
                  <w:vMerge w:val="continue"/>
                  <w:tcBorders>
                    <w:tl2br w:val="nil"/>
                    <w:tr2bl w:val="nil"/>
                  </w:tcBorders>
                  <w:vAlign w:val="center"/>
                </w:tcPr>
                <w:p>
                  <w:pPr>
                    <w:pStyle w:val="113"/>
                    <w:keepNext w:val="0"/>
                    <w:keepLines w:val="0"/>
                    <w:pageBreakBefore w:val="0"/>
                    <w:widowControl/>
                    <w:kinsoku/>
                    <w:wordWrap/>
                    <w:overflowPunct/>
                    <w:topLinePunct w:val="0"/>
                    <w:autoSpaceDE/>
                    <w:autoSpaceDN/>
                    <w:bidi w:val="0"/>
                    <w:adjustRightInd w:val="0"/>
                    <w:snapToGrid/>
                    <w:ind w:firstLineChars="0"/>
                    <w:rPr>
                      <w:color w:val="auto"/>
                      <w:highlight w:val="none"/>
                    </w:rPr>
                  </w:pPr>
                </w:p>
              </w:tc>
              <w:tc>
                <w:tcPr>
                  <w:tcW w:w="885" w:type="dxa"/>
                  <w:vMerge w:val="continue"/>
                  <w:tcBorders>
                    <w:tl2br w:val="nil"/>
                    <w:tr2bl w:val="nil"/>
                  </w:tcBorders>
                  <w:vAlign w:val="center"/>
                </w:tcPr>
                <w:p>
                  <w:pPr>
                    <w:pStyle w:val="113"/>
                    <w:keepNext w:val="0"/>
                    <w:keepLines w:val="0"/>
                    <w:pageBreakBefore w:val="0"/>
                    <w:widowControl/>
                    <w:kinsoku/>
                    <w:wordWrap/>
                    <w:overflowPunct/>
                    <w:topLinePunct w:val="0"/>
                    <w:autoSpaceDE/>
                    <w:autoSpaceDN/>
                    <w:bidi w:val="0"/>
                    <w:adjustRightInd w:val="0"/>
                    <w:snapToGrid/>
                    <w:ind w:firstLineChars="0"/>
                    <w:rPr>
                      <w:color w:val="auto"/>
                      <w:highlight w:val="none"/>
                    </w:rPr>
                  </w:pPr>
                </w:p>
              </w:tc>
              <w:tc>
                <w:tcPr>
                  <w:tcW w:w="869" w:type="dxa"/>
                  <w:vMerge w:val="continue"/>
                  <w:tcBorders>
                    <w:tl2br w:val="nil"/>
                    <w:tr2bl w:val="nil"/>
                  </w:tcBorders>
                  <w:vAlign w:val="center"/>
                </w:tcPr>
                <w:p>
                  <w:pPr>
                    <w:pStyle w:val="113"/>
                    <w:keepNext w:val="0"/>
                    <w:keepLines w:val="0"/>
                    <w:pageBreakBefore w:val="0"/>
                    <w:widowControl/>
                    <w:kinsoku/>
                    <w:wordWrap/>
                    <w:overflowPunct/>
                    <w:topLinePunct w:val="0"/>
                    <w:autoSpaceDE/>
                    <w:autoSpaceDN/>
                    <w:bidi w:val="0"/>
                    <w:adjustRightInd w:val="0"/>
                    <w:snapToGrid/>
                    <w:ind w:firstLineChars="0"/>
                    <w:rPr>
                      <w:color w:val="auto"/>
                      <w:highlight w:val="none"/>
                    </w:rPr>
                  </w:pPr>
                </w:p>
              </w:tc>
              <w:tc>
                <w:tcPr>
                  <w:tcW w:w="989" w:type="dxa"/>
                  <w:vMerge w:val="continue"/>
                  <w:tcBorders>
                    <w:tl2br w:val="nil"/>
                    <w:tr2bl w:val="nil"/>
                  </w:tcBorders>
                  <w:vAlign w:val="center"/>
                </w:tcPr>
                <w:p>
                  <w:pPr>
                    <w:pStyle w:val="113"/>
                    <w:keepNext w:val="0"/>
                    <w:keepLines w:val="0"/>
                    <w:pageBreakBefore w:val="0"/>
                    <w:widowControl/>
                    <w:kinsoku/>
                    <w:wordWrap/>
                    <w:overflowPunct/>
                    <w:topLinePunct w:val="0"/>
                    <w:autoSpaceDE/>
                    <w:autoSpaceDN/>
                    <w:bidi w:val="0"/>
                    <w:adjustRightInd w:val="0"/>
                    <w:snapToGrid/>
                    <w:ind w:firstLineChars="0"/>
                    <w:rPr>
                      <w:color w:val="auto"/>
                      <w:highlight w:val="none"/>
                    </w:rPr>
                  </w:pPr>
                </w:p>
              </w:tc>
              <w:tc>
                <w:tcPr>
                  <w:tcW w:w="844" w:type="dxa"/>
                  <w:vMerge w:val="continue"/>
                  <w:tcBorders>
                    <w:tl2br w:val="nil"/>
                    <w:tr2bl w:val="nil"/>
                  </w:tcBorders>
                  <w:vAlign w:val="center"/>
                </w:tcPr>
                <w:p>
                  <w:pPr>
                    <w:pStyle w:val="113"/>
                    <w:keepNext w:val="0"/>
                    <w:keepLines w:val="0"/>
                    <w:pageBreakBefore w:val="0"/>
                    <w:widowControl/>
                    <w:kinsoku/>
                    <w:wordWrap/>
                    <w:overflowPunct/>
                    <w:topLinePunct w:val="0"/>
                    <w:autoSpaceDE/>
                    <w:autoSpaceDN/>
                    <w:bidi w:val="0"/>
                    <w:adjustRightInd w:val="0"/>
                    <w:snapToGrid/>
                    <w:ind w:firstLineChars="0"/>
                    <w:rPr>
                      <w:color w:val="auto"/>
                      <w:highlight w:val="none"/>
                    </w:rPr>
                  </w:pPr>
                </w:p>
              </w:tc>
              <w:tc>
                <w:tcPr>
                  <w:tcW w:w="1030" w:type="dxa"/>
                  <w:tcBorders>
                    <w:tl2br w:val="nil"/>
                    <w:tr2bl w:val="nil"/>
                  </w:tcBorders>
                  <w:vAlign w:val="center"/>
                </w:tcPr>
                <w:p>
                  <w:pPr>
                    <w:pStyle w:val="113"/>
                    <w:keepNext w:val="0"/>
                    <w:keepLines w:val="0"/>
                    <w:pageBreakBefore w:val="0"/>
                    <w:widowControl/>
                    <w:kinsoku/>
                    <w:wordWrap/>
                    <w:overflowPunct/>
                    <w:topLinePunct w:val="0"/>
                    <w:autoSpaceDE/>
                    <w:autoSpaceDN/>
                    <w:bidi w:val="0"/>
                    <w:adjustRightInd w:val="0"/>
                    <w:snapToGrid/>
                    <w:ind w:firstLineChars="0"/>
                    <w:rPr>
                      <w:color w:val="auto"/>
                      <w:highlight w:val="none"/>
                    </w:rPr>
                  </w:pPr>
                </w:p>
              </w:tc>
              <w:tc>
                <w:tcPr>
                  <w:tcW w:w="1227" w:type="dxa"/>
                  <w:tcBorders>
                    <w:tl2br w:val="nil"/>
                    <w:tr2bl w:val="nil"/>
                  </w:tcBorders>
                  <w:vAlign w:val="center"/>
                </w:tcPr>
                <w:p>
                  <w:pPr>
                    <w:pStyle w:val="113"/>
                    <w:keepNext w:val="0"/>
                    <w:keepLines w:val="0"/>
                    <w:pageBreakBefore w:val="0"/>
                    <w:widowControl/>
                    <w:kinsoku/>
                    <w:wordWrap/>
                    <w:overflowPunct/>
                    <w:topLinePunct w:val="0"/>
                    <w:autoSpaceDE/>
                    <w:autoSpaceDN/>
                    <w:bidi w:val="0"/>
                    <w:adjustRightInd w:val="0"/>
                    <w:snapToGrid/>
                    <w:ind w:firstLineChars="0"/>
                    <w:rPr>
                      <w:color w:val="auto"/>
                      <w:highlight w:val="none"/>
                    </w:rPr>
                  </w:pPr>
                </w:p>
              </w:tc>
              <w:tc>
                <w:tcPr>
                  <w:tcW w:w="1499" w:type="dxa"/>
                  <w:vMerge w:val="continue"/>
                  <w:tcBorders>
                    <w:tl2br w:val="nil"/>
                    <w:tr2bl w:val="nil"/>
                  </w:tcBorders>
                  <w:vAlign w:val="center"/>
                </w:tcPr>
                <w:p>
                  <w:pPr>
                    <w:pStyle w:val="113"/>
                    <w:keepNext w:val="0"/>
                    <w:keepLines w:val="0"/>
                    <w:pageBreakBefore w:val="0"/>
                    <w:widowControl/>
                    <w:kinsoku/>
                    <w:wordWrap/>
                    <w:overflowPunct/>
                    <w:topLinePunct w:val="0"/>
                    <w:autoSpaceDE/>
                    <w:autoSpaceDN/>
                    <w:bidi w:val="0"/>
                    <w:adjustRightInd w:val="0"/>
                    <w:snapToGrid/>
                    <w:ind w:firstLineChars="0"/>
                    <w:rPr>
                      <w:color w:val="auto"/>
                      <w:highlight w:val="none"/>
                    </w:rPr>
                  </w:pPr>
                </w:p>
              </w:tc>
              <w:tc>
                <w:tcPr>
                  <w:tcW w:w="861" w:type="dxa"/>
                  <w:vMerge w:val="continue"/>
                  <w:tcBorders>
                    <w:tl2br w:val="nil"/>
                    <w:tr2bl w:val="nil"/>
                  </w:tcBorders>
                  <w:vAlign w:val="center"/>
                </w:tcPr>
                <w:p>
                  <w:pPr>
                    <w:pStyle w:val="113"/>
                    <w:keepNext w:val="0"/>
                    <w:keepLines w:val="0"/>
                    <w:pageBreakBefore w:val="0"/>
                    <w:widowControl/>
                    <w:kinsoku/>
                    <w:wordWrap/>
                    <w:overflowPunct/>
                    <w:topLinePunct w:val="0"/>
                    <w:autoSpaceDE/>
                    <w:autoSpaceDN/>
                    <w:bidi w:val="0"/>
                    <w:adjustRightInd w:val="0"/>
                    <w:snapToGrid/>
                    <w:ind w:firstLineChars="0"/>
                    <w:rPr>
                      <w:color w:val="auto"/>
                      <w:highlight w:val="none"/>
                    </w:rPr>
                  </w:pPr>
                </w:p>
              </w:tc>
              <w:tc>
                <w:tcPr>
                  <w:tcW w:w="1295" w:type="dxa"/>
                  <w:tcBorders>
                    <w:tl2br w:val="nil"/>
                    <w:tr2bl w:val="nil"/>
                  </w:tcBorders>
                  <w:vAlign w:val="center"/>
                </w:tcPr>
                <w:p>
                  <w:pPr>
                    <w:pStyle w:val="113"/>
                    <w:keepNext w:val="0"/>
                    <w:keepLines w:val="0"/>
                    <w:pageBreakBefore w:val="0"/>
                    <w:widowControl/>
                    <w:kinsoku/>
                    <w:wordWrap/>
                    <w:overflowPunct/>
                    <w:topLinePunct w:val="0"/>
                    <w:autoSpaceDE/>
                    <w:autoSpaceDN/>
                    <w:bidi w:val="0"/>
                    <w:adjustRightInd w:val="0"/>
                    <w:snapToGrid/>
                    <w:ind w:firstLineChars="0"/>
                    <w:rPr>
                      <w:color w:val="auto"/>
                      <w:highlight w:val="none"/>
                    </w:rPr>
                  </w:pPr>
                </w:p>
              </w:tc>
              <w:tc>
                <w:tcPr>
                  <w:tcW w:w="850" w:type="dxa"/>
                  <w:tcBorders>
                    <w:tl2br w:val="nil"/>
                    <w:tr2bl w:val="nil"/>
                  </w:tcBorders>
                  <w:tcMar>
                    <w:top w:w="0" w:type="dxa"/>
                    <w:left w:w="28" w:type="dxa"/>
                    <w:bottom w:w="0" w:type="dxa"/>
                    <w:right w:w="28" w:type="dxa"/>
                  </w:tcMar>
                  <w:vAlign w:val="center"/>
                </w:tcPr>
                <w:p>
                  <w:pPr>
                    <w:pStyle w:val="113"/>
                    <w:keepNext w:val="0"/>
                    <w:keepLines w:val="0"/>
                    <w:pageBreakBefore w:val="0"/>
                    <w:widowControl/>
                    <w:kinsoku/>
                    <w:wordWrap/>
                    <w:overflowPunct/>
                    <w:topLinePunct w:val="0"/>
                    <w:autoSpaceDE/>
                    <w:autoSpaceDN/>
                    <w:bidi w:val="0"/>
                    <w:adjustRightInd w:val="0"/>
                    <w:snapToGrid/>
                    <w:ind w:firstLineChars="0"/>
                    <w:rPr>
                      <w:color w:val="auto"/>
                      <w:highlight w:val="none"/>
                    </w:rPr>
                  </w:pPr>
                </w:p>
              </w:tc>
              <w:tc>
                <w:tcPr>
                  <w:tcW w:w="1035" w:type="dxa"/>
                  <w:tcBorders>
                    <w:tl2br w:val="nil"/>
                    <w:tr2bl w:val="nil"/>
                  </w:tcBorders>
                  <w:tcMar>
                    <w:top w:w="0" w:type="dxa"/>
                    <w:left w:w="28" w:type="dxa"/>
                    <w:bottom w:w="0" w:type="dxa"/>
                    <w:right w:w="28" w:type="dxa"/>
                  </w:tcMar>
                  <w:vAlign w:val="center"/>
                </w:tcPr>
                <w:p>
                  <w:pPr>
                    <w:pStyle w:val="113"/>
                    <w:keepNext w:val="0"/>
                    <w:keepLines w:val="0"/>
                    <w:pageBreakBefore w:val="0"/>
                    <w:widowControl/>
                    <w:kinsoku/>
                    <w:wordWrap/>
                    <w:overflowPunct/>
                    <w:topLinePunct w:val="0"/>
                    <w:autoSpaceDE/>
                    <w:autoSpaceDN/>
                    <w:bidi w:val="0"/>
                    <w:adjustRightInd w:val="0"/>
                    <w:snapToGrid/>
                    <w:ind w:firstLineChars="0"/>
                    <w:rPr>
                      <w:color w:val="auto"/>
                      <w:highlight w:val="none"/>
                    </w:rPr>
                  </w:pPr>
                </w:p>
              </w:tc>
              <w:tc>
                <w:tcPr>
                  <w:tcW w:w="1026" w:type="dxa"/>
                  <w:vMerge w:val="continue"/>
                  <w:tcBorders>
                    <w:tl2br w:val="nil"/>
                    <w:tr2bl w:val="nil"/>
                  </w:tcBorders>
                  <w:vAlign w:val="center"/>
                </w:tcPr>
                <w:p>
                  <w:pPr>
                    <w:pStyle w:val="113"/>
                    <w:keepNext w:val="0"/>
                    <w:keepLines w:val="0"/>
                    <w:pageBreakBefore w:val="0"/>
                    <w:widowControl/>
                    <w:kinsoku/>
                    <w:wordWrap/>
                    <w:overflowPunct/>
                    <w:topLinePunct w:val="0"/>
                    <w:autoSpaceDE/>
                    <w:autoSpaceDN/>
                    <w:bidi w:val="0"/>
                    <w:adjustRightInd w:val="0"/>
                    <w:snapToGrid/>
                    <w:ind w:firstLineChars="0"/>
                    <w:rPr>
                      <w:color w:val="auto"/>
                      <w:highlight w:val="none"/>
                    </w:rPr>
                  </w:pPr>
                </w:p>
              </w:tc>
              <w:tc>
                <w:tcPr>
                  <w:tcW w:w="2173" w:type="dxa"/>
                  <w:vMerge w:val="continue"/>
                  <w:tcBorders>
                    <w:tl2br w:val="nil"/>
                    <w:tr2bl w:val="nil"/>
                  </w:tcBorders>
                  <w:tcMar>
                    <w:top w:w="0" w:type="dxa"/>
                    <w:left w:w="28" w:type="dxa"/>
                    <w:bottom w:w="0" w:type="dxa"/>
                    <w:right w:w="28" w:type="dxa"/>
                  </w:tcMar>
                  <w:vAlign w:val="center"/>
                </w:tcPr>
                <w:p>
                  <w:pPr>
                    <w:pStyle w:val="113"/>
                    <w:keepNext w:val="0"/>
                    <w:keepLines w:val="0"/>
                    <w:pageBreakBefore w:val="0"/>
                    <w:widowControl/>
                    <w:kinsoku/>
                    <w:wordWrap/>
                    <w:overflowPunct/>
                    <w:topLinePunct w:val="0"/>
                    <w:autoSpaceDE/>
                    <w:autoSpaceDN/>
                    <w:bidi w:val="0"/>
                    <w:adjustRightInd w:val="0"/>
                    <w:snapToGrid/>
                    <w:ind w:firstLineChars="0"/>
                    <w:rPr>
                      <w:color w:val="auto"/>
                      <w:highlight w:val="none"/>
                    </w:rPr>
                  </w:pPr>
                </w:p>
              </w:tc>
              <w:tc>
                <w:tcPr>
                  <w:tcW w:w="1131" w:type="dxa"/>
                  <w:vMerge w:val="continue"/>
                  <w:tcBorders>
                    <w:tl2br w:val="nil"/>
                    <w:tr2bl w:val="nil"/>
                  </w:tcBorders>
                  <w:tcMar>
                    <w:top w:w="0" w:type="dxa"/>
                    <w:left w:w="28" w:type="dxa"/>
                    <w:bottom w:w="0" w:type="dxa"/>
                    <w:right w:w="28" w:type="dxa"/>
                  </w:tcMar>
                  <w:vAlign w:val="center"/>
                </w:tcPr>
                <w:p>
                  <w:pPr>
                    <w:pStyle w:val="113"/>
                    <w:keepNext w:val="0"/>
                    <w:keepLines w:val="0"/>
                    <w:pageBreakBefore w:val="0"/>
                    <w:widowControl/>
                    <w:kinsoku/>
                    <w:wordWrap/>
                    <w:overflowPunct/>
                    <w:topLinePunct w:val="0"/>
                    <w:autoSpaceDE/>
                    <w:autoSpaceDN/>
                    <w:bidi w:val="0"/>
                    <w:adjustRightInd w:val="0"/>
                    <w:snapToGrid/>
                    <w:ind w:firstLineChars="0"/>
                    <w:rPr>
                      <w:color w:val="auto"/>
                      <w:highlight w:val="none"/>
                    </w:rPr>
                  </w:pPr>
                </w:p>
              </w:tc>
              <w:tc>
                <w:tcPr>
                  <w:tcW w:w="1206" w:type="dxa"/>
                  <w:tcBorders>
                    <w:tl2br w:val="nil"/>
                    <w:tr2bl w:val="nil"/>
                  </w:tcBorders>
                  <w:vAlign w:val="center"/>
                </w:tcPr>
                <w:p>
                  <w:pPr>
                    <w:pStyle w:val="113"/>
                    <w:keepNext w:val="0"/>
                    <w:keepLines w:val="0"/>
                    <w:pageBreakBefore w:val="0"/>
                    <w:widowControl/>
                    <w:kinsoku/>
                    <w:wordWrap/>
                    <w:overflowPunct/>
                    <w:topLinePunct w:val="0"/>
                    <w:autoSpaceDE/>
                    <w:autoSpaceDN/>
                    <w:bidi w:val="0"/>
                    <w:adjustRightInd w:val="0"/>
                    <w:snapToGrid/>
                    <w:ind w:firstLineChars="0"/>
                    <w:rPr>
                      <w:color w:val="auto"/>
                      <w:highlight w:val="none"/>
                    </w:rPr>
                  </w:pPr>
                </w:p>
              </w:tc>
              <w:tc>
                <w:tcPr>
                  <w:tcW w:w="1223" w:type="dxa"/>
                  <w:tcBorders>
                    <w:tl2br w:val="nil"/>
                    <w:tr2bl w:val="nil"/>
                  </w:tcBorders>
                  <w:vAlign w:val="center"/>
                </w:tcPr>
                <w:p>
                  <w:pPr>
                    <w:pStyle w:val="113"/>
                    <w:keepNext w:val="0"/>
                    <w:keepLines w:val="0"/>
                    <w:pageBreakBefore w:val="0"/>
                    <w:widowControl/>
                    <w:kinsoku/>
                    <w:wordWrap/>
                    <w:overflowPunct/>
                    <w:topLinePunct w:val="0"/>
                    <w:autoSpaceDE/>
                    <w:autoSpaceDN/>
                    <w:bidi w:val="0"/>
                    <w:adjustRightInd w:val="0"/>
                    <w:snapToGrid/>
                    <w:ind w:firstLineChars="0"/>
                    <w:rPr>
                      <w:color w:val="auto"/>
                      <w:highlight w:val="none"/>
                    </w:rPr>
                  </w:pPr>
                </w:p>
              </w:tc>
              <w:tc>
                <w:tcPr>
                  <w:tcW w:w="1082" w:type="dxa"/>
                  <w:tcBorders>
                    <w:tl2br w:val="nil"/>
                    <w:tr2bl w:val="nil"/>
                  </w:tcBorders>
                  <w:vAlign w:val="center"/>
                </w:tcPr>
                <w:p>
                  <w:pPr>
                    <w:pStyle w:val="113"/>
                    <w:keepNext w:val="0"/>
                    <w:keepLines w:val="0"/>
                    <w:pageBreakBefore w:val="0"/>
                    <w:widowControl/>
                    <w:kinsoku/>
                    <w:wordWrap/>
                    <w:overflowPunct/>
                    <w:topLinePunct w:val="0"/>
                    <w:autoSpaceDE/>
                    <w:autoSpaceDN/>
                    <w:bidi w:val="0"/>
                    <w:adjustRightInd w:val="0"/>
                    <w:snapToGrid/>
                    <w:ind w:firstLineChars="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42" w:hRule="atLeast"/>
                <w:jc w:val="center"/>
              </w:trPr>
              <w:tc>
                <w:tcPr>
                  <w:tcW w:w="812" w:type="dxa"/>
                  <w:tcBorders>
                    <w:tl2br w:val="nil"/>
                    <w:tr2bl w:val="nil"/>
                  </w:tcBorders>
                  <w:vAlign w:val="center"/>
                </w:tcPr>
                <w:p>
                  <w:pPr>
                    <w:pStyle w:val="113"/>
                    <w:keepNext w:val="0"/>
                    <w:keepLines w:val="0"/>
                    <w:pageBreakBefore w:val="0"/>
                    <w:widowControl/>
                    <w:kinsoku/>
                    <w:wordWrap/>
                    <w:overflowPunct/>
                    <w:topLinePunct w:val="0"/>
                    <w:autoSpaceDE/>
                    <w:autoSpaceDN/>
                    <w:bidi w:val="0"/>
                    <w:adjustRightInd w:val="0"/>
                    <w:snapToGrid/>
                    <w:ind w:firstLineChars="0"/>
                    <w:rPr>
                      <w:color w:val="auto"/>
                      <w:highlight w:val="none"/>
                    </w:rPr>
                  </w:pPr>
                </w:p>
              </w:tc>
              <w:tc>
                <w:tcPr>
                  <w:tcW w:w="885" w:type="dxa"/>
                  <w:tcBorders>
                    <w:tl2br w:val="nil"/>
                    <w:tr2bl w:val="nil"/>
                  </w:tcBorders>
                  <w:vAlign w:val="center"/>
                </w:tcPr>
                <w:p>
                  <w:pPr>
                    <w:pStyle w:val="113"/>
                    <w:keepNext w:val="0"/>
                    <w:keepLines w:val="0"/>
                    <w:pageBreakBefore w:val="0"/>
                    <w:widowControl/>
                    <w:kinsoku/>
                    <w:wordWrap/>
                    <w:overflowPunct/>
                    <w:topLinePunct w:val="0"/>
                    <w:autoSpaceDE/>
                    <w:autoSpaceDN/>
                    <w:bidi w:val="0"/>
                    <w:adjustRightInd w:val="0"/>
                    <w:snapToGrid/>
                    <w:ind w:firstLineChars="0"/>
                    <w:rPr>
                      <w:rFonts w:hint="eastAsia" w:eastAsia="宋体"/>
                      <w:color w:val="auto"/>
                      <w:highlight w:val="none"/>
                      <w:lang w:eastAsia="zh-CN"/>
                    </w:rPr>
                  </w:pPr>
                </w:p>
              </w:tc>
              <w:tc>
                <w:tcPr>
                  <w:tcW w:w="869" w:type="dxa"/>
                  <w:tcBorders>
                    <w:tl2br w:val="nil"/>
                    <w:tr2bl w:val="nil"/>
                  </w:tcBorders>
                  <w:vAlign w:val="center"/>
                </w:tcPr>
                <w:p>
                  <w:pPr>
                    <w:pStyle w:val="113"/>
                    <w:keepNext w:val="0"/>
                    <w:keepLines w:val="0"/>
                    <w:pageBreakBefore w:val="0"/>
                    <w:widowControl/>
                    <w:kinsoku/>
                    <w:wordWrap/>
                    <w:overflowPunct/>
                    <w:topLinePunct w:val="0"/>
                    <w:autoSpaceDE/>
                    <w:autoSpaceDN/>
                    <w:bidi w:val="0"/>
                    <w:adjustRightInd w:val="0"/>
                    <w:snapToGrid/>
                    <w:ind w:firstLineChars="0"/>
                    <w:rPr>
                      <w:color w:val="auto"/>
                      <w:highlight w:val="none"/>
                    </w:rPr>
                  </w:pPr>
                </w:p>
              </w:tc>
              <w:tc>
                <w:tcPr>
                  <w:tcW w:w="989" w:type="dxa"/>
                  <w:tcBorders>
                    <w:tl2br w:val="nil"/>
                    <w:tr2bl w:val="nil"/>
                  </w:tcBorders>
                  <w:vAlign w:val="center"/>
                </w:tcPr>
                <w:p>
                  <w:pPr>
                    <w:pStyle w:val="113"/>
                    <w:keepNext w:val="0"/>
                    <w:keepLines w:val="0"/>
                    <w:pageBreakBefore w:val="0"/>
                    <w:widowControl/>
                    <w:kinsoku/>
                    <w:wordWrap/>
                    <w:overflowPunct/>
                    <w:topLinePunct w:val="0"/>
                    <w:autoSpaceDE/>
                    <w:autoSpaceDN/>
                    <w:bidi w:val="0"/>
                    <w:adjustRightInd w:val="0"/>
                    <w:snapToGrid/>
                    <w:ind w:firstLineChars="0"/>
                    <w:rPr>
                      <w:color w:val="auto"/>
                      <w:highlight w:val="none"/>
                    </w:rPr>
                  </w:pPr>
                </w:p>
              </w:tc>
              <w:tc>
                <w:tcPr>
                  <w:tcW w:w="844" w:type="dxa"/>
                  <w:tcBorders>
                    <w:tl2br w:val="nil"/>
                    <w:tr2bl w:val="nil"/>
                  </w:tcBorders>
                  <w:vAlign w:val="center"/>
                </w:tcPr>
                <w:p>
                  <w:pPr>
                    <w:pStyle w:val="113"/>
                    <w:keepNext w:val="0"/>
                    <w:keepLines w:val="0"/>
                    <w:pageBreakBefore w:val="0"/>
                    <w:widowControl/>
                    <w:kinsoku/>
                    <w:wordWrap/>
                    <w:overflowPunct/>
                    <w:topLinePunct w:val="0"/>
                    <w:autoSpaceDE/>
                    <w:autoSpaceDN/>
                    <w:bidi w:val="0"/>
                    <w:adjustRightInd w:val="0"/>
                    <w:snapToGrid/>
                    <w:ind w:firstLineChars="0"/>
                    <w:rPr>
                      <w:rFonts w:hint="eastAsia" w:eastAsia="宋体"/>
                      <w:color w:val="auto"/>
                      <w:highlight w:val="none"/>
                      <w:lang w:eastAsia="zh-CN"/>
                    </w:rPr>
                  </w:pPr>
                </w:p>
              </w:tc>
              <w:tc>
                <w:tcPr>
                  <w:tcW w:w="1030" w:type="dxa"/>
                  <w:tcBorders>
                    <w:tl2br w:val="nil"/>
                    <w:tr2bl w:val="nil"/>
                  </w:tcBorders>
                  <w:vAlign w:val="center"/>
                </w:tcPr>
                <w:p>
                  <w:pPr>
                    <w:pStyle w:val="113"/>
                    <w:keepNext w:val="0"/>
                    <w:keepLines w:val="0"/>
                    <w:pageBreakBefore w:val="0"/>
                    <w:widowControl/>
                    <w:kinsoku/>
                    <w:wordWrap/>
                    <w:overflowPunct/>
                    <w:topLinePunct w:val="0"/>
                    <w:autoSpaceDE/>
                    <w:autoSpaceDN/>
                    <w:bidi w:val="0"/>
                    <w:adjustRightInd w:val="0"/>
                    <w:snapToGrid/>
                    <w:ind w:firstLineChars="0"/>
                    <w:rPr>
                      <w:color w:val="auto"/>
                      <w:highlight w:val="none"/>
                    </w:rPr>
                  </w:pPr>
                </w:p>
              </w:tc>
              <w:tc>
                <w:tcPr>
                  <w:tcW w:w="1227" w:type="dxa"/>
                  <w:tcBorders>
                    <w:tl2br w:val="nil"/>
                    <w:tr2bl w:val="nil"/>
                  </w:tcBorders>
                  <w:vAlign w:val="center"/>
                </w:tcPr>
                <w:p>
                  <w:pPr>
                    <w:pStyle w:val="113"/>
                    <w:keepNext w:val="0"/>
                    <w:keepLines w:val="0"/>
                    <w:pageBreakBefore w:val="0"/>
                    <w:widowControl/>
                    <w:kinsoku/>
                    <w:wordWrap/>
                    <w:overflowPunct/>
                    <w:topLinePunct w:val="0"/>
                    <w:autoSpaceDE/>
                    <w:autoSpaceDN/>
                    <w:bidi w:val="0"/>
                    <w:adjustRightInd w:val="0"/>
                    <w:snapToGrid/>
                    <w:ind w:firstLineChars="0"/>
                    <w:rPr>
                      <w:rFonts w:hint="default" w:eastAsia="宋体"/>
                      <w:color w:val="auto"/>
                      <w:highlight w:val="none"/>
                      <w:lang w:val="en-US" w:eastAsia="zh-CN"/>
                    </w:rPr>
                  </w:pPr>
                </w:p>
              </w:tc>
              <w:tc>
                <w:tcPr>
                  <w:tcW w:w="1499" w:type="dxa"/>
                  <w:tcBorders>
                    <w:tl2br w:val="nil"/>
                    <w:tr2bl w:val="nil"/>
                  </w:tcBorders>
                  <w:vAlign w:val="center"/>
                </w:tcPr>
                <w:p>
                  <w:pPr>
                    <w:pStyle w:val="113"/>
                    <w:keepNext w:val="0"/>
                    <w:keepLines w:val="0"/>
                    <w:pageBreakBefore w:val="0"/>
                    <w:widowControl/>
                    <w:kinsoku/>
                    <w:wordWrap/>
                    <w:overflowPunct/>
                    <w:topLinePunct w:val="0"/>
                    <w:autoSpaceDE/>
                    <w:autoSpaceDN/>
                    <w:bidi w:val="0"/>
                    <w:adjustRightInd w:val="0"/>
                    <w:snapToGrid/>
                    <w:ind w:firstLineChars="0"/>
                    <w:rPr>
                      <w:color w:val="auto"/>
                      <w:highlight w:val="none"/>
                    </w:rPr>
                  </w:pPr>
                </w:p>
              </w:tc>
              <w:tc>
                <w:tcPr>
                  <w:tcW w:w="861" w:type="dxa"/>
                  <w:tcBorders>
                    <w:tl2br w:val="nil"/>
                    <w:tr2bl w:val="nil"/>
                  </w:tcBorders>
                  <w:vAlign w:val="center"/>
                </w:tcPr>
                <w:p>
                  <w:pPr>
                    <w:pStyle w:val="113"/>
                    <w:keepNext w:val="0"/>
                    <w:keepLines w:val="0"/>
                    <w:pageBreakBefore w:val="0"/>
                    <w:widowControl/>
                    <w:kinsoku/>
                    <w:wordWrap/>
                    <w:overflowPunct/>
                    <w:topLinePunct w:val="0"/>
                    <w:autoSpaceDE/>
                    <w:autoSpaceDN/>
                    <w:bidi w:val="0"/>
                    <w:adjustRightInd w:val="0"/>
                    <w:snapToGrid/>
                    <w:ind w:firstLineChars="0"/>
                    <w:rPr>
                      <w:rFonts w:hint="eastAsia"/>
                      <w:color w:val="auto"/>
                      <w:highlight w:val="none"/>
                      <w:lang w:val="en-US" w:eastAsia="zh-CN"/>
                    </w:rPr>
                  </w:pPr>
                </w:p>
              </w:tc>
              <w:tc>
                <w:tcPr>
                  <w:tcW w:w="1295" w:type="dxa"/>
                  <w:tcBorders>
                    <w:tl2br w:val="nil"/>
                    <w:tr2bl w:val="nil"/>
                  </w:tcBorders>
                  <w:shd w:val="clear" w:color="auto" w:fill="auto"/>
                  <w:vAlign w:val="center"/>
                </w:tcPr>
                <w:p>
                  <w:pPr>
                    <w:pStyle w:val="113"/>
                    <w:keepNext w:val="0"/>
                    <w:keepLines w:val="0"/>
                    <w:pageBreakBefore w:val="0"/>
                    <w:widowControl/>
                    <w:kinsoku/>
                    <w:wordWrap/>
                    <w:overflowPunct/>
                    <w:topLinePunct w:val="0"/>
                    <w:autoSpaceDE/>
                    <w:autoSpaceDN/>
                    <w:bidi w:val="0"/>
                    <w:adjustRightInd w:val="0"/>
                    <w:snapToGrid/>
                    <w:ind w:firstLineChars="0"/>
                    <w:rPr>
                      <w:rFonts w:hint="eastAsia"/>
                      <w:color w:val="auto"/>
                      <w:highlight w:val="none"/>
                      <w:lang w:val="en-US" w:eastAsia="zh-CN"/>
                    </w:rPr>
                  </w:pPr>
                </w:p>
              </w:tc>
              <w:tc>
                <w:tcPr>
                  <w:tcW w:w="850" w:type="dxa"/>
                  <w:tcBorders>
                    <w:tl2br w:val="nil"/>
                    <w:tr2bl w:val="nil"/>
                  </w:tcBorders>
                  <w:tcMar>
                    <w:top w:w="0" w:type="dxa"/>
                    <w:left w:w="28" w:type="dxa"/>
                    <w:bottom w:w="0" w:type="dxa"/>
                    <w:right w:w="28" w:type="dxa"/>
                  </w:tcMar>
                  <w:vAlign w:val="center"/>
                </w:tcPr>
                <w:p>
                  <w:pPr>
                    <w:pStyle w:val="113"/>
                    <w:keepNext w:val="0"/>
                    <w:keepLines w:val="0"/>
                    <w:pageBreakBefore w:val="0"/>
                    <w:widowControl/>
                    <w:kinsoku/>
                    <w:wordWrap/>
                    <w:overflowPunct/>
                    <w:topLinePunct w:val="0"/>
                    <w:autoSpaceDE/>
                    <w:autoSpaceDN/>
                    <w:bidi w:val="0"/>
                    <w:adjustRightInd w:val="0"/>
                    <w:snapToGrid/>
                    <w:ind w:firstLineChars="0"/>
                    <w:rPr>
                      <w:rFonts w:hint="default" w:eastAsia="宋体"/>
                      <w:color w:val="auto"/>
                      <w:highlight w:val="none"/>
                      <w:lang w:val="en-US" w:eastAsia="zh-CN"/>
                    </w:rPr>
                  </w:pPr>
                </w:p>
              </w:tc>
              <w:tc>
                <w:tcPr>
                  <w:tcW w:w="1035" w:type="dxa"/>
                  <w:tcBorders>
                    <w:tl2br w:val="nil"/>
                    <w:tr2bl w:val="nil"/>
                  </w:tcBorders>
                  <w:tcMar>
                    <w:top w:w="0" w:type="dxa"/>
                    <w:left w:w="28" w:type="dxa"/>
                    <w:bottom w:w="0" w:type="dxa"/>
                    <w:right w:w="28" w:type="dxa"/>
                  </w:tcMar>
                  <w:vAlign w:val="center"/>
                </w:tcPr>
                <w:p>
                  <w:pPr>
                    <w:pStyle w:val="113"/>
                    <w:keepNext w:val="0"/>
                    <w:keepLines w:val="0"/>
                    <w:pageBreakBefore w:val="0"/>
                    <w:widowControl/>
                    <w:kinsoku/>
                    <w:wordWrap/>
                    <w:overflowPunct/>
                    <w:topLinePunct w:val="0"/>
                    <w:autoSpaceDE/>
                    <w:autoSpaceDN/>
                    <w:bidi w:val="0"/>
                    <w:adjustRightInd w:val="0"/>
                    <w:snapToGrid/>
                    <w:ind w:firstLineChars="0"/>
                    <w:rPr>
                      <w:rFonts w:hint="default" w:eastAsia="宋体"/>
                      <w:color w:val="auto"/>
                      <w:highlight w:val="none"/>
                      <w:lang w:val="en-US" w:eastAsia="zh-CN"/>
                    </w:rPr>
                  </w:pPr>
                </w:p>
              </w:tc>
              <w:tc>
                <w:tcPr>
                  <w:tcW w:w="1026" w:type="dxa"/>
                  <w:tcBorders>
                    <w:tl2br w:val="nil"/>
                    <w:tr2bl w:val="nil"/>
                  </w:tcBorders>
                  <w:vAlign w:val="center"/>
                </w:tcPr>
                <w:p>
                  <w:pPr>
                    <w:pStyle w:val="113"/>
                    <w:keepNext w:val="0"/>
                    <w:keepLines w:val="0"/>
                    <w:pageBreakBefore w:val="0"/>
                    <w:widowControl/>
                    <w:kinsoku/>
                    <w:wordWrap/>
                    <w:overflowPunct/>
                    <w:topLinePunct w:val="0"/>
                    <w:autoSpaceDE/>
                    <w:autoSpaceDN/>
                    <w:bidi w:val="0"/>
                    <w:adjustRightInd w:val="0"/>
                    <w:snapToGrid/>
                    <w:ind w:firstLineChars="0"/>
                    <w:rPr>
                      <w:color w:val="auto"/>
                      <w:highlight w:val="none"/>
                    </w:rPr>
                  </w:pPr>
                </w:p>
              </w:tc>
              <w:tc>
                <w:tcPr>
                  <w:tcW w:w="2173" w:type="dxa"/>
                  <w:tcBorders>
                    <w:tl2br w:val="nil"/>
                    <w:tr2bl w:val="nil"/>
                  </w:tcBorders>
                  <w:tcMar>
                    <w:top w:w="0" w:type="dxa"/>
                    <w:left w:w="28" w:type="dxa"/>
                    <w:bottom w:w="0" w:type="dxa"/>
                    <w:right w:w="28" w:type="dxa"/>
                  </w:tcMar>
                  <w:vAlign w:val="center"/>
                </w:tcPr>
                <w:p>
                  <w:pPr>
                    <w:pStyle w:val="113"/>
                    <w:keepNext w:val="0"/>
                    <w:keepLines w:val="0"/>
                    <w:pageBreakBefore w:val="0"/>
                    <w:widowControl/>
                    <w:kinsoku/>
                    <w:wordWrap/>
                    <w:overflowPunct/>
                    <w:topLinePunct w:val="0"/>
                    <w:autoSpaceDE/>
                    <w:autoSpaceDN/>
                    <w:bidi w:val="0"/>
                    <w:adjustRightInd w:val="0"/>
                    <w:snapToGrid/>
                    <w:ind w:firstLineChars="0"/>
                    <w:rPr>
                      <w:color w:val="auto"/>
                      <w:highlight w:val="none"/>
                    </w:rPr>
                  </w:pPr>
                </w:p>
              </w:tc>
              <w:tc>
                <w:tcPr>
                  <w:tcW w:w="1131" w:type="dxa"/>
                  <w:tcBorders>
                    <w:tl2br w:val="nil"/>
                    <w:tr2bl w:val="nil"/>
                  </w:tcBorders>
                  <w:tcMar>
                    <w:top w:w="0" w:type="dxa"/>
                    <w:left w:w="28" w:type="dxa"/>
                    <w:bottom w:w="0" w:type="dxa"/>
                    <w:right w:w="28" w:type="dxa"/>
                  </w:tcMar>
                  <w:vAlign w:val="center"/>
                </w:tcPr>
                <w:p>
                  <w:pPr>
                    <w:pStyle w:val="113"/>
                    <w:keepNext w:val="0"/>
                    <w:keepLines w:val="0"/>
                    <w:pageBreakBefore w:val="0"/>
                    <w:widowControl/>
                    <w:kinsoku/>
                    <w:wordWrap/>
                    <w:overflowPunct/>
                    <w:topLinePunct w:val="0"/>
                    <w:autoSpaceDE/>
                    <w:autoSpaceDN/>
                    <w:bidi w:val="0"/>
                    <w:adjustRightInd w:val="0"/>
                    <w:snapToGrid/>
                    <w:ind w:firstLineChars="0"/>
                    <w:rPr>
                      <w:color w:val="auto"/>
                      <w:highlight w:val="none"/>
                    </w:rPr>
                  </w:pPr>
                </w:p>
              </w:tc>
              <w:tc>
                <w:tcPr>
                  <w:tcW w:w="1206" w:type="dxa"/>
                  <w:tcBorders>
                    <w:tl2br w:val="nil"/>
                    <w:tr2bl w:val="nil"/>
                  </w:tcBorders>
                  <w:vAlign w:val="center"/>
                </w:tcPr>
                <w:p>
                  <w:pPr>
                    <w:pStyle w:val="113"/>
                    <w:keepNext w:val="0"/>
                    <w:keepLines w:val="0"/>
                    <w:pageBreakBefore w:val="0"/>
                    <w:widowControl/>
                    <w:kinsoku/>
                    <w:wordWrap/>
                    <w:overflowPunct/>
                    <w:topLinePunct w:val="0"/>
                    <w:autoSpaceDE/>
                    <w:autoSpaceDN/>
                    <w:bidi w:val="0"/>
                    <w:adjustRightInd w:val="0"/>
                    <w:snapToGrid/>
                    <w:ind w:firstLineChars="0"/>
                    <w:rPr>
                      <w:color w:val="auto"/>
                      <w:highlight w:val="none"/>
                    </w:rPr>
                  </w:pPr>
                </w:p>
              </w:tc>
              <w:tc>
                <w:tcPr>
                  <w:tcW w:w="1223" w:type="dxa"/>
                  <w:tcBorders>
                    <w:tl2br w:val="nil"/>
                    <w:tr2bl w:val="nil"/>
                  </w:tcBorders>
                  <w:vAlign w:val="center"/>
                </w:tcPr>
                <w:p>
                  <w:pPr>
                    <w:pStyle w:val="113"/>
                    <w:keepNext w:val="0"/>
                    <w:keepLines w:val="0"/>
                    <w:pageBreakBefore w:val="0"/>
                    <w:widowControl/>
                    <w:kinsoku/>
                    <w:wordWrap/>
                    <w:overflowPunct/>
                    <w:topLinePunct w:val="0"/>
                    <w:autoSpaceDE/>
                    <w:autoSpaceDN/>
                    <w:bidi w:val="0"/>
                    <w:adjustRightInd w:val="0"/>
                    <w:snapToGrid/>
                    <w:ind w:firstLineChars="0"/>
                    <w:rPr>
                      <w:color w:val="auto"/>
                      <w:highlight w:val="none"/>
                    </w:rPr>
                  </w:pPr>
                </w:p>
              </w:tc>
              <w:tc>
                <w:tcPr>
                  <w:tcW w:w="1082" w:type="dxa"/>
                  <w:tcBorders>
                    <w:tl2br w:val="nil"/>
                    <w:tr2bl w:val="nil"/>
                  </w:tcBorders>
                  <w:vAlign w:val="center"/>
                </w:tcPr>
                <w:p>
                  <w:pPr>
                    <w:pStyle w:val="113"/>
                    <w:keepNext w:val="0"/>
                    <w:keepLines w:val="0"/>
                    <w:pageBreakBefore w:val="0"/>
                    <w:widowControl/>
                    <w:kinsoku/>
                    <w:wordWrap/>
                    <w:overflowPunct/>
                    <w:topLinePunct w:val="0"/>
                    <w:autoSpaceDE/>
                    <w:autoSpaceDN/>
                    <w:bidi w:val="0"/>
                    <w:adjustRightInd w:val="0"/>
                    <w:snapToGrid/>
                    <w:ind w:firstLineChars="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2" w:hRule="atLeast"/>
                <w:jc w:val="center"/>
              </w:trPr>
              <w:tc>
                <w:tcPr>
                  <w:tcW w:w="812" w:type="dxa"/>
                  <w:vMerge w:val="restart"/>
                  <w:tcBorders>
                    <w:tl2br w:val="nil"/>
                    <w:tr2bl w:val="nil"/>
                  </w:tcBorders>
                  <w:vAlign w:val="center"/>
                </w:tcPr>
                <w:p>
                  <w:pPr>
                    <w:pStyle w:val="113"/>
                    <w:keepNext w:val="0"/>
                    <w:keepLines w:val="0"/>
                    <w:pageBreakBefore w:val="0"/>
                    <w:widowControl/>
                    <w:kinsoku/>
                    <w:wordWrap/>
                    <w:overflowPunct/>
                    <w:topLinePunct w:val="0"/>
                    <w:autoSpaceDE/>
                    <w:autoSpaceDN/>
                    <w:bidi w:val="0"/>
                    <w:adjustRightInd w:val="0"/>
                    <w:snapToGrid/>
                    <w:ind w:firstLineChars="0"/>
                    <w:rPr>
                      <w:color w:val="auto"/>
                      <w:highlight w:val="none"/>
                    </w:rPr>
                  </w:pPr>
                </w:p>
              </w:tc>
              <w:tc>
                <w:tcPr>
                  <w:tcW w:w="885" w:type="dxa"/>
                  <w:tcBorders>
                    <w:tl2br w:val="nil"/>
                    <w:tr2bl w:val="nil"/>
                  </w:tcBorders>
                  <w:vAlign w:val="center"/>
                </w:tcPr>
                <w:p>
                  <w:pPr>
                    <w:pStyle w:val="113"/>
                    <w:keepNext w:val="0"/>
                    <w:keepLines w:val="0"/>
                    <w:pageBreakBefore w:val="0"/>
                    <w:widowControl/>
                    <w:kinsoku/>
                    <w:wordWrap/>
                    <w:overflowPunct/>
                    <w:topLinePunct w:val="0"/>
                    <w:autoSpaceDE/>
                    <w:autoSpaceDN/>
                    <w:bidi w:val="0"/>
                    <w:adjustRightInd w:val="0"/>
                    <w:snapToGrid/>
                    <w:ind w:firstLineChars="0"/>
                    <w:rPr>
                      <w:color w:val="auto"/>
                      <w:highlight w:val="none"/>
                    </w:rPr>
                  </w:pPr>
                </w:p>
              </w:tc>
              <w:tc>
                <w:tcPr>
                  <w:tcW w:w="869" w:type="dxa"/>
                  <w:tcBorders>
                    <w:tl2br w:val="nil"/>
                    <w:tr2bl w:val="nil"/>
                  </w:tcBorders>
                  <w:vAlign w:val="center"/>
                </w:tcPr>
                <w:p>
                  <w:pPr>
                    <w:pStyle w:val="113"/>
                    <w:keepNext w:val="0"/>
                    <w:keepLines w:val="0"/>
                    <w:pageBreakBefore w:val="0"/>
                    <w:widowControl/>
                    <w:kinsoku/>
                    <w:wordWrap/>
                    <w:overflowPunct/>
                    <w:topLinePunct w:val="0"/>
                    <w:autoSpaceDE/>
                    <w:autoSpaceDN/>
                    <w:bidi w:val="0"/>
                    <w:adjustRightInd w:val="0"/>
                    <w:snapToGrid/>
                    <w:ind w:firstLineChars="0"/>
                    <w:rPr>
                      <w:color w:val="auto"/>
                      <w:highlight w:val="none"/>
                    </w:rPr>
                  </w:pPr>
                </w:p>
              </w:tc>
              <w:tc>
                <w:tcPr>
                  <w:tcW w:w="989" w:type="dxa"/>
                  <w:tcBorders>
                    <w:tl2br w:val="nil"/>
                    <w:tr2bl w:val="nil"/>
                  </w:tcBorders>
                  <w:vAlign w:val="center"/>
                </w:tcPr>
                <w:p>
                  <w:pPr>
                    <w:pStyle w:val="113"/>
                    <w:keepNext w:val="0"/>
                    <w:keepLines w:val="0"/>
                    <w:pageBreakBefore w:val="0"/>
                    <w:widowControl/>
                    <w:kinsoku/>
                    <w:wordWrap/>
                    <w:overflowPunct/>
                    <w:topLinePunct w:val="0"/>
                    <w:autoSpaceDE/>
                    <w:autoSpaceDN/>
                    <w:bidi w:val="0"/>
                    <w:adjustRightInd w:val="0"/>
                    <w:snapToGrid/>
                    <w:ind w:firstLineChars="0"/>
                    <w:rPr>
                      <w:color w:val="auto"/>
                      <w:highlight w:val="none"/>
                    </w:rPr>
                  </w:pPr>
                </w:p>
              </w:tc>
              <w:tc>
                <w:tcPr>
                  <w:tcW w:w="844" w:type="dxa"/>
                  <w:tcBorders>
                    <w:tl2br w:val="nil"/>
                    <w:tr2bl w:val="nil"/>
                  </w:tcBorders>
                  <w:vAlign w:val="center"/>
                </w:tcPr>
                <w:p>
                  <w:pPr>
                    <w:pStyle w:val="113"/>
                    <w:keepNext w:val="0"/>
                    <w:keepLines w:val="0"/>
                    <w:pageBreakBefore w:val="0"/>
                    <w:widowControl/>
                    <w:kinsoku/>
                    <w:wordWrap/>
                    <w:overflowPunct/>
                    <w:topLinePunct w:val="0"/>
                    <w:autoSpaceDE/>
                    <w:autoSpaceDN/>
                    <w:bidi w:val="0"/>
                    <w:adjustRightInd w:val="0"/>
                    <w:snapToGrid/>
                    <w:ind w:firstLineChars="0"/>
                    <w:rPr>
                      <w:color w:val="auto"/>
                      <w:highlight w:val="none"/>
                    </w:rPr>
                  </w:pPr>
                </w:p>
              </w:tc>
              <w:tc>
                <w:tcPr>
                  <w:tcW w:w="1030" w:type="dxa"/>
                  <w:tcBorders>
                    <w:tl2br w:val="nil"/>
                    <w:tr2bl w:val="nil"/>
                  </w:tcBorders>
                  <w:vAlign w:val="center"/>
                </w:tcPr>
                <w:p>
                  <w:pPr>
                    <w:pStyle w:val="113"/>
                    <w:keepNext w:val="0"/>
                    <w:keepLines w:val="0"/>
                    <w:pageBreakBefore w:val="0"/>
                    <w:widowControl/>
                    <w:suppressLineNumbers w:val="0"/>
                    <w:kinsoku/>
                    <w:wordWrap/>
                    <w:overflowPunct/>
                    <w:topLinePunct w:val="0"/>
                    <w:autoSpaceDE/>
                    <w:autoSpaceDN/>
                    <w:bidi w:val="0"/>
                    <w:adjustRightInd w:val="0"/>
                    <w:snapToGrid/>
                    <w:ind w:firstLineChars="0"/>
                    <w:jc w:val="center"/>
                    <w:textAlignment w:val="center"/>
                    <w:rPr>
                      <w:rFonts w:hint="default"/>
                      <w:color w:val="auto"/>
                      <w:highlight w:val="none"/>
                      <w:lang w:val="en-US" w:eastAsia="zh-CN"/>
                    </w:rPr>
                  </w:pPr>
                </w:p>
              </w:tc>
              <w:tc>
                <w:tcPr>
                  <w:tcW w:w="1227" w:type="dxa"/>
                  <w:tcBorders>
                    <w:tl2br w:val="nil"/>
                    <w:tr2bl w:val="nil"/>
                  </w:tcBorders>
                  <w:vAlign w:val="center"/>
                </w:tcPr>
                <w:p>
                  <w:pPr>
                    <w:pStyle w:val="113"/>
                    <w:keepNext w:val="0"/>
                    <w:keepLines w:val="0"/>
                    <w:pageBreakBefore w:val="0"/>
                    <w:widowControl/>
                    <w:suppressLineNumbers w:val="0"/>
                    <w:kinsoku/>
                    <w:wordWrap/>
                    <w:overflowPunct/>
                    <w:topLinePunct w:val="0"/>
                    <w:autoSpaceDE/>
                    <w:autoSpaceDN/>
                    <w:bidi w:val="0"/>
                    <w:adjustRightInd w:val="0"/>
                    <w:snapToGrid/>
                    <w:ind w:firstLineChars="0"/>
                    <w:jc w:val="center"/>
                    <w:textAlignment w:val="center"/>
                    <w:rPr>
                      <w:rFonts w:hint="default"/>
                      <w:color w:val="auto"/>
                      <w:highlight w:val="none"/>
                      <w:lang w:val="en-US" w:eastAsia="zh-CN"/>
                    </w:rPr>
                  </w:pPr>
                </w:p>
              </w:tc>
              <w:tc>
                <w:tcPr>
                  <w:tcW w:w="1499" w:type="dxa"/>
                  <w:tcBorders>
                    <w:tl2br w:val="nil"/>
                    <w:tr2bl w:val="nil"/>
                  </w:tcBorders>
                  <w:vAlign w:val="center"/>
                </w:tcPr>
                <w:p>
                  <w:pPr>
                    <w:pStyle w:val="113"/>
                    <w:keepNext w:val="0"/>
                    <w:keepLines w:val="0"/>
                    <w:pageBreakBefore w:val="0"/>
                    <w:widowControl/>
                    <w:suppressLineNumbers w:val="0"/>
                    <w:kinsoku/>
                    <w:wordWrap/>
                    <w:overflowPunct/>
                    <w:topLinePunct w:val="0"/>
                    <w:autoSpaceDE/>
                    <w:autoSpaceDN/>
                    <w:bidi w:val="0"/>
                    <w:adjustRightInd w:val="0"/>
                    <w:snapToGrid/>
                    <w:ind w:firstLineChars="0"/>
                    <w:jc w:val="center"/>
                    <w:textAlignment w:val="center"/>
                    <w:rPr>
                      <w:rFonts w:hint="default"/>
                      <w:color w:val="auto"/>
                      <w:highlight w:val="none"/>
                      <w:lang w:val="en-US" w:eastAsia="zh-CN"/>
                    </w:rPr>
                  </w:pPr>
                </w:p>
              </w:tc>
              <w:tc>
                <w:tcPr>
                  <w:tcW w:w="861" w:type="dxa"/>
                  <w:tcBorders>
                    <w:tl2br w:val="nil"/>
                    <w:tr2bl w:val="nil"/>
                  </w:tcBorders>
                  <w:vAlign w:val="center"/>
                </w:tcPr>
                <w:p>
                  <w:pPr>
                    <w:pStyle w:val="113"/>
                    <w:keepNext w:val="0"/>
                    <w:keepLines w:val="0"/>
                    <w:pageBreakBefore w:val="0"/>
                    <w:widowControl/>
                    <w:suppressLineNumbers w:val="0"/>
                    <w:kinsoku/>
                    <w:wordWrap/>
                    <w:overflowPunct/>
                    <w:topLinePunct w:val="0"/>
                    <w:autoSpaceDE/>
                    <w:autoSpaceDN/>
                    <w:bidi w:val="0"/>
                    <w:adjustRightInd w:val="0"/>
                    <w:snapToGrid/>
                    <w:ind w:firstLineChars="0"/>
                    <w:jc w:val="center"/>
                    <w:textAlignment w:val="center"/>
                    <w:rPr>
                      <w:rFonts w:hint="default"/>
                      <w:color w:val="auto"/>
                      <w:highlight w:val="none"/>
                      <w:lang w:val="en-US" w:eastAsia="zh-CN"/>
                    </w:rPr>
                  </w:pPr>
                </w:p>
              </w:tc>
              <w:tc>
                <w:tcPr>
                  <w:tcW w:w="1295" w:type="dxa"/>
                  <w:tcBorders>
                    <w:tl2br w:val="nil"/>
                    <w:tr2bl w:val="nil"/>
                  </w:tcBorders>
                  <w:vAlign w:val="center"/>
                </w:tcPr>
                <w:p>
                  <w:pPr>
                    <w:pStyle w:val="113"/>
                    <w:keepNext w:val="0"/>
                    <w:keepLines w:val="0"/>
                    <w:pageBreakBefore w:val="0"/>
                    <w:widowControl/>
                    <w:suppressLineNumbers w:val="0"/>
                    <w:kinsoku/>
                    <w:wordWrap/>
                    <w:overflowPunct/>
                    <w:topLinePunct w:val="0"/>
                    <w:autoSpaceDE/>
                    <w:autoSpaceDN/>
                    <w:bidi w:val="0"/>
                    <w:adjustRightInd w:val="0"/>
                    <w:snapToGrid/>
                    <w:ind w:firstLineChars="0"/>
                    <w:jc w:val="center"/>
                    <w:textAlignment w:val="center"/>
                    <w:rPr>
                      <w:rFonts w:hint="default"/>
                      <w:color w:val="auto"/>
                      <w:highlight w:val="none"/>
                      <w:lang w:val="en-US" w:eastAsia="zh-CN"/>
                    </w:rPr>
                  </w:pPr>
                </w:p>
              </w:tc>
              <w:tc>
                <w:tcPr>
                  <w:tcW w:w="1885" w:type="dxa"/>
                  <w:gridSpan w:val="2"/>
                  <w:tcBorders>
                    <w:tl2br w:val="nil"/>
                    <w:tr2bl w:val="nil"/>
                  </w:tcBorders>
                  <w:tcMar>
                    <w:top w:w="0" w:type="dxa"/>
                    <w:left w:w="28" w:type="dxa"/>
                    <w:bottom w:w="0" w:type="dxa"/>
                    <w:right w:w="28" w:type="dxa"/>
                  </w:tcMar>
                  <w:vAlign w:val="center"/>
                </w:tcPr>
                <w:p>
                  <w:pPr>
                    <w:pStyle w:val="113"/>
                    <w:keepNext w:val="0"/>
                    <w:keepLines w:val="0"/>
                    <w:pageBreakBefore w:val="0"/>
                    <w:widowControl/>
                    <w:suppressLineNumbers w:val="0"/>
                    <w:kinsoku/>
                    <w:wordWrap/>
                    <w:overflowPunct/>
                    <w:topLinePunct w:val="0"/>
                    <w:autoSpaceDE/>
                    <w:autoSpaceDN/>
                    <w:bidi w:val="0"/>
                    <w:adjustRightInd w:val="0"/>
                    <w:snapToGrid/>
                    <w:ind w:firstLineChars="0"/>
                    <w:jc w:val="center"/>
                    <w:textAlignment w:val="center"/>
                    <w:rPr>
                      <w:rFonts w:hint="default"/>
                      <w:color w:val="auto"/>
                      <w:highlight w:val="none"/>
                      <w:lang w:val="en-US" w:eastAsia="zh-CN"/>
                    </w:rPr>
                  </w:pPr>
                </w:p>
              </w:tc>
              <w:tc>
                <w:tcPr>
                  <w:tcW w:w="1026" w:type="dxa"/>
                  <w:tcBorders>
                    <w:tl2br w:val="nil"/>
                    <w:tr2bl w:val="nil"/>
                  </w:tcBorders>
                  <w:vAlign w:val="center"/>
                </w:tcPr>
                <w:p>
                  <w:pPr>
                    <w:pStyle w:val="113"/>
                    <w:keepNext w:val="0"/>
                    <w:keepLines w:val="0"/>
                    <w:pageBreakBefore w:val="0"/>
                    <w:widowControl/>
                    <w:kinsoku/>
                    <w:wordWrap/>
                    <w:overflowPunct/>
                    <w:topLinePunct w:val="0"/>
                    <w:autoSpaceDE/>
                    <w:autoSpaceDN/>
                    <w:bidi w:val="0"/>
                    <w:adjustRightInd w:val="0"/>
                    <w:snapToGrid/>
                    <w:ind w:firstLineChars="0"/>
                    <w:rPr>
                      <w:color w:val="auto"/>
                      <w:highlight w:val="none"/>
                    </w:rPr>
                  </w:pPr>
                </w:p>
              </w:tc>
              <w:tc>
                <w:tcPr>
                  <w:tcW w:w="2173" w:type="dxa"/>
                  <w:tcBorders>
                    <w:tl2br w:val="nil"/>
                    <w:tr2bl w:val="nil"/>
                  </w:tcBorders>
                  <w:tcMar>
                    <w:top w:w="0" w:type="dxa"/>
                    <w:left w:w="28" w:type="dxa"/>
                    <w:bottom w:w="0" w:type="dxa"/>
                    <w:right w:w="28" w:type="dxa"/>
                  </w:tcMar>
                  <w:vAlign w:val="center"/>
                </w:tcPr>
                <w:p>
                  <w:pPr>
                    <w:pStyle w:val="113"/>
                    <w:keepNext w:val="0"/>
                    <w:keepLines w:val="0"/>
                    <w:pageBreakBefore w:val="0"/>
                    <w:widowControl/>
                    <w:kinsoku/>
                    <w:wordWrap/>
                    <w:overflowPunct/>
                    <w:topLinePunct w:val="0"/>
                    <w:autoSpaceDE/>
                    <w:autoSpaceDN/>
                    <w:bidi w:val="0"/>
                    <w:adjustRightInd w:val="0"/>
                    <w:snapToGrid/>
                    <w:ind w:firstLineChars="0"/>
                    <w:rPr>
                      <w:color w:val="auto"/>
                      <w:highlight w:val="none"/>
                    </w:rPr>
                  </w:pPr>
                </w:p>
              </w:tc>
              <w:tc>
                <w:tcPr>
                  <w:tcW w:w="1131" w:type="dxa"/>
                  <w:vMerge w:val="restart"/>
                  <w:tcBorders>
                    <w:tl2br w:val="nil"/>
                    <w:tr2bl w:val="nil"/>
                  </w:tcBorders>
                  <w:tcMar>
                    <w:top w:w="0" w:type="dxa"/>
                    <w:left w:w="28" w:type="dxa"/>
                    <w:bottom w:w="0" w:type="dxa"/>
                    <w:right w:w="28" w:type="dxa"/>
                  </w:tcMar>
                  <w:vAlign w:val="center"/>
                </w:tcPr>
                <w:p>
                  <w:pPr>
                    <w:pStyle w:val="113"/>
                    <w:keepNext w:val="0"/>
                    <w:keepLines w:val="0"/>
                    <w:pageBreakBefore w:val="0"/>
                    <w:widowControl/>
                    <w:kinsoku/>
                    <w:wordWrap/>
                    <w:overflowPunct/>
                    <w:topLinePunct w:val="0"/>
                    <w:autoSpaceDE/>
                    <w:autoSpaceDN/>
                    <w:bidi w:val="0"/>
                    <w:adjustRightInd w:val="0"/>
                    <w:snapToGrid/>
                    <w:ind w:firstLineChars="0"/>
                    <w:rPr>
                      <w:color w:val="auto"/>
                      <w:highlight w:val="none"/>
                    </w:rPr>
                  </w:pPr>
                </w:p>
              </w:tc>
              <w:tc>
                <w:tcPr>
                  <w:tcW w:w="1206" w:type="dxa"/>
                  <w:vMerge w:val="restart"/>
                  <w:tcBorders>
                    <w:tl2br w:val="nil"/>
                    <w:tr2bl w:val="nil"/>
                  </w:tcBorders>
                  <w:vAlign w:val="center"/>
                </w:tcPr>
                <w:p>
                  <w:pPr>
                    <w:pStyle w:val="113"/>
                    <w:keepNext w:val="0"/>
                    <w:keepLines w:val="0"/>
                    <w:pageBreakBefore w:val="0"/>
                    <w:widowControl/>
                    <w:kinsoku/>
                    <w:wordWrap/>
                    <w:overflowPunct/>
                    <w:topLinePunct w:val="0"/>
                    <w:autoSpaceDE/>
                    <w:autoSpaceDN/>
                    <w:bidi w:val="0"/>
                    <w:adjustRightInd w:val="0"/>
                    <w:snapToGrid/>
                    <w:ind w:firstLineChars="0"/>
                    <w:rPr>
                      <w:color w:val="auto"/>
                      <w:highlight w:val="none"/>
                    </w:rPr>
                  </w:pPr>
                </w:p>
              </w:tc>
              <w:tc>
                <w:tcPr>
                  <w:tcW w:w="1223" w:type="dxa"/>
                  <w:vMerge w:val="restart"/>
                  <w:tcBorders>
                    <w:tl2br w:val="nil"/>
                    <w:tr2bl w:val="nil"/>
                  </w:tcBorders>
                  <w:vAlign w:val="center"/>
                </w:tcPr>
                <w:p>
                  <w:pPr>
                    <w:pStyle w:val="113"/>
                    <w:keepNext w:val="0"/>
                    <w:keepLines w:val="0"/>
                    <w:pageBreakBefore w:val="0"/>
                    <w:widowControl/>
                    <w:kinsoku/>
                    <w:wordWrap/>
                    <w:overflowPunct/>
                    <w:topLinePunct w:val="0"/>
                    <w:autoSpaceDE/>
                    <w:autoSpaceDN/>
                    <w:bidi w:val="0"/>
                    <w:adjustRightInd w:val="0"/>
                    <w:snapToGrid/>
                    <w:ind w:firstLineChars="0"/>
                    <w:rPr>
                      <w:color w:val="auto"/>
                      <w:highlight w:val="none"/>
                    </w:rPr>
                  </w:pPr>
                </w:p>
              </w:tc>
              <w:tc>
                <w:tcPr>
                  <w:tcW w:w="1082" w:type="dxa"/>
                  <w:vMerge w:val="restart"/>
                  <w:tcBorders>
                    <w:tl2br w:val="nil"/>
                    <w:tr2bl w:val="nil"/>
                  </w:tcBorders>
                  <w:vAlign w:val="center"/>
                </w:tcPr>
                <w:p>
                  <w:pPr>
                    <w:pStyle w:val="113"/>
                    <w:keepNext w:val="0"/>
                    <w:keepLines w:val="0"/>
                    <w:pageBreakBefore w:val="0"/>
                    <w:widowControl/>
                    <w:kinsoku/>
                    <w:wordWrap/>
                    <w:overflowPunct/>
                    <w:topLinePunct w:val="0"/>
                    <w:autoSpaceDE/>
                    <w:autoSpaceDN/>
                    <w:bidi w:val="0"/>
                    <w:adjustRightInd w:val="0"/>
                    <w:snapToGrid/>
                    <w:ind w:firstLineChars="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2" w:hRule="atLeast"/>
                <w:jc w:val="center"/>
              </w:trPr>
              <w:tc>
                <w:tcPr>
                  <w:tcW w:w="812" w:type="dxa"/>
                  <w:vMerge w:val="continue"/>
                  <w:tcBorders>
                    <w:tl2br w:val="nil"/>
                    <w:tr2bl w:val="nil"/>
                  </w:tcBorders>
                  <w:vAlign w:val="center"/>
                </w:tcPr>
                <w:p>
                  <w:pPr>
                    <w:pStyle w:val="113"/>
                    <w:keepNext w:val="0"/>
                    <w:keepLines w:val="0"/>
                    <w:pageBreakBefore w:val="0"/>
                    <w:widowControl/>
                    <w:kinsoku/>
                    <w:wordWrap/>
                    <w:overflowPunct/>
                    <w:topLinePunct w:val="0"/>
                    <w:autoSpaceDE/>
                    <w:autoSpaceDN/>
                    <w:bidi w:val="0"/>
                    <w:adjustRightInd w:val="0"/>
                    <w:snapToGrid/>
                    <w:ind w:firstLineChars="0"/>
                    <w:rPr>
                      <w:rFonts w:hint="eastAsia"/>
                      <w:color w:val="auto"/>
                      <w:highlight w:val="none"/>
                    </w:rPr>
                  </w:pPr>
                </w:p>
              </w:tc>
              <w:tc>
                <w:tcPr>
                  <w:tcW w:w="885" w:type="dxa"/>
                  <w:tcBorders>
                    <w:tl2br w:val="nil"/>
                    <w:tr2bl w:val="nil"/>
                  </w:tcBorders>
                  <w:vAlign w:val="center"/>
                </w:tcPr>
                <w:p>
                  <w:pPr>
                    <w:pStyle w:val="113"/>
                    <w:keepNext w:val="0"/>
                    <w:keepLines w:val="0"/>
                    <w:pageBreakBefore w:val="0"/>
                    <w:widowControl/>
                    <w:kinsoku/>
                    <w:wordWrap/>
                    <w:overflowPunct/>
                    <w:topLinePunct w:val="0"/>
                    <w:autoSpaceDE/>
                    <w:autoSpaceDN/>
                    <w:bidi w:val="0"/>
                    <w:adjustRightInd w:val="0"/>
                    <w:snapToGrid/>
                    <w:ind w:firstLineChars="0"/>
                    <w:rPr>
                      <w:rFonts w:hint="eastAsia"/>
                      <w:color w:val="auto"/>
                      <w:highlight w:val="none"/>
                      <w:lang w:val="en-US" w:eastAsia="zh-CN"/>
                    </w:rPr>
                  </w:pPr>
                </w:p>
              </w:tc>
              <w:tc>
                <w:tcPr>
                  <w:tcW w:w="869" w:type="dxa"/>
                  <w:tcBorders>
                    <w:tl2br w:val="nil"/>
                    <w:tr2bl w:val="nil"/>
                  </w:tcBorders>
                  <w:vAlign w:val="center"/>
                </w:tcPr>
                <w:p>
                  <w:pPr>
                    <w:pStyle w:val="113"/>
                    <w:keepNext w:val="0"/>
                    <w:keepLines w:val="0"/>
                    <w:pageBreakBefore w:val="0"/>
                    <w:widowControl/>
                    <w:kinsoku/>
                    <w:wordWrap/>
                    <w:overflowPunct/>
                    <w:topLinePunct w:val="0"/>
                    <w:autoSpaceDE/>
                    <w:autoSpaceDN/>
                    <w:bidi w:val="0"/>
                    <w:adjustRightInd w:val="0"/>
                    <w:snapToGrid/>
                    <w:ind w:firstLineChars="0"/>
                    <w:rPr>
                      <w:rFonts w:hint="eastAsia"/>
                      <w:color w:val="auto"/>
                      <w:highlight w:val="none"/>
                      <w:lang w:val="en-US" w:eastAsia="zh-CN"/>
                    </w:rPr>
                  </w:pPr>
                </w:p>
              </w:tc>
              <w:tc>
                <w:tcPr>
                  <w:tcW w:w="989" w:type="dxa"/>
                  <w:tcBorders>
                    <w:tl2br w:val="nil"/>
                    <w:tr2bl w:val="nil"/>
                  </w:tcBorders>
                  <w:vAlign w:val="center"/>
                </w:tcPr>
                <w:p>
                  <w:pPr>
                    <w:pStyle w:val="113"/>
                    <w:keepNext w:val="0"/>
                    <w:keepLines w:val="0"/>
                    <w:pageBreakBefore w:val="0"/>
                    <w:widowControl/>
                    <w:kinsoku/>
                    <w:wordWrap/>
                    <w:overflowPunct/>
                    <w:topLinePunct w:val="0"/>
                    <w:autoSpaceDE/>
                    <w:autoSpaceDN/>
                    <w:bidi w:val="0"/>
                    <w:adjustRightInd w:val="0"/>
                    <w:snapToGrid/>
                    <w:ind w:firstLineChars="0"/>
                    <w:rPr>
                      <w:rFonts w:hint="eastAsia"/>
                      <w:color w:val="auto"/>
                      <w:highlight w:val="none"/>
                      <w:lang w:val="en-US" w:eastAsia="zh-CN"/>
                    </w:rPr>
                  </w:pPr>
                </w:p>
              </w:tc>
              <w:tc>
                <w:tcPr>
                  <w:tcW w:w="844" w:type="dxa"/>
                  <w:tcBorders>
                    <w:tl2br w:val="nil"/>
                    <w:tr2bl w:val="nil"/>
                  </w:tcBorders>
                  <w:vAlign w:val="center"/>
                </w:tcPr>
                <w:p>
                  <w:pPr>
                    <w:pStyle w:val="113"/>
                    <w:keepNext w:val="0"/>
                    <w:keepLines w:val="0"/>
                    <w:pageBreakBefore w:val="0"/>
                    <w:widowControl/>
                    <w:kinsoku/>
                    <w:wordWrap/>
                    <w:overflowPunct/>
                    <w:topLinePunct w:val="0"/>
                    <w:autoSpaceDE/>
                    <w:autoSpaceDN/>
                    <w:bidi w:val="0"/>
                    <w:adjustRightInd w:val="0"/>
                    <w:snapToGrid/>
                    <w:ind w:firstLineChars="0"/>
                    <w:rPr>
                      <w:rFonts w:hint="eastAsia"/>
                      <w:color w:val="auto"/>
                      <w:highlight w:val="none"/>
                      <w:lang w:val="en-US" w:eastAsia="zh-CN"/>
                    </w:rPr>
                  </w:pPr>
                </w:p>
              </w:tc>
              <w:tc>
                <w:tcPr>
                  <w:tcW w:w="1030" w:type="dxa"/>
                  <w:tcBorders>
                    <w:tl2br w:val="nil"/>
                    <w:tr2bl w:val="nil"/>
                  </w:tcBorders>
                  <w:vAlign w:val="center"/>
                </w:tcPr>
                <w:p>
                  <w:pPr>
                    <w:pStyle w:val="113"/>
                    <w:keepNext w:val="0"/>
                    <w:keepLines w:val="0"/>
                    <w:pageBreakBefore w:val="0"/>
                    <w:widowControl/>
                    <w:suppressLineNumbers w:val="0"/>
                    <w:kinsoku/>
                    <w:wordWrap/>
                    <w:overflowPunct/>
                    <w:topLinePunct w:val="0"/>
                    <w:autoSpaceDE/>
                    <w:autoSpaceDN/>
                    <w:bidi w:val="0"/>
                    <w:adjustRightInd w:val="0"/>
                    <w:snapToGrid/>
                    <w:ind w:firstLineChars="0"/>
                    <w:jc w:val="center"/>
                    <w:textAlignment w:val="center"/>
                    <w:rPr>
                      <w:rFonts w:hint="default"/>
                      <w:color w:val="auto"/>
                      <w:highlight w:val="none"/>
                      <w:lang w:val="en-US" w:eastAsia="zh-CN"/>
                    </w:rPr>
                  </w:pPr>
                </w:p>
              </w:tc>
              <w:tc>
                <w:tcPr>
                  <w:tcW w:w="1227" w:type="dxa"/>
                  <w:tcBorders>
                    <w:tl2br w:val="nil"/>
                    <w:tr2bl w:val="nil"/>
                  </w:tcBorders>
                  <w:vAlign w:val="center"/>
                </w:tcPr>
                <w:p>
                  <w:pPr>
                    <w:pStyle w:val="113"/>
                    <w:keepNext w:val="0"/>
                    <w:keepLines w:val="0"/>
                    <w:pageBreakBefore w:val="0"/>
                    <w:widowControl/>
                    <w:suppressLineNumbers w:val="0"/>
                    <w:kinsoku/>
                    <w:wordWrap/>
                    <w:overflowPunct/>
                    <w:topLinePunct w:val="0"/>
                    <w:autoSpaceDE/>
                    <w:autoSpaceDN/>
                    <w:bidi w:val="0"/>
                    <w:adjustRightInd w:val="0"/>
                    <w:snapToGrid/>
                    <w:ind w:firstLineChars="0"/>
                    <w:jc w:val="center"/>
                    <w:textAlignment w:val="center"/>
                    <w:rPr>
                      <w:rFonts w:hint="default"/>
                      <w:color w:val="auto"/>
                      <w:highlight w:val="none"/>
                      <w:lang w:val="en-US" w:eastAsia="zh-CN"/>
                    </w:rPr>
                  </w:pPr>
                </w:p>
              </w:tc>
              <w:tc>
                <w:tcPr>
                  <w:tcW w:w="1499" w:type="dxa"/>
                  <w:tcBorders>
                    <w:tl2br w:val="nil"/>
                    <w:tr2bl w:val="nil"/>
                  </w:tcBorders>
                  <w:vAlign w:val="center"/>
                </w:tcPr>
                <w:p>
                  <w:pPr>
                    <w:pStyle w:val="113"/>
                    <w:keepNext w:val="0"/>
                    <w:keepLines w:val="0"/>
                    <w:pageBreakBefore w:val="0"/>
                    <w:widowControl/>
                    <w:suppressLineNumbers w:val="0"/>
                    <w:kinsoku/>
                    <w:wordWrap/>
                    <w:overflowPunct/>
                    <w:topLinePunct w:val="0"/>
                    <w:autoSpaceDE/>
                    <w:autoSpaceDN/>
                    <w:bidi w:val="0"/>
                    <w:adjustRightInd w:val="0"/>
                    <w:snapToGrid/>
                    <w:ind w:firstLineChars="0"/>
                    <w:jc w:val="center"/>
                    <w:textAlignment w:val="center"/>
                    <w:rPr>
                      <w:rFonts w:hint="default"/>
                      <w:color w:val="auto"/>
                      <w:highlight w:val="none"/>
                      <w:lang w:val="en-US" w:eastAsia="zh-CN"/>
                    </w:rPr>
                  </w:pPr>
                </w:p>
              </w:tc>
              <w:tc>
                <w:tcPr>
                  <w:tcW w:w="861" w:type="dxa"/>
                  <w:tcBorders>
                    <w:tl2br w:val="nil"/>
                    <w:tr2bl w:val="nil"/>
                  </w:tcBorders>
                  <w:vAlign w:val="center"/>
                </w:tcPr>
                <w:p>
                  <w:pPr>
                    <w:pStyle w:val="113"/>
                    <w:keepNext w:val="0"/>
                    <w:keepLines w:val="0"/>
                    <w:pageBreakBefore w:val="0"/>
                    <w:widowControl/>
                    <w:suppressLineNumbers w:val="0"/>
                    <w:kinsoku/>
                    <w:wordWrap/>
                    <w:overflowPunct/>
                    <w:topLinePunct w:val="0"/>
                    <w:autoSpaceDE/>
                    <w:autoSpaceDN/>
                    <w:bidi w:val="0"/>
                    <w:adjustRightInd w:val="0"/>
                    <w:snapToGrid/>
                    <w:ind w:firstLineChars="0"/>
                    <w:jc w:val="center"/>
                    <w:textAlignment w:val="center"/>
                    <w:rPr>
                      <w:rFonts w:hint="default"/>
                      <w:color w:val="auto"/>
                      <w:highlight w:val="none"/>
                      <w:lang w:val="en-US" w:eastAsia="zh-CN"/>
                    </w:rPr>
                  </w:pPr>
                </w:p>
              </w:tc>
              <w:tc>
                <w:tcPr>
                  <w:tcW w:w="1295" w:type="dxa"/>
                  <w:tcBorders>
                    <w:tl2br w:val="nil"/>
                    <w:tr2bl w:val="nil"/>
                  </w:tcBorders>
                  <w:vAlign w:val="center"/>
                </w:tcPr>
                <w:p>
                  <w:pPr>
                    <w:pStyle w:val="113"/>
                    <w:keepNext w:val="0"/>
                    <w:keepLines w:val="0"/>
                    <w:pageBreakBefore w:val="0"/>
                    <w:widowControl/>
                    <w:suppressLineNumbers w:val="0"/>
                    <w:kinsoku/>
                    <w:wordWrap/>
                    <w:overflowPunct/>
                    <w:topLinePunct w:val="0"/>
                    <w:autoSpaceDE/>
                    <w:autoSpaceDN/>
                    <w:bidi w:val="0"/>
                    <w:adjustRightInd w:val="0"/>
                    <w:snapToGrid/>
                    <w:ind w:firstLineChars="0"/>
                    <w:jc w:val="center"/>
                    <w:textAlignment w:val="center"/>
                    <w:rPr>
                      <w:rFonts w:hint="default"/>
                      <w:color w:val="auto"/>
                      <w:highlight w:val="none"/>
                      <w:lang w:val="en-US" w:eastAsia="zh-CN"/>
                    </w:rPr>
                  </w:pPr>
                </w:p>
              </w:tc>
              <w:tc>
                <w:tcPr>
                  <w:tcW w:w="1885" w:type="dxa"/>
                  <w:gridSpan w:val="2"/>
                  <w:tcBorders>
                    <w:tl2br w:val="nil"/>
                    <w:tr2bl w:val="nil"/>
                  </w:tcBorders>
                  <w:tcMar>
                    <w:top w:w="0" w:type="dxa"/>
                    <w:left w:w="28" w:type="dxa"/>
                    <w:bottom w:w="0" w:type="dxa"/>
                    <w:right w:w="28" w:type="dxa"/>
                  </w:tcMar>
                  <w:vAlign w:val="center"/>
                </w:tcPr>
                <w:p>
                  <w:pPr>
                    <w:pStyle w:val="113"/>
                    <w:keepNext w:val="0"/>
                    <w:keepLines w:val="0"/>
                    <w:pageBreakBefore w:val="0"/>
                    <w:widowControl/>
                    <w:suppressLineNumbers w:val="0"/>
                    <w:kinsoku/>
                    <w:wordWrap/>
                    <w:overflowPunct/>
                    <w:topLinePunct w:val="0"/>
                    <w:autoSpaceDE/>
                    <w:autoSpaceDN/>
                    <w:bidi w:val="0"/>
                    <w:adjustRightInd w:val="0"/>
                    <w:snapToGrid/>
                    <w:ind w:firstLineChars="0"/>
                    <w:jc w:val="center"/>
                    <w:textAlignment w:val="center"/>
                    <w:rPr>
                      <w:rFonts w:hint="default"/>
                      <w:color w:val="auto"/>
                      <w:highlight w:val="none"/>
                      <w:lang w:val="en-US" w:eastAsia="zh-CN"/>
                    </w:rPr>
                  </w:pPr>
                </w:p>
              </w:tc>
              <w:tc>
                <w:tcPr>
                  <w:tcW w:w="1026" w:type="dxa"/>
                  <w:tcBorders>
                    <w:tl2br w:val="nil"/>
                    <w:tr2bl w:val="nil"/>
                  </w:tcBorders>
                  <w:vAlign w:val="center"/>
                </w:tcPr>
                <w:p>
                  <w:pPr>
                    <w:pStyle w:val="113"/>
                    <w:keepNext w:val="0"/>
                    <w:keepLines w:val="0"/>
                    <w:pageBreakBefore w:val="0"/>
                    <w:widowControl/>
                    <w:kinsoku/>
                    <w:wordWrap/>
                    <w:overflowPunct/>
                    <w:topLinePunct w:val="0"/>
                    <w:autoSpaceDE/>
                    <w:autoSpaceDN/>
                    <w:bidi w:val="0"/>
                    <w:adjustRightInd w:val="0"/>
                    <w:snapToGrid/>
                    <w:ind w:firstLineChars="0"/>
                    <w:rPr>
                      <w:rFonts w:hint="eastAsia"/>
                      <w:color w:val="auto"/>
                      <w:highlight w:val="none"/>
                    </w:rPr>
                  </w:pPr>
                </w:p>
              </w:tc>
              <w:tc>
                <w:tcPr>
                  <w:tcW w:w="2173" w:type="dxa"/>
                  <w:tcBorders>
                    <w:tl2br w:val="nil"/>
                    <w:tr2bl w:val="nil"/>
                  </w:tcBorders>
                  <w:tcMar>
                    <w:top w:w="0" w:type="dxa"/>
                    <w:left w:w="28" w:type="dxa"/>
                    <w:bottom w:w="0" w:type="dxa"/>
                    <w:right w:w="28" w:type="dxa"/>
                  </w:tcMar>
                  <w:vAlign w:val="center"/>
                </w:tcPr>
                <w:p>
                  <w:pPr>
                    <w:pStyle w:val="113"/>
                    <w:keepNext w:val="0"/>
                    <w:keepLines w:val="0"/>
                    <w:pageBreakBefore w:val="0"/>
                    <w:widowControl/>
                    <w:kinsoku/>
                    <w:wordWrap/>
                    <w:overflowPunct/>
                    <w:topLinePunct w:val="0"/>
                    <w:autoSpaceDE/>
                    <w:autoSpaceDN/>
                    <w:bidi w:val="0"/>
                    <w:adjustRightInd w:val="0"/>
                    <w:snapToGrid/>
                    <w:ind w:firstLineChars="0"/>
                    <w:rPr>
                      <w:rFonts w:hint="eastAsia"/>
                      <w:color w:val="auto"/>
                      <w:highlight w:val="none"/>
                    </w:rPr>
                  </w:pPr>
                </w:p>
              </w:tc>
              <w:tc>
                <w:tcPr>
                  <w:tcW w:w="1131" w:type="dxa"/>
                  <w:vMerge w:val="continue"/>
                  <w:tcBorders>
                    <w:tl2br w:val="nil"/>
                    <w:tr2bl w:val="nil"/>
                  </w:tcBorders>
                  <w:tcMar>
                    <w:top w:w="0" w:type="dxa"/>
                    <w:left w:w="28" w:type="dxa"/>
                    <w:bottom w:w="0" w:type="dxa"/>
                    <w:right w:w="28" w:type="dxa"/>
                  </w:tcMar>
                  <w:vAlign w:val="center"/>
                </w:tcPr>
                <w:p>
                  <w:pPr>
                    <w:pStyle w:val="113"/>
                    <w:keepNext w:val="0"/>
                    <w:keepLines w:val="0"/>
                    <w:pageBreakBefore w:val="0"/>
                    <w:widowControl/>
                    <w:kinsoku/>
                    <w:wordWrap/>
                    <w:overflowPunct/>
                    <w:topLinePunct w:val="0"/>
                    <w:autoSpaceDE/>
                    <w:autoSpaceDN/>
                    <w:bidi w:val="0"/>
                    <w:adjustRightInd w:val="0"/>
                    <w:snapToGrid/>
                    <w:ind w:firstLineChars="0"/>
                    <w:rPr>
                      <w:rFonts w:hint="eastAsia"/>
                      <w:color w:val="auto"/>
                      <w:highlight w:val="none"/>
                    </w:rPr>
                  </w:pPr>
                </w:p>
              </w:tc>
              <w:tc>
                <w:tcPr>
                  <w:tcW w:w="1206" w:type="dxa"/>
                  <w:vMerge w:val="continue"/>
                  <w:tcBorders>
                    <w:tl2br w:val="nil"/>
                    <w:tr2bl w:val="nil"/>
                  </w:tcBorders>
                  <w:vAlign w:val="center"/>
                </w:tcPr>
                <w:p>
                  <w:pPr>
                    <w:pStyle w:val="113"/>
                    <w:keepNext w:val="0"/>
                    <w:keepLines w:val="0"/>
                    <w:pageBreakBefore w:val="0"/>
                    <w:widowControl/>
                    <w:kinsoku/>
                    <w:wordWrap/>
                    <w:overflowPunct/>
                    <w:topLinePunct w:val="0"/>
                    <w:autoSpaceDE/>
                    <w:autoSpaceDN/>
                    <w:bidi w:val="0"/>
                    <w:adjustRightInd w:val="0"/>
                    <w:snapToGrid/>
                    <w:ind w:firstLineChars="0"/>
                    <w:rPr>
                      <w:color w:val="auto"/>
                      <w:highlight w:val="none"/>
                    </w:rPr>
                  </w:pPr>
                </w:p>
              </w:tc>
              <w:tc>
                <w:tcPr>
                  <w:tcW w:w="1223" w:type="dxa"/>
                  <w:vMerge w:val="continue"/>
                  <w:tcBorders>
                    <w:tl2br w:val="nil"/>
                    <w:tr2bl w:val="nil"/>
                  </w:tcBorders>
                  <w:vAlign w:val="center"/>
                </w:tcPr>
                <w:p>
                  <w:pPr>
                    <w:pStyle w:val="113"/>
                    <w:keepNext w:val="0"/>
                    <w:keepLines w:val="0"/>
                    <w:pageBreakBefore w:val="0"/>
                    <w:widowControl/>
                    <w:kinsoku/>
                    <w:wordWrap/>
                    <w:overflowPunct/>
                    <w:topLinePunct w:val="0"/>
                    <w:autoSpaceDE/>
                    <w:autoSpaceDN/>
                    <w:bidi w:val="0"/>
                    <w:adjustRightInd w:val="0"/>
                    <w:snapToGrid/>
                    <w:ind w:firstLineChars="0"/>
                    <w:rPr>
                      <w:color w:val="auto"/>
                      <w:highlight w:val="none"/>
                    </w:rPr>
                  </w:pPr>
                </w:p>
              </w:tc>
              <w:tc>
                <w:tcPr>
                  <w:tcW w:w="1082" w:type="dxa"/>
                  <w:vMerge w:val="continue"/>
                  <w:tcBorders>
                    <w:tl2br w:val="nil"/>
                    <w:tr2bl w:val="nil"/>
                  </w:tcBorders>
                  <w:vAlign w:val="center"/>
                </w:tcPr>
                <w:p>
                  <w:pPr>
                    <w:pStyle w:val="113"/>
                    <w:keepNext w:val="0"/>
                    <w:keepLines w:val="0"/>
                    <w:pageBreakBefore w:val="0"/>
                    <w:widowControl/>
                    <w:kinsoku/>
                    <w:wordWrap/>
                    <w:overflowPunct/>
                    <w:topLinePunct w:val="0"/>
                    <w:autoSpaceDE/>
                    <w:autoSpaceDN/>
                    <w:bidi w:val="0"/>
                    <w:adjustRightInd w:val="0"/>
                    <w:snapToGrid/>
                    <w:ind w:firstLineChars="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2" w:hRule="atLeast"/>
                <w:jc w:val="center"/>
              </w:trPr>
              <w:tc>
                <w:tcPr>
                  <w:tcW w:w="812" w:type="dxa"/>
                  <w:vMerge w:val="continue"/>
                  <w:tcBorders>
                    <w:tl2br w:val="nil"/>
                    <w:tr2bl w:val="nil"/>
                  </w:tcBorders>
                  <w:vAlign w:val="center"/>
                </w:tcPr>
                <w:p>
                  <w:pPr>
                    <w:pStyle w:val="113"/>
                    <w:keepNext w:val="0"/>
                    <w:keepLines w:val="0"/>
                    <w:pageBreakBefore w:val="0"/>
                    <w:widowControl/>
                    <w:kinsoku/>
                    <w:wordWrap/>
                    <w:overflowPunct/>
                    <w:topLinePunct w:val="0"/>
                    <w:autoSpaceDE/>
                    <w:autoSpaceDN/>
                    <w:bidi w:val="0"/>
                    <w:adjustRightInd w:val="0"/>
                    <w:snapToGrid/>
                    <w:ind w:firstLineChars="0"/>
                    <w:rPr>
                      <w:rFonts w:hint="eastAsia"/>
                      <w:color w:val="auto"/>
                      <w:highlight w:val="none"/>
                    </w:rPr>
                  </w:pPr>
                </w:p>
              </w:tc>
              <w:tc>
                <w:tcPr>
                  <w:tcW w:w="885" w:type="dxa"/>
                  <w:tcBorders>
                    <w:tl2br w:val="nil"/>
                    <w:tr2bl w:val="nil"/>
                  </w:tcBorders>
                  <w:vAlign w:val="center"/>
                </w:tcPr>
                <w:p>
                  <w:pPr>
                    <w:pStyle w:val="113"/>
                    <w:keepNext w:val="0"/>
                    <w:keepLines w:val="0"/>
                    <w:pageBreakBefore w:val="0"/>
                    <w:widowControl/>
                    <w:kinsoku/>
                    <w:wordWrap/>
                    <w:overflowPunct/>
                    <w:topLinePunct w:val="0"/>
                    <w:autoSpaceDE/>
                    <w:autoSpaceDN/>
                    <w:bidi w:val="0"/>
                    <w:adjustRightInd w:val="0"/>
                    <w:snapToGrid/>
                    <w:ind w:firstLineChars="0"/>
                    <w:rPr>
                      <w:rFonts w:hint="eastAsia"/>
                      <w:color w:val="auto"/>
                      <w:highlight w:val="none"/>
                      <w:lang w:val="en-US" w:eastAsia="zh-CN"/>
                    </w:rPr>
                  </w:pPr>
                </w:p>
              </w:tc>
              <w:tc>
                <w:tcPr>
                  <w:tcW w:w="869" w:type="dxa"/>
                  <w:tcBorders>
                    <w:tl2br w:val="nil"/>
                    <w:tr2bl w:val="nil"/>
                  </w:tcBorders>
                  <w:vAlign w:val="center"/>
                </w:tcPr>
                <w:p>
                  <w:pPr>
                    <w:pStyle w:val="113"/>
                    <w:keepNext w:val="0"/>
                    <w:keepLines w:val="0"/>
                    <w:pageBreakBefore w:val="0"/>
                    <w:widowControl/>
                    <w:kinsoku/>
                    <w:wordWrap/>
                    <w:overflowPunct/>
                    <w:topLinePunct w:val="0"/>
                    <w:autoSpaceDE/>
                    <w:autoSpaceDN/>
                    <w:bidi w:val="0"/>
                    <w:adjustRightInd w:val="0"/>
                    <w:snapToGrid/>
                    <w:ind w:firstLineChars="0"/>
                    <w:rPr>
                      <w:rFonts w:hint="eastAsia"/>
                      <w:color w:val="auto"/>
                      <w:highlight w:val="none"/>
                      <w:lang w:val="en-US" w:eastAsia="zh-CN"/>
                    </w:rPr>
                  </w:pPr>
                </w:p>
              </w:tc>
              <w:tc>
                <w:tcPr>
                  <w:tcW w:w="989" w:type="dxa"/>
                  <w:tcBorders>
                    <w:tl2br w:val="nil"/>
                    <w:tr2bl w:val="nil"/>
                  </w:tcBorders>
                  <w:vAlign w:val="center"/>
                </w:tcPr>
                <w:p>
                  <w:pPr>
                    <w:pStyle w:val="113"/>
                    <w:keepNext w:val="0"/>
                    <w:keepLines w:val="0"/>
                    <w:pageBreakBefore w:val="0"/>
                    <w:widowControl/>
                    <w:kinsoku/>
                    <w:wordWrap/>
                    <w:overflowPunct/>
                    <w:topLinePunct w:val="0"/>
                    <w:autoSpaceDE/>
                    <w:autoSpaceDN/>
                    <w:bidi w:val="0"/>
                    <w:adjustRightInd w:val="0"/>
                    <w:snapToGrid/>
                    <w:ind w:firstLineChars="0"/>
                    <w:rPr>
                      <w:rFonts w:hint="default"/>
                      <w:color w:val="auto"/>
                      <w:highlight w:val="none"/>
                      <w:lang w:val="en-US" w:eastAsia="zh-CN"/>
                    </w:rPr>
                  </w:pPr>
                </w:p>
              </w:tc>
              <w:tc>
                <w:tcPr>
                  <w:tcW w:w="844" w:type="dxa"/>
                  <w:tcBorders>
                    <w:tl2br w:val="nil"/>
                    <w:tr2bl w:val="nil"/>
                  </w:tcBorders>
                  <w:vAlign w:val="center"/>
                </w:tcPr>
                <w:p>
                  <w:pPr>
                    <w:pStyle w:val="113"/>
                    <w:keepNext w:val="0"/>
                    <w:keepLines w:val="0"/>
                    <w:pageBreakBefore w:val="0"/>
                    <w:widowControl/>
                    <w:kinsoku/>
                    <w:wordWrap/>
                    <w:overflowPunct/>
                    <w:topLinePunct w:val="0"/>
                    <w:autoSpaceDE/>
                    <w:autoSpaceDN/>
                    <w:bidi w:val="0"/>
                    <w:adjustRightInd w:val="0"/>
                    <w:snapToGrid/>
                    <w:ind w:firstLineChars="0"/>
                    <w:rPr>
                      <w:rFonts w:hint="default"/>
                      <w:color w:val="auto"/>
                      <w:highlight w:val="none"/>
                      <w:lang w:val="en-US" w:eastAsia="zh-CN"/>
                    </w:rPr>
                  </w:pPr>
                </w:p>
              </w:tc>
              <w:tc>
                <w:tcPr>
                  <w:tcW w:w="1030" w:type="dxa"/>
                  <w:tcBorders>
                    <w:tl2br w:val="nil"/>
                    <w:tr2bl w:val="nil"/>
                  </w:tcBorders>
                  <w:vAlign w:val="center"/>
                </w:tcPr>
                <w:p>
                  <w:pPr>
                    <w:pStyle w:val="113"/>
                    <w:keepNext w:val="0"/>
                    <w:keepLines w:val="0"/>
                    <w:pageBreakBefore w:val="0"/>
                    <w:widowControl/>
                    <w:suppressLineNumbers w:val="0"/>
                    <w:kinsoku/>
                    <w:wordWrap/>
                    <w:overflowPunct/>
                    <w:topLinePunct w:val="0"/>
                    <w:autoSpaceDE/>
                    <w:autoSpaceDN/>
                    <w:bidi w:val="0"/>
                    <w:adjustRightInd w:val="0"/>
                    <w:snapToGrid/>
                    <w:ind w:firstLineChars="0"/>
                    <w:jc w:val="center"/>
                    <w:textAlignment w:val="center"/>
                    <w:rPr>
                      <w:rFonts w:hint="default"/>
                      <w:color w:val="auto"/>
                      <w:highlight w:val="none"/>
                      <w:lang w:val="en-US" w:eastAsia="zh-CN"/>
                    </w:rPr>
                  </w:pPr>
                </w:p>
              </w:tc>
              <w:tc>
                <w:tcPr>
                  <w:tcW w:w="1227" w:type="dxa"/>
                  <w:tcBorders>
                    <w:tl2br w:val="nil"/>
                    <w:tr2bl w:val="nil"/>
                  </w:tcBorders>
                  <w:vAlign w:val="center"/>
                </w:tcPr>
                <w:p>
                  <w:pPr>
                    <w:pStyle w:val="113"/>
                    <w:keepNext w:val="0"/>
                    <w:keepLines w:val="0"/>
                    <w:pageBreakBefore w:val="0"/>
                    <w:widowControl/>
                    <w:suppressLineNumbers w:val="0"/>
                    <w:kinsoku/>
                    <w:wordWrap/>
                    <w:overflowPunct/>
                    <w:topLinePunct w:val="0"/>
                    <w:autoSpaceDE/>
                    <w:autoSpaceDN/>
                    <w:bidi w:val="0"/>
                    <w:adjustRightInd w:val="0"/>
                    <w:snapToGrid/>
                    <w:ind w:firstLineChars="0"/>
                    <w:jc w:val="center"/>
                    <w:textAlignment w:val="center"/>
                    <w:rPr>
                      <w:rFonts w:hint="default"/>
                      <w:color w:val="auto"/>
                      <w:highlight w:val="none"/>
                      <w:lang w:val="en-US" w:eastAsia="zh-CN"/>
                    </w:rPr>
                  </w:pPr>
                </w:p>
              </w:tc>
              <w:tc>
                <w:tcPr>
                  <w:tcW w:w="1499" w:type="dxa"/>
                  <w:tcBorders>
                    <w:tl2br w:val="nil"/>
                    <w:tr2bl w:val="nil"/>
                  </w:tcBorders>
                  <w:vAlign w:val="center"/>
                </w:tcPr>
                <w:p>
                  <w:pPr>
                    <w:pStyle w:val="113"/>
                    <w:keepNext w:val="0"/>
                    <w:keepLines w:val="0"/>
                    <w:pageBreakBefore w:val="0"/>
                    <w:widowControl/>
                    <w:suppressLineNumbers w:val="0"/>
                    <w:kinsoku/>
                    <w:wordWrap/>
                    <w:overflowPunct/>
                    <w:topLinePunct w:val="0"/>
                    <w:autoSpaceDE/>
                    <w:autoSpaceDN/>
                    <w:bidi w:val="0"/>
                    <w:adjustRightInd w:val="0"/>
                    <w:snapToGrid/>
                    <w:ind w:firstLineChars="0"/>
                    <w:jc w:val="center"/>
                    <w:textAlignment w:val="center"/>
                    <w:rPr>
                      <w:rFonts w:hint="default"/>
                      <w:color w:val="auto"/>
                      <w:highlight w:val="none"/>
                      <w:lang w:val="en-US" w:eastAsia="zh-CN"/>
                    </w:rPr>
                  </w:pPr>
                </w:p>
              </w:tc>
              <w:tc>
                <w:tcPr>
                  <w:tcW w:w="861" w:type="dxa"/>
                  <w:tcBorders>
                    <w:tl2br w:val="nil"/>
                    <w:tr2bl w:val="nil"/>
                  </w:tcBorders>
                  <w:vAlign w:val="center"/>
                </w:tcPr>
                <w:p>
                  <w:pPr>
                    <w:pStyle w:val="113"/>
                    <w:keepNext w:val="0"/>
                    <w:keepLines w:val="0"/>
                    <w:pageBreakBefore w:val="0"/>
                    <w:widowControl/>
                    <w:suppressLineNumbers w:val="0"/>
                    <w:kinsoku/>
                    <w:wordWrap/>
                    <w:overflowPunct/>
                    <w:topLinePunct w:val="0"/>
                    <w:autoSpaceDE/>
                    <w:autoSpaceDN/>
                    <w:bidi w:val="0"/>
                    <w:adjustRightInd w:val="0"/>
                    <w:snapToGrid/>
                    <w:ind w:firstLineChars="0"/>
                    <w:jc w:val="center"/>
                    <w:textAlignment w:val="center"/>
                    <w:rPr>
                      <w:rFonts w:hint="default"/>
                      <w:color w:val="auto"/>
                      <w:highlight w:val="none"/>
                      <w:lang w:val="en-US" w:eastAsia="zh-CN"/>
                    </w:rPr>
                  </w:pPr>
                </w:p>
              </w:tc>
              <w:tc>
                <w:tcPr>
                  <w:tcW w:w="1295" w:type="dxa"/>
                  <w:tcBorders>
                    <w:tl2br w:val="nil"/>
                    <w:tr2bl w:val="nil"/>
                  </w:tcBorders>
                  <w:vAlign w:val="center"/>
                </w:tcPr>
                <w:p>
                  <w:pPr>
                    <w:pStyle w:val="113"/>
                    <w:keepNext w:val="0"/>
                    <w:keepLines w:val="0"/>
                    <w:pageBreakBefore w:val="0"/>
                    <w:widowControl/>
                    <w:suppressLineNumbers w:val="0"/>
                    <w:kinsoku/>
                    <w:wordWrap/>
                    <w:overflowPunct/>
                    <w:topLinePunct w:val="0"/>
                    <w:autoSpaceDE/>
                    <w:autoSpaceDN/>
                    <w:bidi w:val="0"/>
                    <w:adjustRightInd w:val="0"/>
                    <w:snapToGrid/>
                    <w:ind w:firstLineChars="0"/>
                    <w:jc w:val="center"/>
                    <w:textAlignment w:val="center"/>
                    <w:rPr>
                      <w:rFonts w:hint="default"/>
                      <w:color w:val="auto"/>
                      <w:highlight w:val="none"/>
                      <w:lang w:val="en-US" w:eastAsia="zh-CN"/>
                    </w:rPr>
                  </w:pPr>
                </w:p>
              </w:tc>
              <w:tc>
                <w:tcPr>
                  <w:tcW w:w="1885" w:type="dxa"/>
                  <w:gridSpan w:val="2"/>
                  <w:tcBorders>
                    <w:tl2br w:val="nil"/>
                    <w:tr2bl w:val="nil"/>
                  </w:tcBorders>
                  <w:tcMar>
                    <w:top w:w="0" w:type="dxa"/>
                    <w:left w:w="28" w:type="dxa"/>
                    <w:bottom w:w="0" w:type="dxa"/>
                    <w:right w:w="28" w:type="dxa"/>
                  </w:tcMar>
                  <w:vAlign w:val="center"/>
                </w:tcPr>
                <w:p>
                  <w:pPr>
                    <w:pStyle w:val="113"/>
                    <w:keepNext w:val="0"/>
                    <w:keepLines w:val="0"/>
                    <w:pageBreakBefore w:val="0"/>
                    <w:widowControl/>
                    <w:suppressLineNumbers w:val="0"/>
                    <w:kinsoku/>
                    <w:wordWrap/>
                    <w:overflowPunct/>
                    <w:topLinePunct w:val="0"/>
                    <w:autoSpaceDE/>
                    <w:autoSpaceDN/>
                    <w:bidi w:val="0"/>
                    <w:adjustRightInd w:val="0"/>
                    <w:snapToGrid/>
                    <w:ind w:firstLineChars="0"/>
                    <w:jc w:val="center"/>
                    <w:textAlignment w:val="center"/>
                    <w:rPr>
                      <w:rFonts w:hint="default"/>
                      <w:color w:val="auto"/>
                      <w:highlight w:val="none"/>
                      <w:lang w:val="en-US" w:eastAsia="zh-CN"/>
                    </w:rPr>
                  </w:pPr>
                </w:p>
              </w:tc>
              <w:tc>
                <w:tcPr>
                  <w:tcW w:w="1026" w:type="dxa"/>
                  <w:tcBorders>
                    <w:tl2br w:val="nil"/>
                    <w:tr2bl w:val="nil"/>
                  </w:tcBorders>
                  <w:vAlign w:val="center"/>
                </w:tcPr>
                <w:p>
                  <w:pPr>
                    <w:pStyle w:val="113"/>
                    <w:keepNext w:val="0"/>
                    <w:keepLines w:val="0"/>
                    <w:pageBreakBefore w:val="0"/>
                    <w:widowControl/>
                    <w:kinsoku/>
                    <w:wordWrap/>
                    <w:overflowPunct/>
                    <w:topLinePunct w:val="0"/>
                    <w:autoSpaceDE/>
                    <w:autoSpaceDN/>
                    <w:bidi w:val="0"/>
                    <w:adjustRightInd w:val="0"/>
                    <w:snapToGrid/>
                    <w:ind w:firstLineChars="0"/>
                    <w:rPr>
                      <w:rFonts w:hint="eastAsia"/>
                      <w:color w:val="auto"/>
                      <w:highlight w:val="none"/>
                    </w:rPr>
                  </w:pPr>
                </w:p>
              </w:tc>
              <w:tc>
                <w:tcPr>
                  <w:tcW w:w="2173" w:type="dxa"/>
                  <w:tcBorders>
                    <w:tl2br w:val="nil"/>
                    <w:tr2bl w:val="nil"/>
                  </w:tcBorders>
                  <w:tcMar>
                    <w:top w:w="0" w:type="dxa"/>
                    <w:left w:w="28" w:type="dxa"/>
                    <w:bottom w:w="0" w:type="dxa"/>
                    <w:right w:w="28" w:type="dxa"/>
                  </w:tcMar>
                  <w:vAlign w:val="center"/>
                </w:tcPr>
                <w:p>
                  <w:pPr>
                    <w:pStyle w:val="113"/>
                    <w:keepNext w:val="0"/>
                    <w:keepLines w:val="0"/>
                    <w:pageBreakBefore w:val="0"/>
                    <w:widowControl/>
                    <w:kinsoku/>
                    <w:wordWrap/>
                    <w:overflowPunct/>
                    <w:topLinePunct w:val="0"/>
                    <w:autoSpaceDE/>
                    <w:autoSpaceDN/>
                    <w:bidi w:val="0"/>
                    <w:adjustRightInd w:val="0"/>
                    <w:snapToGrid/>
                    <w:ind w:firstLineChars="0"/>
                    <w:rPr>
                      <w:rFonts w:hint="eastAsia"/>
                      <w:color w:val="auto"/>
                      <w:highlight w:val="none"/>
                    </w:rPr>
                  </w:pPr>
                </w:p>
              </w:tc>
              <w:tc>
                <w:tcPr>
                  <w:tcW w:w="1131" w:type="dxa"/>
                  <w:vMerge w:val="continue"/>
                  <w:tcBorders>
                    <w:tl2br w:val="nil"/>
                    <w:tr2bl w:val="nil"/>
                  </w:tcBorders>
                  <w:tcMar>
                    <w:top w:w="0" w:type="dxa"/>
                    <w:left w:w="28" w:type="dxa"/>
                    <w:bottom w:w="0" w:type="dxa"/>
                    <w:right w:w="28" w:type="dxa"/>
                  </w:tcMar>
                  <w:vAlign w:val="center"/>
                </w:tcPr>
                <w:p>
                  <w:pPr>
                    <w:pStyle w:val="113"/>
                    <w:keepNext w:val="0"/>
                    <w:keepLines w:val="0"/>
                    <w:pageBreakBefore w:val="0"/>
                    <w:widowControl/>
                    <w:kinsoku/>
                    <w:wordWrap/>
                    <w:overflowPunct/>
                    <w:topLinePunct w:val="0"/>
                    <w:autoSpaceDE/>
                    <w:autoSpaceDN/>
                    <w:bidi w:val="0"/>
                    <w:adjustRightInd w:val="0"/>
                    <w:snapToGrid/>
                    <w:ind w:firstLineChars="0"/>
                    <w:rPr>
                      <w:rFonts w:hint="eastAsia"/>
                      <w:color w:val="auto"/>
                      <w:highlight w:val="none"/>
                    </w:rPr>
                  </w:pPr>
                </w:p>
              </w:tc>
              <w:tc>
                <w:tcPr>
                  <w:tcW w:w="1206" w:type="dxa"/>
                  <w:vMerge w:val="continue"/>
                  <w:tcBorders>
                    <w:tl2br w:val="nil"/>
                    <w:tr2bl w:val="nil"/>
                  </w:tcBorders>
                  <w:vAlign w:val="center"/>
                </w:tcPr>
                <w:p>
                  <w:pPr>
                    <w:pStyle w:val="113"/>
                    <w:keepNext w:val="0"/>
                    <w:keepLines w:val="0"/>
                    <w:pageBreakBefore w:val="0"/>
                    <w:widowControl/>
                    <w:kinsoku/>
                    <w:wordWrap/>
                    <w:overflowPunct/>
                    <w:topLinePunct w:val="0"/>
                    <w:autoSpaceDE/>
                    <w:autoSpaceDN/>
                    <w:bidi w:val="0"/>
                    <w:adjustRightInd w:val="0"/>
                    <w:snapToGrid/>
                    <w:ind w:firstLineChars="0"/>
                    <w:rPr>
                      <w:color w:val="auto"/>
                      <w:highlight w:val="none"/>
                    </w:rPr>
                  </w:pPr>
                </w:p>
              </w:tc>
              <w:tc>
                <w:tcPr>
                  <w:tcW w:w="1223" w:type="dxa"/>
                  <w:vMerge w:val="continue"/>
                  <w:tcBorders>
                    <w:tl2br w:val="nil"/>
                    <w:tr2bl w:val="nil"/>
                  </w:tcBorders>
                  <w:vAlign w:val="center"/>
                </w:tcPr>
                <w:p>
                  <w:pPr>
                    <w:pStyle w:val="113"/>
                    <w:keepNext w:val="0"/>
                    <w:keepLines w:val="0"/>
                    <w:pageBreakBefore w:val="0"/>
                    <w:widowControl/>
                    <w:kinsoku/>
                    <w:wordWrap/>
                    <w:overflowPunct/>
                    <w:topLinePunct w:val="0"/>
                    <w:autoSpaceDE/>
                    <w:autoSpaceDN/>
                    <w:bidi w:val="0"/>
                    <w:adjustRightInd w:val="0"/>
                    <w:snapToGrid/>
                    <w:ind w:firstLineChars="0"/>
                    <w:rPr>
                      <w:color w:val="auto"/>
                      <w:highlight w:val="none"/>
                    </w:rPr>
                  </w:pPr>
                </w:p>
              </w:tc>
              <w:tc>
                <w:tcPr>
                  <w:tcW w:w="1082" w:type="dxa"/>
                  <w:vMerge w:val="continue"/>
                  <w:tcBorders>
                    <w:tl2br w:val="nil"/>
                    <w:tr2bl w:val="nil"/>
                  </w:tcBorders>
                  <w:vAlign w:val="center"/>
                </w:tcPr>
                <w:p>
                  <w:pPr>
                    <w:pStyle w:val="113"/>
                    <w:keepNext w:val="0"/>
                    <w:keepLines w:val="0"/>
                    <w:pageBreakBefore w:val="0"/>
                    <w:widowControl/>
                    <w:kinsoku/>
                    <w:wordWrap/>
                    <w:overflowPunct/>
                    <w:topLinePunct w:val="0"/>
                    <w:autoSpaceDE/>
                    <w:autoSpaceDN/>
                    <w:bidi w:val="0"/>
                    <w:adjustRightInd w:val="0"/>
                    <w:snapToGrid/>
                    <w:ind w:firstLineChars="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198" w:hRule="atLeast"/>
                <w:jc w:val="center"/>
              </w:trPr>
              <w:tc>
                <w:tcPr>
                  <w:tcW w:w="812" w:type="dxa"/>
                  <w:vMerge w:val="continue"/>
                  <w:tcBorders>
                    <w:tl2br w:val="nil"/>
                    <w:tr2bl w:val="nil"/>
                  </w:tcBorders>
                  <w:vAlign w:val="center"/>
                </w:tcPr>
                <w:p>
                  <w:pPr>
                    <w:pStyle w:val="113"/>
                    <w:keepNext w:val="0"/>
                    <w:keepLines w:val="0"/>
                    <w:pageBreakBefore w:val="0"/>
                    <w:widowControl/>
                    <w:kinsoku/>
                    <w:wordWrap/>
                    <w:overflowPunct/>
                    <w:topLinePunct w:val="0"/>
                    <w:autoSpaceDE/>
                    <w:autoSpaceDN/>
                    <w:bidi w:val="0"/>
                    <w:adjustRightInd w:val="0"/>
                    <w:snapToGrid/>
                    <w:ind w:firstLineChars="0"/>
                    <w:rPr>
                      <w:color w:val="auto"/>
                      <w:highlight w:val="none"/>
                    </w:rPr>
                  </w:pPr>
                </w:p>
              </w:tc>
              <w:tc>
                <w:tcPr>
                  <w:tcW w:w="885" w:type="dxa"/>
                  <w:tcBorders>
                    <w:tl2br w:val="nil"/>
                    <w:tr2bl w:val="nil"/>
                  </w:tcBorders>
                  <w:vAlign w:val="center"/>
                </w:tcPr>
                <w:p>
                  <w:pPr>
                    <w:pStyle w:val="113"/>
                    <w:keepNext w:val="0"/>
                    <w:keepLines w:val="0"/>
                    <w:pageBreakBefore w:val="0"/>
                    <w:widowControl/>
                    <w:kinsoku/>
                    <w:wordWrap/>
                    <w:overflowPunct/>
                    <w:topLinePunct w:val="0"/>
                    <w:autoSpaceDE/>
                    <w:autoSpaceDN/>
                    <w:bidi w:val="0"/>
                    <w:adjustRightInd w:val="0"/>
                    <w:snapToGrid/>
                    <w:ind w:firstLineChars="0"/>
                    <w:rPr>
                      <w:rFonts w:hint="eastAsia" w:eastAsia="宋体"/>
                      <w:color w:val="auto"/>
                      <w:highlight w:val="none"/>
                      <w:lang w:eastAsia="zh-CN"/>
                    </w:rPr>
                  </w:pPr>
                </w:p>
              </w:tc>
              <w:tc>
                <w:tcPr>
                  <w:tcW w:w="869" w:type="dxa"/>
                  <w:tcBorders>
                    <w:tl2br w:val="nil"/>
                    <w:tr2bl w:val="nil"/>
                  </w:tcBorders>
                  <w:vAlign w:val="center"/>
                </w:tcPr>
                <w:p>
                  <w:pPr>
                    <w:pStyle w:val="113"/>
                    <w:keepNext w:val="0"/>
                    <w:keepLines w:val="0"/>
                    <w:pageBreakBefore w:val="0"/>
                    <w:widowControl/>
                    <w:kinsoku/>
                    <w:wordWrap/>
                    <w:overflowPunct/>
                    <w:topLinePunct w:val="0"/>
                    <w:autoSpaceDE/>
                    <w:autoSpaceDN/>
                    <w:bidi w:val="0"/>
                    <w:adjustRightInd w:val="0"/>
                    <w:snapToGrid/>
                    <w:ind w:firstLineChars="0"/>
                    <w:rPr>
                      <w:color w:val="auto"/>
                      <w:highlight w:val="none"/>
                    </w:rPr>
                  </w:pPr>
                </w:p>
              </w:tc>
              <w:tc>
                <w:tcPr>
                  <w:tcW w:w="989" w:type="dxa"/>
                  <w:tcBorders>
                    <w:tl2br w:val="nil"/>
                    <w:tr2bl w:val="nil"/>
                  </w:tcBorders>
                  <w:vAlign w:val="center"/>
                </w:tcPr>
                <w:p>
                  <w:pPr>
                    <w:pStyle w:val="113"/>
                    <w:keepNext w:val="0"/>
                    <w:keepLines w:val="0"/>
                    <w:pageBreakBefore w:val="0"/>
                    <w:widowControl/>
                    <w:kinsoku/>
                    <w:wordWrap/>
                    <w:overflowPunct/>
                    <w:topLinePunct w:val="0"/>
                    <w:autoSpaceDE/>
                    <w:autoSpaceDN/>
                    <w:bidi w:val="0"/>
                    <w:adjustRightInd w:val="0"/>
                    <w:snapToGrid/>
                    <w:ind w:firstLineChars="0"/>
                    <w:rPr>
                      <w:color w:val="auto"/>
                      <w:highlight w:val="none"/>
                    </w:rPr>
                  </w:pPr>
                </w:p>
              </w:tc>
              <w:tc>
                <w:tcPr>
                  <w:tcW w:w="844" w:type="dxa"/>
                  <w:tcBorders>
                    <w:tl2br w:val="nil"/>
                    <w:tr2bl w:val="nil"/>
                  </w:tcBorders>
                  <w:vAlign w:val="center"/>
                </w:tcPr>
                <w:p>
                  <w:pPr>
                    <w:pStyle w:val="113"/>
                    <w:keepNext w:val="0"/>
                    <w:keepLines w:val="0"/>
                    <w:pageBreakBefore w:val="0"/>
                    <w:widowControl/>
                    <w:kinsoku/>
                    <w:wordWrap/>
                    <w:overflowPunct/>
                    <w:topLinePunct w:val="0"/>
                    <w:autoSpaceDE/>
                    <w:autoSpaceDN/>
                    <w:bidi w:val="0"/>
                    <w:adjustRightInd w:val="0"/>
                    <w:snapToGrid/>
                    <w:ind w:firstLineChars="0"/>
                    <w:rPr>
                      <w:color w:val="auto"/>
                      <w:highlight w:val="none"/>
                    </w:rPr>
                  </w:pPr>
                </w:p>
              </w:tc>
              <w:tc>
                <w:tcPr>
                  <w:tcW w:w="1030" w:type="dxa"/>
                  <w:tcBorders>
                    <w:tl2br w:val="nil"/>
                    <w:tr2bl w:val="nil"/>
                  </w:tcBorders>
                  <w:vAlign w:val="center"/>
                </w:tcPr>
                <w:p>
                  <w:pPr>
                    <w:pStyle w:val="113"/>
                    <w:keepNext w:val="0"/>
                    <w:keepLines w:val="0"/>
                    <w:pageBreakBefore w:val="0"/>
                    <w:widowControl/>
                    <w:suppressLineNumbers w:val="0"/>
                    <w:kinsoku/>
                    <w:wordWrap/>
                    <w:overflowPunct/>
                    <w:topLinePunct w:val="0"/>
                    <w:autoSpaceDE/>
                    <w:autoSpaceDN/>
                    <w:bidi w:val="0"/>
                    <w:adjustRightInd w:val="0"/>
                    <w:snapToGrid/>
                    <w:ind w:firstLineChars="0"/>
                    <w:jc w:val="center"/>
                    <w:textAlignment w:val="center"/>
                    <w:rPr>
                      <w:rFonts w:hint="default"/>
                      <w:color w:val="auto"/>
                      <w:highlight w:val="none"/>
                      <w:lang w:val="en-US" w:eastAsia="zh-CN"/>
                    </w:rPr>
                  </w:pPr>
                </w:p>
              </w:tc>
              <w:tc>
                <w:tcPr>
                  <w:tcW w:w="1227" w:type="dxa"/>
                  <w:tcBorders>
                    <w:tl2br w:val="nil"/>
                    <w:tr2bl w:val="nil"/>
                  </w:tcBorders>
                  <w:vAlign w:val="center"/>
                </w:tcPr>
                <w:p>
                  <w:pPr>
                    <w:pStyle w:val="113"/>
                    <w:keepNext w:val="0"/>
                    <w:keepLines w:val="0"/>
                    <w:pageBreakBefore w:val="0"/>
                    <w:widowControl/>
                    <w:suppressLineNumbers w:val="0"/>
                    <w:kinsoku/>
                    <w:wordWrap/>
                    <w:overflowPunct/>
                    <w:topLinePunct w:val="0"/>
                    <w:autoSpaceDE/>
                    <w:autoSpaceDN/>
                    <w:bidi w:val="0"/>
                    <w:adjustRightInd w:val="0"/>
                    <w:snapToGrid/>
                    <w:ind w:firstLineChars="0"/>
                    <w:jc w:val="center"/>
                    <w:textAlignment w:val="center"/>
                    <w:rPr>
                      <w:rFonts w:hint="default"/>
                      <w:color w:val="auto"/>
                      <w:highlight w:val="none"/>
                      <w:lang w:val="en-US" w:eastAsia="zh-CN"/>
                    </w:rPr>
                  </w:pPr>
                </w:p>
              </w:tc>
              <w:tc>
                <w:tcPr>
                  <w:tcW w:w="1499" w:type="dxa"/>
                  <w:tcBorders>
                    <w:tl2br w:val="nil"/>
                    <w:tr2bl w:val="nil"/>
                  </w:tcBorders>
                  <w:vAlign w:val="center"/>
                </w:tcPr>
                <w:p>
                  <w:pPr>
                    <w:pStyle w:val="113"/>
                    <w:keepNext w:val="0"/>
                    <w:keepLines w:val="0"/>
                    <w:pageBreakBefore w:val="0"/>
                    <w:widowControl/>
                    <w:suppressLineNumbers w:val="0"/>
                    <w:kinsoku/>
                    <w:wordWrap/>
                    <w:overflowPunct/>
                    <w:topLinePunct w:val="0"/>
                    <w:autoSpaceDE/>
                    <w:autoSpaceDN/>
                    <w:bidi w:val="0"/>
                    <w:adjustRightInd w:val="0"/>
                    <w:snapToGrid/>
                    <w:ind w:firstLineChars="0"/>
                    <w:jc w:val="center"/>
                    <w:textAlignment w:val="center"/>
                    <w:rPr>
                      <w:rFonts w:hint="default"/>
                      <w:color w:val="auto"/>
                      <w:highlight w:val="none"/>
                      <w:lang w:val="en-US" w:eastAsia="zh-CN"/>
                    </w:rPr>
                  </w:pPr>
                </w:p>
              </w:tc>
              <w:tc>
                <w:tcPr>
                  <w:tcW w:w="861" w:type="dxa"/>
                  <w:tcBorders>
                    <w:tl2br w:val="nil"/>
                    <w:tr2bl w:val="nil"/>
                  </w:tcBorders>
                  <w:vAlign w:val="center"/>
                </w:tcPr>
                <w:p>
                  <w:pPr>
                    <w:pStyle w:val="113"/>
                    <w:keepNext w:val="0"/>
                    <w:keepLines w:val="0"/>
                    <w:pageBreakBefore w:val="0"/>
                    <w:widowControl/>
                    <w:suppressLineNumbers w:val="0"/>
                    <w:kinsoku/>
                    <w:wordWrap/>
                    <w:overflowPunct/>
                    <w:topLinePunct w:val="0"/>
                    <w:autoSpaceDE/>
                    <w:autoSpaceDN/>
                    <w:bidi w:val="0"/>
                    <w:adjustRightInd w:val="0"/>
                    <w:snapToGrid/>
                    <w:ind w:firstLineChars="0"/>
                    <w:jc w:val="center"/>
                    <w:textAlignment w:val="center"/>
                    <w:rPr>
                      <w:rFonts w:hint="default"/>
                      <w:color w:val="auto"/>
                      <w:highlight w:val="none"/>
                      <w:lang w:val="en-US" w:eastAsia="zh-CN"/>
                    </w:rPr>
                  </w:pPr>
                </w:p>
              </w:tc>
              <w:tc>
                <w:tcPr>
                  <w:tcW w:w="1295" w:type="dxa"/>
                  <w:tcBorders>
                    <w:tl2br w:val="nil"/>
                    <w:tr2bl w:val="nil"/>
                  </w:tcBorders>
                  <w:vAlign w:val="center"/>
                </w:tcPr>
                <w:p>
                  <w:pPr>
                    <w:pStyle w:val="113"/>
                    <w:keepNext w:val="0"/>
                    <w:keepLines w:val="0"/>
                    <w:pageBreakBefore w:val="0"/>
                    <w:widowControl/>
                    <w:suppressLineNumbers w:val="0"/>
                    <w:kinsoku/>
                    <w:wordWrap/>
                    <w:overflowPunct/>
                    <w:topLinePunct w:val="0"/>
                    <w:autoSpaceDE/>
                    <w:autoSpaceDN/>
                    <w:bidi w:val="0"/>
                    <w:adjustRightInd w:val="0"/>
                    <w:snapToGrid/>
                    <w:ind w:firstLineChars="0"/>
                    <w:jc w:val="center"/>
                    <w:textAlignment w:val="center"/>
                    <w:rPr>
                      <w:rFonts w:hint="default"/>
                      <w:color w:val="auto"/>
                      <w:highlight w:val="none"/>
                      <w:lang w:val="en-US" w:eastAsia="zh-CN"/>
                    </w:rPr>
                  </w:pPr>
                </w:p>
              </w:tc>
              <w:tc>
                <w:tcPr>
                  <w:tcW w:w="1885" w:type="dxa"/>
                  <w:gridSpan w:val="2"/>
                  <w:tcBorders>
                    <w:tl2br w:val="nil"/>
                    <w:tr2bl w:val="nil"/>
                  </w:tcBorders>
                  <w:tcMar>
                    <w:top w:w="0" w:type="dxa"/>
                    <w:left w:w="28" w:type="dxa"/>
                    <w:bottom w:w="0" w:type="dxa"/>
                    <w:right w:w="28" w:type="dxa"/>
                  </w:tcMar>
                  <w:vAlign w:val="center"/>
                </w:tcPr>
                <w:p>
                  <w:pPr>
                    <w:pStyle w:val="113"/>
                    <w:keepNext w:val="0"/>
                    <w:keepLines w:val="0"/>
                    <w:pageBreakBefore w:val="0"/>
                    <w:widowControl/>
                    <w:suppressLineNumbers w:val="0"/>
                    <w:kinsoku/>
                    <w:wordWrap/>
                    <w:overflowPunct/>
                    <w:topLinePunct w:val="0"/>
                    <w:autoSpaceDE/>
                    <w:autoSpaceDN/>
                    <w:bidi w:val="0"/>
                    <w:adjustRightInd w:val="0"/>
                    <w:snapToGrid/>
                    <w:ind w:firstLineChars="0"/>
                    <w:jc w:val="center"/>
                    <w:textAlignment w:val="center"/>
                    <w:rPr>
                      <w:rFonts w:hint="default"/>
                      <w:color w:val="auto"/>
                      <w:highlight w:val="none"/>
                      <w:lang w:val="en-US" w:eastAsia="zh-CN"/>
                    </w:rPr>
                  </w:pPr>
                </w:p>
              </w:tc>
              <w:tc>
                <w:tcPr>
                  <w:tcW w:w="1026" w:type="dxa"/>
                  <w:tcBorders>
                    <w:tl2br w:val="nil"/>
                    <w:tr2bl w:val="nil"/>
                  </w:tcBorders>
                  <w:vAlign w:val="center"/>
                </w:tcPr>
                <w:p>
                  <w:pPr>
                    <w:pStyle w:val="113"/>
                    <w:keepNext w:val="0"/>
                    <w:keepLines w:val="0"/>
                    <w:pageBreakBefore w:val="0"/>
                    <w:widowControl/>
                    <w:kinsoku/>
                    <w:wordWrap/>
                    <w:overflowPunct/>
                    <w:topLinePunct w:val="0"/>
                    <w:autoSpaceDE/>
                    <w:autoSpaceDN/>
                    <w:bidi w:val="0"/>
                    <w:adjustRightInd w:val="0"/>
                    <w:snapToGrid/>
                    <w:ind w:firstLineChars="0"/>
                    <w:rPr>
                      <w:color w:val="auto"/>
                      <w:highlight w:val="none"/>
                    </w:rPr>
                  </w:pPr>
                </w:p>
              </w:tc>
              <w:tc>
                <w:tcPr>
                  <w:tcW w:w="2173" w:type="dxa"/>
                  <w:tcBorders>
                    <w:tl2br w:val="nil"/>
                    <w:tr2bl w:val="nil"/>
                  </w:tcBorders>
                  <w:tcMar>
                    <w:top w:w="0" w:type="dxa"/>
                    <w:left w:w="28" w:type="dxa"/>
                    <w:bottom w:w="0" w:type="dxa"/>
                    <w:right w:w="28" w:type="dxa"/>
                  </w:tcMar>
                  <w:vAlign w:val="center"/>
                </w:tcPr>
                <w:p>
                  <w:pPr>
                    <w:pStyle w:val="113"/>
                    <w:keepNext w:val="0"/>
                    <w:keepLines w:val="0"/>
                    <w:pageBreakBefore w:val="0"/>
                    <w:widowControl/>
                    <w:kinsoku/>
                    <w:wordWrap/>
                    <w:overflowPunct/>
                    <w:topLinePunct w:val="0"/>
                    <w:autoSpaceDE/>
                    <w:autoSpaceDN/>
                    <w:bidi w:val="0"/>
                    <w:adjustRightInd w:val="0"/>
                    <w:snapToGrid/>
                    <w:ind w:firstLineChars="0"/>
                    <w:rPr>
                      <w:color w:val="auto"/>
                      <w:highlight w:val="none"/>
                    </w:rPr>
                  </w:pPr>
                </w:p>
              </w:tc>
              <w:tc>
                <w:tcPr>
                  <w:tcW w:w="1131" w:type="dxa"/>
                  <w:vMerge w:val="continue"/>
                  <w:tcBorders>
                    <w:tl2br w:val="nil"/>
                    <w:tr2bl w:val="nil"/>
                  </w:tcBorders>
                  <w:tcMar>
                    <w:top w:w="0" w:type="dxa"/>
                    <w:left w:w="28" w:type="dxa"/>
                    <w:bottom w:w="0" w:type="dxa"/>
                    <w:right w:w="28" w:type="dxa"/>
                  </w:tcMar>
                  <w:vAlign w:val="center"/>
                </w:tcPr>
                <w:p>
                  <w:pPr>
                    <w:pStyle w:val="113"/>
                    <w:keepNext w:val="0"/>
                    <w:keepLines w:val="0"/>
                    <w:pageBreakBefore w:val="0"/>
                    <w:widowControl/>
                    <w:kinsoku/>
                    <w:wordWrap/>
                    <w:overflowPunct/>
                    <w:topLinePunct w:val="0"/>
                    <w:autoSpaceDE/>
                    <w:autoSpaceDN/>
                    <w:bidi w:val="0"/>
                    <w:adjustRightInd w:val="0"/>
                    <w:snapToGrid/>
                    <w:ind w:firstLineChars="0"/>
                    <w:rPr>
                      <w:color w:val="auto"/>
                      <w:highlight w:val="none"/>
                    </w:rPr>
                  </w:pPr>
                </w:p>
              </w:tc>
              <w:tc>
                <w:tcPr>
                  <w:tcW w:w="1206" w:type="dxa"/>
                  <w:vMerge w:val="continue"/>
                  <w:tcBorders>
                    <w:tl2br w:val="nil"/>
                    <w:tr2bl w:val="nil"/>
                  </w:tcBorders>
                  <w:vAlign w:val="center"/>
                </w:tcPr>
                <w:p>
                  <w:pPr>
                    <w:pStyle w:val="113"/>
                    <w:keepNext w:val="0"/>
                    <w:keepLines w:val="0"/>
                    <w:pageBreakBefore w:val="0"/>
                    <w:widowControl/>
                    <w:kinsoku/>
                    <w:wordWrap/>
                    <w:overflowPunct/>
                    <w:topLinePunct w:val="0"/>
                    <w:autoSpaceDE/>
                    <w:autoSpaceDN/>
                    <w:bidi w:val="0"/>
                    <w:adjustRightInd w:val="0"/>
                    <w:snapToGrid/>
                    <w:ind w:firstLineChars="0"/>
                    <w:rPr>
                      <w:color w:val="auto"/>
                      <w:highlight w:val="none"/>
                    </w:rPr>
                  </w:pPr>
                </w:p>
              </w:tc>
              <w:tc>
                <w:tcPr>
                  <w:tcW w:w="1223" w:type="dxa"/>
                  <w:vMerge w:val="continue"/>
                  <w:tcBorders>
                    <w:tl2br w:val="nil"/>
                    <w:tr2bl w:val="nil"/>
                  </w:tcBorders>
                  <w:vAlign w:val="center"/>
                </w:tcPr>
                <w:p>
                  <w:pPr>
                    <w:pStyle w:val="113"/>
                    <w:keepNext w:val="0"/>
                    <w:keepLines w:val="0"/>
                    <w:pageBreakBefore w:val="0"/>
                    <w:widowControl/>
                    <w:kinsoku/>
                    <w:wordWrap/>
                    <w:overflowPunct/>
                    <w:topLinePunct w:val="0"/>
                    <w:autoSpaceDE/>
                    <w:autoSpaceDN/>
                    <w:bidi w:val="0"/>
                    <w:adjustRightInd w:val="0"/>
                    <w:snapToGrid/>
                    <w:ind w:firstLineChars="0"/>
                    <w:rPr>
                      <w:color w:val="auto"/>
                      <w:highlight w:val="none"/>
                    </w:rPr>
                  </w:pPr>
                </w:p>
              </w:tc>
              <w:tc>
                <w:tcPr>
                  <w:tcW w:w="1082" w:type="dxa"/>
                  <w:vMerge w:val="continue"/>
                  <w:tcBorders>
                    <w:tl2br w:val="nil"/>
                    <w:tr2bl w:val="nil"/>
                  </w:tcBorders>
                  <w:vAlign w:val="center"/>
                </w:tcPr>
                <w:p>
                  <w:pPr>
                    <w:pStyle w:val="113"/>
                    <w:keepNext w:val="0"/>
                    <w:keepLines w:val="0"/>
                    <w:pageBreakBefore w:val="0"/>
                    <w:widowControl/>
                    <w:kinsoku/>
                    <w:wordWrap/>
                    <w:overflowPunct/>
                    <w:topLinePunct w:val="0"/>
                    <w:autoSpaceDE/>
                    <w:autoSpaceDN/>
                    <w:bidi w:val="0"/>
                    <w:adjustRightInd w:val="0"/>
                    <w:snapToGrid/>
                    <w:ind w:firstLineChars="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198" w:hRule="atLeast"/>
                <w:jc w:val="center"/>
              </w:trPr>
              <w:tc>
                <w:tcPr>
                  <w:tcW w:w="812" w:type="dxa"/>
                  <w:vMerge w:val="continue"/>
                  <w:tcBorders>
                    <w:tl2br w:val="nil"/>
                    <w:tr2bl w:val="nil"/>
                  </w:tcBorders>
                  <w:vAlign w:val="center"/>
                </w:tcPr>
                <w:p>
                  <w:pPr>
                    <w:pStyle w:val="113"/>
                    <w:keepNext w:val="0"/>
                    <w:keepLines w:val="0"/>
                    <w:pageBreakBefore w:val="0"/>
                    <w:widowControl/>
                    <w:kinsoku/>
                    <w:wordWrap/>
                    <w:overflowPunct/>
                    <w:topLinePunct w:val="0"/>
                    <w:autoSpaceDE/>
                    <w:autoSpaceDN/>
                    <w:bidi w:val="0"/>
                    <w:adjustRightInd w:val="0"/>
                    <w:snapToGrid/>
                    <w:ind w:firstLineChars="0"/>
                    <w:rPr>
                      <w:color w:val="auto"/>
                      <w:highlight w:val="none"/>
                    </w:rPr>
                  </w:pPr>
                </w:p>
              </w:tc>
              <w:tc>
                <w:tcPr>
                  <w:tcW w:w="885" w:type="dxa"/>
                  <w:tcBorders>
                    <w:tl2br w:val="nil"/>
                    <w:tr2bl w:val="nil"/>
                  </w:tcBorders>
                  <w:vAlign w:val="center"/>
                </w:tcPr>
                <w:p>
                  <w:pPr>
                    <w:pStyle w:val="113"/>
                    <w:keepNext w:val="0"/>
                    <w:keepLines w:val="0"/>
                    <w:pageBreakBefore w:val="0"/>
                    <w:widowControl/>
                    <w:kinsoku/>
                    <w:wordWrap/>
                    <w:overflowPunct/>
                    <w:topLinePunct w:val="0"/>
                    <w:autoSpaceDE/>
                    <w:autoSpaceDN/>
                    <w:bidi w:val="0"/>
                    <w:adjustRightInd w:val="0"/>
                    <w:snapToGrid/>
                    <w:ind w:firstLineChars="0"/>
                    <w:rPr>
                      <w:color w:val="auto"/>
                      <w:highlight w:val="none"/>
                    </w:rPr>
                  </w:pPr>
                </w:p>
              </w:tc>
              <w:tc>
                <w:tcPr>
                  <w:tcW w:w="869" w:type="dxa"/>
                  <w:tcBorders>
                    <w:tl2br w:val="nil"/>
                    <w:tr2bl w:val="nil"/>
                  </w:tcBorders>
                  <w:vAlign w:val="center"/>
                </w:tcPr>
                <w:p>
                  <w:pPr>
                    <w:pStyle w:val="113"/>
                    <w:keepNext w:val="0"/>
                    <w:keepLines w:val="0"/>
                    <w:pageBreakBefore w:val="0"/>
                    <w:widowControl/>
                    <w:kinsoku/>
                    <w:wordWrap/>
                    <w:overflowPunct/>
                    <w:topLinePunct w:val="0"/>
                    <w:autoSpaceDE/>
                    <w:autoSpaceDN/>
                    <w:bidi w:val="0"/>
                    <w:adjustRightInd w:val="0"/>
                    <w:snapToGrid/>
                    <w:ind w:firstLineChars="0"/>
                    <w:rPr>
                      <w:color w:val="auto"/>
                      <w:highlight w:val="none"/>
                    </w:rPr>
                  </w:pPr>
                </w:p>
              </w:tc>
              <w:tc>
                <w:tcPr>
                  <w:tcW w:w="989" w:type="dxa"/>
                  <w:tcBorders>
                    <w:tl2br w:val="nil"/>
                    <w:tr2bl w:val="nil"/>
                  </w:tcBorders>
                  <w:vAlign w:val="center"/>
                </w:tcPr>
                <w:p>
                  <w:pPr>
                    <w:pStyle w:val="113"/>
                    <w:keepNext w:val="0"/>
                    <w:keepLines w:val="0"/>
                    <w:pageBreakBefore w:val="0"/>
                    <w:widowControl/>
                    <w:kinsoku/>
                    <w:wordWrap/>
                    <w:overflowPunct/>
                    <w:topLinePunct w:val="0"/>
                    <w:autoSpaceDE/>
                    <w:autoSpaceDN/>
                    <w:bidi w:val="0"/>
                    <w:adjustRightInd w:val="0"/>
                    <w:snapToGrid/>
                    <w:ind w:firstLineChars="0"/>
                    <w:rPr>
                      <w:color w:val="auto"/>
                      <w:highlight w:val="none"/>
                    </w:rPr>
                  </w:pPr>
                </w:p>
              </w:tc>
              <w:tc>
                <w:tcPr>
                  <w:tcW w:w="844" w:type="dxa"/>
                  <w:tcBorders>
                    <w:tl2br w:val="nil"/>
                    <w:tr2bl w:val="nil"/>
                  </w:tcBorders>
                  <w:vAlign w:val="center"/>
                </w:tcPr>
                <w:p>
                  <w:pPr>
                    <w:pStyle w:val="113"/>
                    <w:keepNext w:val="0"/>
                    <w:keepLines w:val="0"/>
                    <w:pageBreakBefore w:val="0"/>
                    <w:widowControl/>
                    <w:kinsoku/>
                    <w:wordWrap/>
                    <w:overflowPunct/>
                    <w:topLinePunct w:val="0"/>
                    <w:autoSpaceDE/>
                    <w:autoSpaceDN/>
                    <w:bidi w:val="0"/>
                    <w:adjustRightInd w:val="0"/>
                    <w:snapToGrid/>
                    <w:ind w:firstLineChars="0"/>
                    <w:rPr>
                      <w:color w:val="auto"/>
                      <w:highlight w:val="none"/>
                    </w:rPr>
                  </w:pPr>
                </w:p>
              </w:tc>
              <w:tc>
                <w:tcPr>
                  <w:tcW w:w="1030" w:type="dxa"/>
                  <w:tcBorders>
                    <w:tl2br w:val="nil"/>
                    <w:tr2bl w:val="nil"/>
                  </w:tcBorders>
                  <w:vAlign w:val="center"/>
                </w:tcPr>
                <w:p>
                  <w:pPr>
                    <w:pStyle w:val="113"/>
                    <w:keepNext w:val="0"/>
                    <w:keepLines w:val="0"/>
                    <w:pageBreakBefore w:val="0"/>
                    <w:widowControl/>
                    <w:suppressLineNumbers w:val="0"/>
                    <w:kinsoku/>
                    <w:wordWrap/>
                    <w:overflowPunct/>
                    <w:topLinePunct w:val="0"/>
                    <w:autoSpaceDE/>
                    <w:autoSpaceDN/>
                    <w:bidi w:val="0"/>
                    <w:adjustRightInd w:val="0"/>
                    <w:snapToGrid/>
                    <w:ind w:firstLineChars="0"/>
                    <w:jc w:val="center"/>
                    <w:textAlignment w:val="center"/>
                    <w:rPr>
                      <w:rFonts w:hint="default"/>
                      <w:color w:val="auto"/>
                      <w:highlight w:val="none"/>
                      <w:lang w:val="en-US" w:eastAsia="zh-CN"/>
                    </w:rPr>
                  </w:pPr>
                </w:p>
              </w:tc>
              <w:tc>
                <w:tcPr>
                  <w:tcW w:w="1227" w:type="dxa"/>
                  <w:tcBorders>
                    <w:tl2br w:val="nil"/>
                    <w:tr2bl w:val="nil"/>
                  </w:tcBorders>
                  <w:vAlign w:val="center"/>
                </w:tcPr>
                <w:p>
                  <w:pPr>
                    <w:pStyle w:val="113"/>
                    <w:keepNext w:val="0"/>
                    <w:keepLines w:val="0"/>
                    <w:pageBreakBefore w:val="0"/>
                    <w:widowControl/>
                    <w:suppressLineNumbers w:val="0"/>
                    <w:kinsoku/>
                    <w:wordWrap/>
                    <w:overflowPunct/>
                    <w:topLinePunct w:val="0"/>
                    <w:autoSpaceDE/>
                    <w:autoSpaceDN/>
                    <w:bidi w:val="0"/>
                    <w:adjustRightInd w:val="0"/>
                    <w:snapToGrid/>
                    <w:ind w:firstLineChars="0"/>
                    <w:jc w:val="center"/>
                    <w:textAlignment w:val="center"/>
                    <w:rPr>
                      <w:rFonts w:hint="default"/>
                      <w:color w:val="auto"/>
                      <w:highlight w:val="none"/>
                      <w:lang w:val="en-US" w:eastAsia="zh-CN"/>
                    </w:rPr>
                  </w:pPr>
                </w:p>
              </w:tc>
              <w:tc>
                <w:tcPr>
                  <w:tcW w:w="1499" w:type="dxa"/>
                  <w:tcBorders>
                    <w:tl2br w:val="nil"/>
                    <w:tr2bl w:val="nil"/>
                  </w:tcBorders>
                  <w:vAlign w:val="center"/>
                </w:tcPr>
                <w:p>
                  <w:pPr>
                    <w:pStyle w:val="113"/>
                    <w:keepNext w:val="0"/>
                    <w:keepLines w:val="0"/>
                    <w:pageBreakBefore w:val="0"/>
                    <w:widowControl/>
                    <w:suppressLineNumbers w:val="0"/>
                    <w:kinsoku/>
                    <w:wordWrap/>
                    <w:overflowPunct/>
                    <w:topLinePunct w:val="0"/>
                    <w:autoSpaceDE/>
                    <w:autoSpaceDN/>
                    <w:bidi w:val="0"/>
                    <w:adjustRightInd w:val="0"/>
                    <w:snapToGrid/>
                    <w:ind w:firstLineChars="0"/>
                    <w:jc w:val="center"/>
                    <w:textAlignment w:val="center"/>
                    <w:rPr>
                      <w:rFonts w:hint="default"/>
                      <w:color w:val="auto"/>
                      <w:highlight w:val="none"/>
                      <w:lang w:val="en-US" w:eastAsia="zh-CN"/>
                    </w:rPr>
                  </w:pPr>
                </w:p>
              </w:tc>
              <w:tc>
                <w:tcPr>
                  <w:tcW w:w="861" w:type="dxa"/>
                  <w:tcBorders>
                    <w:tl2br w:val="nil"/>
                    <w:tr2bl w:val="nil"/>
                  </w:tcBorders>
                  <w:vAlign w:val="center"/>
                </w:tcPr>
                <w:p>
                  <w:pPr>
                    <w:pStyle w:val="113"/>
                    <w:keepNext w:val="0"/>
                    <w:keepLines w:val="0"/>
                    <w:pageBreakBefore w:val="0"/>
                    <w:widowControl/>
                    <w:suppressLineNumbers w:val="0"/>
                    <w:kinsoku/>
                    <w:wordWrap/>
                    <w:overflowPunct/>
                    <w:topLinePunct w:val="0"/>
                    <w:autoSpaceDE/>
                    <w:autoSpaceDN/>
                    <w:bidi w:val="0"/>
                    <w:adjustRightInd w:val="0"/>
                    <w:snapToGrid/>
                    <w:ind w:firstLineChars="0"/>
                    <w:jc w:val="center"/>
                    <w:textAlignment w:val="center"/>
                    <w:rPr>
                      <w:rFonts w:hint="default"/>
                      <w:color w:val="auto"/>
                      <w:highlight w:val="none"/>
                      <w:lang w:val="en-US" w:eastAsia="zh-CN"/>
                    </w:rPr>
                  </w:pPr>
                </w:p>
              </w:tc>
              <w:tc>
                <w:tcPr>
                  <w:tcW w:w="1295" w:type="dxa"/>
                  <w:tcBorders>
                    <w:tl2br w:val="nil"/>
                    <w:tr2bl w:val="nil"/>
                  </w:tcBorders>
                  <w:vAlign w:val="center"/>
                </w:tcPr>
                <w:p>
                  <w:pPr>
                    <w:pStyle w:val="113"/>
                    <w:keepNext w:val="0"/>
                    <w:keepLines w:val="0"/>
                    <w:pageBreakBefore w:val="0"/>
                    <w:widowControl/>
                    <w:suppressLineNumbers w:val="0"/>
                    <w:kinsoku/>
                    <w:wordWrap/>
                    <w:overflowPunct/>
                    <w:topLinePunct w:val="0"/>
                    <w:autoSpaceDE/>
                    <w:autoSpaceDN/>
                    <w:bidi w:val="0"/>
                    <w:adjustRightInd w:val="0"/>
                    <w:snapToGrid/>
                    <w:ind w:firstLineChars="0"/>
                    <w:jc w:val="center"/>
                    <w:textAlignment w:val="center"/>
                    <w:rPr>
                      <w:rFonts w:hint="default"/>
                      <w:color w:val="auto"/>
                      <w:highlight w:val="none"/>
                      <w:lang w:val="en-US" w:eastAsia="zh-CN"/>
                    </w:rPr>
                  </w:pPr>
                </w:p>
              </w:tc>
              <w:tc>
                <w:tcPr>
                  <w:tcW w:w="1885" w:type="dxa"/>
                  <w:gridSpan w:val="2"/>
                  <w:tcBorders>
                    <w:tl2br w:val="nil"/>
                    <w:tr2bl w:val="nil"/>
                  </w:tcBorders>
                  <w:tcMar>
                    <w:top w:w="0" w:type="dxa"/>
                    <w:left w:w="28" w:type="dxa"/>
                    <w:bottom w:w="0" w:type="dxa"/>
                    <w:right w:w="28" w:type="dxa"/>
                  </w:tcMar>
                  <w:vAlign w:val="center"/>
                </w:tcPr>
                <w:p>
                  <w:pPr>
                    <w:pStyle w:val="113"/>
                    <w:keepNext w:val="0"/>
                    <w:keepLines w:val="0"/>
                    <w:pageBreakBefore w:val="0"/>
                    <w:widowControl/>
                    <w:suppressLineNumbers w:val="0"/>
                    <w:kinsoku/>
                    <w:wordWrap/>
                    <w:overflowPunct/>
                    <w:topLinePunct w:val="0"/>
                    <w:autoSpaceDE/>
                    <w:autoSpaceDN/>
                    <w:bidi w:val="0"/>
                    <w:adjustRightInd w:val="0"/>
                    <w:snapToGrid/>
                    <w:ind w:firstLineChars="0"/>
                    <w:jc w:val="center"/>
                    <w:textAlignment w:val="center"/>
                    <w:rPr>
                      <w:rFonts w:hint="default"/>
                      <w:color w:val="auto"/>
                      <w:highlight w:val="none"/>
                      <w:lang w:val="en-US" w:eastAsia="zh-CN"/>
                    </w:rPr>
                  </w:pPr>
                </w:p>
              </w:tc>
              <w:tc>
                <w:tcPr>
                  <w:tcW w:w="1026" w:type="dxa"/>
                  <w:tcBorders>
                    <w:tl2br w:val="nil"/>
                    <w:tr2bl w:val="nil"/>
                  </w:tcBorders>
                  <w:vAlign w:val="center"/>
                </w:tcPr>
                <w:p>
                  <w:pPr>
                    <w:pStyle w:val="113"/>
                    <w:keepNext w:val="0"/>
                    <w:keepLines w:val="0"/>
                    <w:pageBreakBefore w:val="0"/>
                    <w:widowControl/>
                    <w:kinsoku/>
                    <w:wordWrap/>
                    <w:overflowPunct/>
                    <w:topLinePunct w:val="0"/>
                    <w:autoSpaceDE/>
                    <w:autoSpaceDN/>
                    <w:bidi w:val="0"/>
                    <w:adjustRightInd w:val="0"/>
                    <w:snapToGrid/>
                    <w:ind w:firstLineChars="0"/>
                    <w:rPr>
                      <w:color w:val="auto"/>
                      <w:highlight w:val="none"/>
                    </w:rPr>
                  </w:pPr>
                </w:p>
              </w:tc>
              <w:tc>
                <w:tcPr>
                  <w:tcW w:w="2173" w:type="dxa"/>
                  <w:tcBorders>
                    <w:tl2br w:val="nil"/>
                    <w:tr2bl w:val="nil"/>
                  </w:tcBorders>
                  <w:tcMar>
                    <w:top w:w="0" w:type="dxa"/>
                    <w:left w:w="28" w:type="dxa"/>
                    <w:bottom w:w="0" w:type="dxa"/>
                    <w:right w:w="28" w:type="dxa"/>
                  </w:tcMar>
                  <w:vAlign w:val="center"/>
                </w:tcPr>
                <w:p>
                  <w:pPr>
                    <w:pStyle w:val="113"/>
                    <w:keepNext w:val="0"/>
                    <w:keepLines w:val="0"/>
                    <w:pageBreakBefore w:val="0"/>
                    <w:widowControl/>
                    <w:kinsoku/>
                    <w:wordWrap/>
                    <w:overflowPunct/>
                    <w:topLinePunct w:val="0"/>
                    <w:autoSpaceDE/>
                    <w:autoSpaceDN/>
                    <w:bidi w:val="0"/>
                    <w:adjustRightInd w:val="0"/>
                    <w:snapToGrid/>
                    <w:ind w:firstLineChars="0"/>
                    <w:rPr>
                      <w:color w:val="auto"/>
                      <w:highlight w:val="none"/>
                    </w:rPr>
                  </w:pPr>
                </w:p>
              </w:tc>
              <w:tc>
                <w:tcPr>
                  <w:tcW w:w="1131" w:type="dxa"/>
                  <w:vMerge w:val="continue"/>
                  <w:tcBorders>
                    <w:tl2br w:val="nil"/>
                    <w:tr2bl w:val="nil"/>
                  </w:tcBorders>
                  <w:tcMar>
                    <w:top w:w="0" w:type="dxa"/>
                    <w:left w:w="28" w:type="dxa"/>
                    <w:bottom w:w="0" w:type="dxa"/>
                    <w:right w:w="28" w:type="dxa"/>
                  </w:tcMar>
                  <w:vAlign w:val="center"/>
                </w:tcPr>
                <w:p>
                  <w:pPr>
                    <w:pStyle w:val="113"/>
                    <w:keepNext w:val="0"/>
                    <w:keepLines w:val="0"/>
                    <w:pageBreakBefore w:val="0"/>
                    <w:widowControl/>
                    <w:kinsoku/>
                    <w:wordWrap/>
                    <w:overflowPunct/>
                    <w:topLinePunct w:val="0"/>
                    <w:autoSpaceDE/>
                    <w:autoSpaceDN/>
                    <w:bidi w:val="0"/>
                    <w:adjustRightInd w:val="0"/>
                    <w:snapToGrid/>
                    <w:ind w:firstLineChars="0"/>
                    <w:rPr>
                      <w:color w:val="auto"/>
                      <w:highlight w:val="none"/>
                    </w:rPr>
                  </w:pPr>
                </w:p>
              </w:tc>
              <w:tc>
                <w:tcPr>
                  <w:tcW w:w="1206" w:type="dxa"/>
                  <w:vMerge w:val="continue"/>
                  <w:tcBorders>
                    <w:tl2br w:val="nil"/>
                    <w:tr2bl w:val="nil"/>
                  </w:tcBorders>
                  <w:vAlign w:val="center"/>
                </w:tcPr>
                <w:p>
                  <w:pPr>
                    <w:pStyle w:val="113"/>
                    <w:keepNext w:val="0"/>
                    <w:keepLines w:val="0"/>
                    <w:pageBreakBefore w:val="0"/>
                    <w:widowControl/>
                    <w:kinsoku/>
                    <w:wordWrap/>
                    <w:overflowPunct/>
                    <w:topLinePunct w:val="0"/>
                    <w:autoSpaceDE/>
                    <w:autoSpaceDN/>
                    <w:bidi w:val="0"/>
                    <w:adjustRightInd w:val="0"/>
                    <w:snapToGrid/>
                    <w:ind w:firstLineChars="0"/>
                    <w:rPr>
                      <w:color w:val="auto"/>
                      <w:highlight w:val="none"/>
                    </w:rPr>
                  </w:pPr>
                </w:p>
              </w:tc>
              <w:tc>
                <w:tcPr>
                  <w:tcW w:w="1223" w:type="dxa"/>
                  <w:vMerge w:val="continue"/>
                  <w:tcBorders>
                    <w:tl2br w:val="nil"/>
                    <w:tr2bl w:val="nil"/>
                  </w:tcBorders>
                  <w:vAlign w:val="center"/>
                </w:tcPr>
                <w:p>
                  <w:pPr>
                    <w:pStyle w:val="113"/>
                    <w:keepNext w:val="0"/>
                    <w:keepLines w:val="0"/>
                    <w:pageBreakBefore w:val="0"/>
                    <w:widowControl/>
                    <w:kinsoku/>
                    <w:wordWrap/>
                    <w:overflowPunct/>
                    <w:topLinePunct w:val="0"/>
                    <w:autoSpaceDE/>
                    <w:autoSpaceDN/>
                    <w:bidi w:val="0"/>
                    <w:adjustRightInd w:val="0"/>
                    <w:snapToGrid/>
                    <w:ind w:firstLineChars="0"/>
                    <w:rPr>
                      <w:color w:val="auto"/>
                      <w:highlight w:val="none"/>
                    </w:rPr>
                  </w:pPr>
                </w:p>
              </w:tc>
              <w:tc>
                <w:tcPr>
                  <w:tcW w:w="1082" w:type="dxa"/>
                  <w:vMerge w:val="continue"/>
                  <w:tcBorders>
                    <w:tl2br w:val="nil"/>
                    <w:tr2bl w:val="nil"/>
                  </w:tcBorders>
                  <w:vAlign w:val="center"/>
                </w:tcPr>
                <w:p>
                  <w:pPr>
                    <w:pStyle w:val="113"/>
                    <w:keepNext w:val="0"/>
                    <w:keepLines w:val="0"/>
                    <w:pageBreakBefore w:val="0"/>
                    <w:widowControl/>
                    <w:kinsoku/>
                    <w:wordWrap/>
                    <w:overflowPunct/>
                    <w:topLinePunct w:val="0"/>
                    <w:autoSpaceDE/>
                    <w:autoSpaceDN/>
                    <w:bidi w:val="0"/>
                    <w:adjustRightInd w:val="0"/>
                    <w:snapToGrid/>
                    <w:ind w:firstLineChars="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198" w:hRule="atLeast"/>
                <w:jc w:val="center"/>
              </w:trPr>
              <w:tc>
                <w:tcPr>
                  <w:tcW w:w="812" w:type="dxa"/>
                  <w:vMerge w:val="continue"/>
                  <w:tcBorders>
                    <w:tl2br w:val="nil"/>
                    <w:tr2bl w:val="nil"/>
                  </w:tcBorders>
                  <w:vAlign w:val="center"/>
                </w:tcPr>
                <w:p>
                  <w:pPr>
                    <w:pStyle w:val="113"/>
                    <w:keepNext w:val="0"/>
                    <w:keepLines w:val="0"/>
                    <w:pageBreakBefore w:val="0"/>
                    <w:widowControl/>
                    <w:kinsoku/>
                    <w:wordWrap/>
                    <w:overflowPunct/>
                    <w:topLinePunct w:val="0"/>
                    <w:autoSpaceDE/>
                    <w:autoSpaceDN/>
                    <w:bidi w:val="0"/>
                    <w:adjustRightInd w:val="0"/>
                    <w:snapToGrid/>
                    <w:ind w:firstLineChars="0"/>
                    <w:rPr>
                      <w:color w:val="auto"/>
                      <w:highlight w:val="none"/>
                    </w:rPr>
                  </w:pPr>
                </w:p>
              </w:tc>
              <w:tc>
                <w:tcPr>
                  <w:tcW w:w="885" w:type="dxa"/>
                  <w:tcBorders>
                    <w:tl2br w:val="nil"/>
                    <w:tr2bl w:val="nil"/>
                  </w:tcBorders>
                  <w:vAlign w:val="center"/>
                </w:tcPr>
                <w:p>
                  <w:pPr>
                    <w:pStyle w:val="113"/>
                    <w:keepNext w:val="0"/>
                    <w:keepLines w:val="0"/>
                    <w:pageBreakBefore w:val="0"/>
                    <w:widowControl/>
                    <w:kinsoku/>
                    <w:wordWrap/>
                    <w:overflowPunct/>
                    <w:topLinePunct w:val="0"/>
                    <w:autoSpaceDE/>
                    <w:autoSpaceDN/>
                    <w:bidi w:val="0"/>
                    <w:adjustRightInd w:val="0"/>
                    <w:snapToGrid/>
                    <w:ind w:firstLineChars="0"/>
                    <w:rPr>
                      <w:rFonts w:hint="eastAsia"/>
                      <w:color w:val="auto"/>
                      <w:highlight w:val="none"/>
                    </w:rPr>
                  </w:pPr>
                </w:p>
              </w:tc>
              <w:tc>
                <w:tcPr>
                  <w:tcW w:w="869" w:type="dxa"/>
                  <w:tcBorders>
                    <w:tl2br w:val="nil"/>
                    <w:tr2bl w:val="nil"/>
                  </w:tcBorders>
                  <w:vAlign w:val="center"/>
                </w:tcPr>
                <w:p>
                  <w:pPr>
                    <w:pStyle w:val="113"/>
                    <w:keepNext w:val="0"/>
                    <w:keepLines w:val="0"/>
                    <w:pageBreakBefore w:val="0"/>
                    <w:widowControl/>
                    <w:kinsoku/>
                    <w:wordWrap/>
                    <w:overflowPunct/>
                    <w:topLinePunct w:val="0"/>
                    <w:autoSpaceDE/>
                    <w:autoSpaceDN/>
                    <w:bidi w:val="0"/>
                    <w:adjustRightInd w:val="0"/>
                    <w:snapToGrid/>
                    <w:ind w:firstLineChars="0"/>
                    <w:rPr>
                      <w:color w:val="auto"/>
                      <w:highlight w:val="none"/>
                    </w:rPr>
                  </w:pPr>
                </w:p>
              </w:tc>
              <w:tc>
                <w:tcPr>
                  <w:tcW w:w="989" w:type="dxa"/>
                  <w:tcBorders>
                    <w:tl2br w:val="nil"/>
                    <w:tr2bl w:val="nil"/>
                  </w:tcBorders>
                  <w:vAlign w:val="center"/>
                </w:tcPr>
                <w:p>
                  <w:pPr>
                    <w:pStyle w:val="113"/>
                    <w:keepNext w:val="0"/>
                    <w:keepLines w:val="0"/>
                    <w:pageBreakBefore w:val="0"/>
                    <w:widowControl/>
                    <w:kinsoku/>
                    <w:wordWrap/>
                    <w:overflowPunct/>
                    <w:topLinePunct w:val="0"/>
                    <w:autoSpaceDE/>
                    <w:autoSpaceDN/>
                    <w:bidi w:val="0"/>
                    <w:adjustRightInd w:val="0"/>
                    <w:snapToGrid/>
                    <w:ind w:firstLineChars="0"/>
                    <w:rPr>
                      <w:color w:val="auto"/>
                      <w:highlight w:val="none"/>
                    </w:rPr>
                  </w:pPr>
                </w:p>
              </w:tc>
              <w:tc>
                <w:tcPr>
                  <w:tcW w:w="844" w:type="dxa"/>
                  <w:tcBorders>
                    <w:tl2br w:val="nil"/>
                    <w:tr2bl w:val="nil"/>
                  </w:tcBorders>
                  <w:vAlign w:val="center"/>
                </w:tcPr>
                <w:p>
                  <w:pPr>
                    <w:pStyle w:val="113"/>
                    <w:keepNext w:val="0"/>
                    <w:keepLines w:val="0"/>
                    <w:pageBreakBefore w:val="0"/>
                    <w:widowControl/>
                    <w:kinsoku/>
                    <w:wordWrap/>
                    <w:overflowPunct/>
                    <w:topLinePunct w:val="0"/>
                    <w:autoSpaceDE/>
                    <w:autoSpaceDN/>
                    <w:bidi w:val="0"/>
                    <w:adjustRightInd w:val="0"/>
                    <w:snapToGrid/>
                    <w:ind w:firstLineChars="0"/>
                    <w:rPr>
                      <w:color w:val="auto"/>
                      <w:highlight w:val="none"/>
                    </w:rPr>
                  </w:pPr>
                </w:p>
              </w:tc>
              <w:tc>
                <w:tcPr>
                  <w:tcW w:w="1030" w:type="dxa"/>
                  <w:tcBorders>
                    <w:tl2br w:val="nil"/>
                    <w:tr2bl w:val="nil"/>
                  </w:tcBorders>
                  <w:vAlign w:val="center"/>
                </w:tcPr>
                <w:p>
                  <w:pPr>
                    <w:pStyle w:val="113"/>
                    <w:keepNext w:val="0"/>
                    <w:keepLines w:val="0"/>
                    <w:pageBreakBefore w:val="0"/>
                    <w:widowControl/>
                    <w:suppressLineNumbers w:val="0"/>
                    <w:kinsoku/>
                    <w:wordWrap/>
                    <w:overflowPunct/>
                    <w:topLinePunct w:val="0"/>
                    <w:autoSpaceDE/>
                    <w:autoSpaceDN/>
                    <w:bidi w:val="0"/>
                    <w:adjustRightInd w:val="0"/>
                    <w:snapToGrid/>
                    <w:ind w:firstLineChars="0"/>
                    <w:jc w:val="center"/>
                    <w:textAlignment w:val="center"/>
                    <w:rPr>
                      <w:rFonts w:hint="default"/>
                      <w:color w:val="auto"/>
                      <w:highlight w:val="none"/>
                      <w:lang w:val="en-US" w:eastAsia="zh-CN"/>
                    </w:rPr>
                  </w:pPr>
                </w:p>
              </w:tc>
              <w:tc>
                <w:tcPr>
                  <w:tcW w:w="1227" w:type="dxa"/>
                  <w:tcBorders>
                    <w:tl2br w:val="nil"/>
                    <w:tr2bl w:val="nil"/>
                  </w:tcBorders>
                  <w:vAlign w:val="center"/>
                </w:tcPr>
                <w:p>
                  <w:pPr>
                    <w:pStyle w:val="113"/>
                    <w:keepNext w:val="0"/>
                    <w:keepLines w:val="0"/>
                    <w:pageBreakBefore w:val="0"/>
                    <w:widowControl/>
                    <w:suppressLineNumbers w:val="0"/>
                    <w:kinsoku/>
                    <w:wordWrap/>
                    <w:overflowPunct/>
                    <w:topLinePunct w:val="0"/>
                    <w:autoSpaceDE/>
                    <w:autoSpaceDN/>
                    <w:bidi w:val="0"/>
                    <w:adjustRightInd w:val="0"/>
                    <w:snapToGrid/>
                    <w:ind w:firstLineChars="0"/>
                    <w:jc w:val="center"/>
                    <w:textAlignment w:val="center"/>
                    <w:rPr>
                      <w:rFonts w:hint="default"/>
                      <w:color w:val="auto"/>
                      <w:highlight w:val="none"/>
                      <w:lang w:val="en-US" w:eastAsia="zh-CN"/>
                    </w:rPr>
                  </w:pPr>
                </w:p>
              </w:tc>
              <w:tc>
                <w:tcPr>
                  <w:tcW w:w="1499" w:type="dxa"/>
                  <w:tcBorders>
                    <w:tl2br w:val="nil"/>
                    <w:tr2bl w:val="nil"/>
                  </w:tcBorders>
                  <w:vAlign w:val="center"/>
                </w:tcPr>
                <w:p>
                  <w:pPr>
                    <w:pStyle w:val="113"/>
                    <w:keepNext w:val="0"/>
                    <w:keepLines w:val="0"/>
                    <w:pageBreakBefore w:val="0"/>
                    <w:widowControl/>
                    <w:suppressLineNumbers w:val="0"/>
                    <w:kinsoku/>
                    <w:wordWrap/>
                    <w:overflowPunct/>
                    <w:topLinePunct w:val="0"/>
                    <w:autoSpaceDE/>
                    <w:autoSpaceDN/>
                    <w:bidi w:val="0"/>
                    <w:adjustRightInd w:val="0"/>
                    <w:snapToGrid/>
                    <w:ind w:firstLineChars="0"/>
                    <w:jc w:val="center"/>
                    <w:textAlignment w:val="center"/>
                    <w:rPr>
                      <w:rFonts w:hint="default"/>
                      <w:color w:val="auto"/>
                      <w:highlight w:val="none"/>
                      <w:lang w:val="en-US" w:eastAsia="zh-CN"/>
                    </w:rPr>
                  </w:pPr>
                </w:p>
              </w:tc>
              <w:tc>
                <w:tcPr>
                  <w:tcW w:w="861" w:type="dxa"/>
                  <w:tcBorders>
                    <w:tl2br w:val="nil"/>
                    <w:tr2bl w:val="nil"/>
                  </w:tcBorders>
                  <w:vAlign w:val="center"/>
                </w:tcPr>
                <w:p>
                  <w:pPr>
                    <w:pStyle w:val="113"/>
                    <w:keepNext w:val="0"/>
                    <w:keepLines w:val="0"/>
                    <w:pageBreakBefore w:val="0"/>
                    <w:widowControl/>
                    <w:suppressLineNumbers w:val="0"/>
                    <w:kinsoku/>
                    <w:wordWrap/>
                    <w:overflowPunct/>
                    <w:topLinePunct w:val="0"/>
                    <w:autoSpaceDE/>
                    <w:autoSpaceDN/>
                    <w:bidi w:val="0"/>
                    <w:adjustRightInd w:val="0"/>
                    <w:snapToGrid/>
                    <w:ind w:firstLineChars="0"/>
                    <w:jc w:val="center"/>
                    <w:textAlignment w:val="center"/>
                    <w:rPr>
                      <w:rFonts w:hint="default"/>
                      <w:color w:val="auto"/>
                      <w:highlight w:val="none"/>
                      <w:lang w:val="en-US" w:eastAsia="zh-CN"/>
                    </w:rPr>
                  </w:pPr>
                </w:p>
              </w:tc>
              <w:tc>
                <w:tcPr>
                  <w:tcW w:w="1295" w:type="dxa"/>
                  <w:tcBorders>
                    <w:tl2br w:val="nil"/>
                    <w:tr2bl w:val="nil"/>
                  </w:tcBorders>
                  <w:vAlign w:val="center"/>
                </w:tcPr>
                <w:p>
                  <w:pPr>
                    <w:pStyle w:val="113"/>
                    <w:keepNext w:val="0"/>
                    <w:keepLines w:val="0"/>
                    <w:pageBreakBefore w:val="0"/>
                    <w:widowControl/>
                    <w:suppressLineNumbers w:val="0"/>
                    <w:kinsoku/>
                    <w:wordWrap/>
                    <w:overflowPunct/>
                    <w:topLinePunct w:val="0"/>
                    <w:autoSpaceDE/>
                    <w:autoSpaceDN/>
                    <w:bidi w:val="0"/>
                    <w:adjustRightInd w:val="0"/>
                    <w:snapToGrid/>
                    <w:ind w:firstLineChars="0"/>
                    <w:jc w:val="center"/>
                    <w:textAlignment w:val="center"/>
                    <w:rPr>
                      <w:rFonts w:hint="default"/>
                      <w:color w:val="auto"/>
                      <w:highlight w:val="none"/>
                      <w:lang w:val="en-US" w:eastAsia="zh-CN"/>
                    </w:rPr>
                  </w:pPr>
                </w:p>
              </w:tc>
              <w:tc>
                <w:tcPr>
                  <w:tcW w:w="1885" w:type="dxa"/>
                  <w:gridSpan w:val="2"/>
                  <w:tcBorders>
                    <w:tl2br w:val="nil"/>
                    <w:tr2bl w:val="nil"/>
                  </w:tcBorders>
                  <w:tcMar>
                    <w:top w:w="0" w:type="dxa"/>
                    <w:left w:w="28" w:type="dxa"/>
                    <w:bottom w:w="0" w:type="dxa"/>
                    <w:right w:w="28" w:type="dxa"/>
                  </w:tcMar>
                  <w:vAlign w:val="center"/>
                </w:tcPr>
                <w:p>
                  <w:pPr>
                    <w:pStyle w:val="113"/>
                    <w:keepNext w:val="0"/>
                    <w:keepLines w:val="0"/>
                    <w:pageBreakBefore w:val="0"/>
                    <w:widowControl/>
                    <w:suppressLineNumbers w:val="0"/>
                    <w:kinsoku/>
                    <w:wordWrap/>
                    <w:overflowPunct/>
                    <w:topLinePunct w:val="0"/>
                    <w:autoSpaceDE/>
                    <w:autoSpaceDN/>
                    <w:bidi w:val="0"/>
                    <w:adjustRightInd w:val="0"/>
                    <w:snapToGrid/>
                    <w:ind w:firstLineChars="0"/>
                    <w:jc w:val="center"/>
                    <w:textAlignment w:val="center"/>
                    <w:rPr>
                      <w:rFonts w:hint="default"/>
                      <w:color w:val="auto"/>
                      <w:highlight w:val="none"/>
                      <w:lang w:val="en-US" w:eastAsia="zh-CN"/>
                    </w:rPr>
                  </w:pPr>
                </w:p>
              </w:tc>
              <w:tc>
                <w:tcPr>
                  <w:tcW w:w="1026" w:type="dxa"/>
                  <w:tcBorders>
                    <w:tl2br w:val="nil"/>
                    <w:tr2bl w:val="nil"/>
                  </w:tcBorders>
                  <w:vAlign w:val="center"/>
                </w:tcPr>
                <w:p>
                  <w:pPr>
                    <w:pStyle w:val="113"/>
                    <w:keepNext w:val="0"/>
                    <w:keepLines w:val="0"/>
                    <w:pageBreakBefore w:val="0"/>
                    <w:widowControl/>
                    <w:kinsoku/>
                    <w:wordWrap/>
                    <w:overflowPunct/>
                    <w:topLinePunct w:val="0"/>
                    <w:autoSpaceDE/>
                    <w:autoSpaceDN/>
                    <w:bidi w:val="0"/>
                    <w:adjustRightInd w:val="0"/>
                    <w:snapToGrid/>
                    <w:ind w:firstLineChars="0"/>
                    <w:rPr>
                      <w:rFonts w:hint="eastAsia"/>
                      <w:color w:val="auto"/>
                      <w:highlight w:val="none"/>
                    </w:rPr>
                  </w:pPr>
                </w:p>
              </w:tc>
              <w:tc>
                <w:tcPr>
                  <w:tcW w:w="2173" w:type="dxa"/>
                  <w:tcBorders>
                    <w:tl2br w:val="nil"/>
                    <w:tr2bl w:val="nil"/>
                  </w:tcBorders>
                  <w:tcMar>
                    <w:top w:w="0" w:type="dxa"/>
                    <w:left w:w="28" w:type="dxa"/>
                    <w:bottom w:w="0" w:type="dxa"/>
                    <w:right w:w="28" w:type="dxa"/>
                  </w:tcMar>
                  <w:vAlign w:val="center"/>
                </w:tcPr>
                <w:p>
                  <w:pPr>
                    <w:pStyle w:val="113"/>
                    <w:keepNext w:val="0"/>
                    <w:keepLines w:val="0"/>
                    <w:pageBreakBefore w:val="0"/>
                    <w:widowControl/>
                    <w:kinsoku/>
                    <w:wordWrap/>
                    <w:overflowPunct/>
                    <w:topLinePunct w:val="0"/>
                    <w:autoSpaceDE/>
                    <w:autoSpaceDN/>
                    <w:bidi w:val="0"/>
                    <w:adjustRightInd w:val="0"/>
                    <w:snapToGrid/>
                    <w:ind w:firstLineChars="0"/>
                    <w:rPr>
                      <w:rFonts w:hint="eastAsia"/>
                      <w:color w:val="auto"/>
                      <w:highlight w:val="none"/>
                    </w:rPr>
                  </w:pPr>
                </w:p>
              </w:tc>
              <w:tc>
                <w:tcPr>
                  <w:tcW w:w="1131" w:type="dxa"/>
                  <w:vMerge w:val="restart"/>
                  <w:tcBorders>
                    <w:tl2br w:val="nil"/>
                    <w:tr2bl w:val="nil"/>
                  </w:tcBorders>
                  <w:tcMar>
                    <w:top w:w="0" w:type="dxa"/>
                    <w:left w:w="28" w:type="dxa"/>
                    <w:bottom w:w="0" w:type="dxa"/>
                    <w:right w:w="28" w:type="dxa"/>
                  </w:tcMar>
                  <w:vAlign w:val="center"/>
                </w:tcPr>
                <w:p>
                  <w:pPr>
                    <w:pStyle w:val="113"/>
                    <w:keepNext w:val="0"/>
                    <w:keepLines w:val="0"/>
                    <w:pageBreakBefore w:val="0"/>
                    <w:widowControl/>
                    <w:kinsoku/>
                    <w:wordWrap/>
                    <w:overflowPunct/>
                    <w:topLinePunct w:val="0"/>
                    <w:autoSpaceDE/>
                    <w:autoSpaceDN/>
                    <w:bidi w:val="0"/>
                    <w:adjustRightInd w:val="0"/>
                    <w:snapToGrid/>
                    <w:ind w:firstLineChars="0"/>
                    <w:rPr>
                      <w:color w:val="auto"/>
                      <w:highlight w:val="none"/>
                    </w:rPr>
                  </w:pPr>
                </w:p>
              </w:tc>
              <w:tc>
                <w:tcPr>
                  <w:tcW w:w="1206" w:type="dxa"/>
                  <w:vMerge w:val="restart"/>
                  <w:tcBorders>
                    <w:tl2br w:val="nil"/>
                    <w:tr2bl w:val="nil"/>
                  </w:tcBorders>
                  <w:vAlign w:val="center"/>
                </w:tcPr>
                <w:p>
                  <w:pPr>
                    <w:pStyle w:val="113"/>
                    <w:keepNext w:val="0"/>
                    <w:keepLines w:val="0"/>
                    <w:pageBreakBefore w:val="0"/>
                    <w:widowControl/>
                    <w:kinsoku/>
                    <w:wordWrap/>
                    <w:overflowPunct/>
                    <w:topLinePunct w:val="0"/>
                    <w:autoSpaceDE/>
                    <w:autoSpaceDN/>
                    <w:bidi w:val="0"/>
                    <w:adjustRightInd w:val="0"/>
                    <w:snapToGrid/>
                    <w:ind w:firstLineChars="0"/>
                    <w:rPr>
                      <w:color w:val="auto"/>
                      <w:highlight w:val="none"/>
                    </w:rPr>
                  </w:pPr>
                </w:p>
              </w:tc>
              <w:tc>
                <w:tcPr>
                  <w:tcW w:w="1223" w:type="dxa"/>
                  <w:vMerge w:val="restart"/>
                  <w:tcBorders>
                    <w:tl2br w:val="nil"/>
                    <w:tr2bl w:val="nil"/>
                  </w:tcBorders>
                  <w:vAlign w:val="center"/>
                </w:tcPr>
                <w:p>
                  <w:pPr>
                    <w:pStyle w:val="113"/>
                    <w:keepNext w:val="0"/>
                    <w:keepLines w:val="0"/>
                    <w:pageBreakBefore w:val="0"/>
                    <w:widowControl/>
                    <w:kinsoku/>
                    <w:wordWrap/>
                    <w:overflowPunct/>
                    <w:topLinePunct w:val="0"/>
                    <w:autoSpaceDE/>
                    <w:autoSpaceDN/>
                    <w:bidi w:val="0"/>
                    <w:adjustRightInd w:val="0"/>
                    <w:snapToGrid/>
                    <w:ind w:firstLineChars="0"/>
                    <w:rPr>
                      <w:color w:val="auto"/>
                      <w:highlight w:val="none"/>
                    </w:rPr>
                  </w:pPr>
                </w:p>
              </w:tc>
              <w:tc>
                <w:tcPr>
                  <w:tcW w:w="1082" w:type="dxa"/>
                  <w:vMerge w:val="restart"/>
                  <w:tcBorders>
                    <w:tl2br w:val="nil"/>
                    <w:tr2bl w:val="nil"/>
                  </w:tcBorders>
                  <w:vAlign w:val="center"/>
                </w:tcPr>
                <w:p>
                  <w:pPr>
                    <w:pStyle w:val="113"/>
                    <w:keepNext w:val="0"/>
                    <w:keepLines w:val="0"/>
                    <w:pageBreakBefore w:val="0"/>
                    <w:widowControl/>
                    <w:kinsoku/>
                    <w:wordWrap/>
                    <w:overflowPunct/>
                    <w:topLinePunct w:val="0"/>
                    <w:autoSpaceDE/>
                    <w:autoSpaceDN/>
                    <w:bidi w:val="0"/>
                    <w:adjustRightInd w:val="0"/>
                    <w:snapToGrid/>
                    <w:ind w:firstLineChars="0"/>
                    <w:rPr>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198" w:hRule="atLeast"/>
                <w:jc w:val="center"/>
              </w:trPr>
              <w:tc>
                <w:tcPr>
                  <w:tcW w:w="812" w:type="dxa"/>
                  <w:vMerge w:val="continue"/>
                  <w:tcBorders>
                    <w:tl2br w:val="nil"/>
                    <w:tr2bl w:val="nil"/>
                  </w:tcBorders>
                  <w:vAlign w:val="center"/>
                </w:tcPr>
                <w:p>
                  <w:pPr>
                    <w:pStyle w:val="113"/>
                    <w:keepNext w:val="0"/>
                    <w:keepLines w:val="0"/>
                    <w:pageBreakBefore w:val="0"/>
                    <w:widowControl/>
                    <w:kinsoku/>
                    <w:wordWrap/>
                    <w:overflowPunct/>
                    <w:topLinePunct w:val="0"/>
                    <w:autoSpaceDE/>
                    <w:autoSpaceDN/>
                    <w:bidi w:val="0"/>
                    <w:adjustRightInd w:val="0"/>
                    <w:snapToGrid/>
                    <w:ind w:firstLineChars="0"/>
                    <w:rPr>
                      <w:color w:val="auto"/>
                      <w:highlight w:val="none"/>
                    </w:rPr>
                  </w:pPr>
                </w:p>
              </w:tc>
              <w:tc>
                <w:tcPr>
                  <w:tcW w:w="885" w:type="dxa"/>
                  <w:tcBorders>
                    <w:tl2br w:val="nil"/>
                    <w:tr2bl w:val="nil"/>
                  </w:tcBorders>
                  <w:vAlign w:val="center"/>
                </w:tcPr>
                <w:p>
                  <w:pPr>
                    <w:pStyle w:val="113"/>
                    <w:keepNext w:val="0"/>
                    <w:keepLines w:val="0"/>
                    <w:pageBreakBefore w:val="0"/>
                    <w:widowControl/>
                    <w:kinsoku/>
                    <w:wordWrap/>
                    <w:overflowPunct/>
                    <w:topLinePunct w:val="0"/>
                    <w:autoSpaceDE/>
                    <w:autoSpaceDN/>
                    <w:bidi w:val="0"/>
                    <w:adjustRightInd w:val="0"/>
                    <w:snapToGrid/>
                    <w:ind w:firstLineChars="0"/>
                    <w:rPr>
                      <w:rFonts w:hint="eastAsia"/>
                      <w:color w:val="auto"/>
                      <w:highlight w:val="none"/>
                    </w:rPr>
                  </w:pPr>
                </w:p>
              </w:tc>
              <w:tc>
                <w:tcPr>
                  <w:tcW w:w="869" w:type="dxa"/>
                  <w:tcBorders>
                    <w:tl2br w:val="nil"/>
                    <w:tr2bl w:val="nil"/>
                  </w:tcBorders>
                  <w:vAlign w:val="center"/>
                </w:tcPr>
                <w:p>
                  <w:pPr>
                    <w:pStyle w:val="113"/>
                    <w:keepNext w:val="0"/>
                    <w:keepLines w:val="0"/>
                    <w:pageBreakBefore w:val="0"/>
                    <w:widowControl/>
                    <w:kinsoku/>
                    <w:wordWrap/>
                    <w:overflowPunct/>
                    <w:topLinePunct w:val="0"/>
                    <w:autoSpaceDE/>
                    <w:autoSpaceDN/>
                    <w:bidi w:val="0"/>
                    <w:adjustRightInd w:val="0"/>
                    <w:snapToGrid/>
                    <w:ind w:firstLineChars="0"/>
                    <w:rPr>
                      <w:color w:val="auto"/>
                      <w:highlight w:val="none"/>
                    </w:rPr>
                  </w:pPr>
                </w:p>
              </w:tc>
              <w:tc>
                <w:tcPr>
                  <w:tcW w:w="989" w:type="dxa"/>
                  <w:tcBorders>
                    <w:tl2br w:val="nil"/>
                    <w:tr2bl w:val="nil"/>
                  </w:tcBorders>
                  <w:vAlign w:val="center"/>
                </w:tcPr>
                <w:p>
                  <w:pPr>
                    <w:pStyle w:val="113"/>
                    <w:keepNext w:val="0"/>
                    <w:keepLines w:val="0"/>
                    <w:pageBreakBefore w:val="0"/>
                    <w:widowControl/>
                    <w:kinsoku/>
                    <w:wordWrap/>
                    <w:overflowPunct/>
                    <w:topLinePunct w:val="0"/>
                    <w:autoSpaceDE/>
                    <w:autoSpaceDN/>
                    <w:bidi w:val="0"/>
                    <w:adjustRightInd w:val="0"/>
                    <w:snapToGrid/>
                    <w:ind w:firstLineChars="0"/>
                    <w:rPr>
                      <w:color w:val="auto"/>
                      <w:highlight w:val="none"/>
                    </w:rPr>
                  </w:pPr>
                </w:p>
              </w:tc>
              <w:tc>
                <w:tcPr>
                  <w:tcW w:w="844" w:type="dxa"/>
                  <w:tcBorders>
                    <w:tl2br w:val="nil"/>
                    <w:tr2bl w:val="nil"/>
                  </w:tcBorders>
                  <w:vAlign w:val="center"/>
                </w:tcPr>
                <w:p>
                  <w:pPr>
                    <w:pStyle w:val="113"/>
                    <w:keepNext w:val="0"/>
                    <w:keepLines w:val="0"/>
                    <w:pageBreakBefore w:val="0"/>
                    <w:widowControl/>
                    <w:kinsoku/>
                    <w:wordWrap/>
                    <w:overflowPunct/>
                    <w:topLinePunct w:val="0"/>
                    <w:autoSpaceDE/>
                    <w:autoSpaceDN/>
                    <w:bidi w:val="0"/>
                    <w:adjustRightInd w:val="0"/>
                    <w:snapToGrid/>
                    <w:ind w:firstLineChars="0"/>
                    <w:rPr>
                      <w:color w:val="auto"/>
                      <w:highlight w:val="none"/>
                    </w:rPr>
                  </w:pPr>
                </w:p>
              </w:tc>
              <w:tc>
                <w:tcPr>
                  <w:tcW w:w="1030" w:type="dxa"/>
                  <w:tcBorders>
                    <w:tl2br w:val="nil"/>
                    <w:tr2bl w:val="nil"/>
                  </w:tcBorders>
                  <w:vAlign w:val="center"/>
                </w:tcPr>
                <w:p>
                  <w:pPr>
                    <w:pStyle w:val="113"/>
                    <w:keepNext w:val="0"/>
                    <w:keepLines w:val="0"/>
                    <w:pageBreakBefore w:val="0"/>
                    <w:widowControl/>
                    <w:suppressLineNumbers w:val="0"/>
                    <w:kinsoku/>
                    <w:wordWrap/>
                    <w:overflowPunct/>
                    <w:topLinePunct w:val="0"/>
                    <w:autoSpaceDE/>
                    <w:autoSpaceDN/>
                    <w:bidi w:val="0"/>
                    <w:adjustRightInd w:val="0"/>
                    <w:snapToGrid/>
                    <w:ind w:firstLineChars="0"/>
                    <w:jc w:val="center"/>
                    <w:textAlignment w:val="center"/>
                    <w:rPr>
                      <w:rFonts w:hint="default"/>
                      <w:color w:val="auto"/>
                      <w:highlight w:val="none"/>
                      <w:lang w:val="en-US" w:eastAsia="zh-CN"/>
                    </w:rPr>
                  </w:pPr>
                </w:p>
              </w:tc>
              <w:tc>
                <w:tcPr>
                  <w:tcW w:w="1227" w:type="dxa"/>
                  <w:tcBorders>
                    <w:tl2br w:val="nil"/>
                    <w:tr2bl w:val="nil"/>
                  </w:tcBorders>
                  <w:vAlign w:val="center"/>
                </w:tcPr>
                <w:p>
                  <w:pPr>
                    <w:pStyle w:val="113"/>
                    <w:keepNext w:val="0"/>
                    <w:keepLines w:val="0"/>
                    <w:pageBreakBefore w:val="0"/>
                    <w:widowControl/>
                    <w:suppressLineNumbers w:val="0"/>
                    <w:kinsoku/>
                    <w:wordWrap/>
                    <w:overflowPunct/>
                    <w:topLinePunct w:val="0"/>
                    <w:autoSpaceDE/>
                    <w:autoSpaceDN/>
                    <w:bidi w:val="0"/>
                    <w:adjustRightInd w:val="0"/>
                    <w:snapToGrid/>
                    <w:ind w:firstLineChars="0"/>
                    <w:jc w:val="center"/>
                    <w:textAlignment w:val="center"/>
                    <w:rPr>
                      <w:rFonts w:hint="default"/>
                      <w:color w:val="auto"/>
                      <w:highlight w:val="none"/>
                      <w:lang w:val="en-US" w:eastAsia="zh-CN"/>
                    </w:rPr>
                  </w:pPr>
                </w:p>
              </w:tc>
              <w:tc>
                <w:tcPr>
                  <w:tcW w:w="1499" w:type="dxa"/>
                  <w:tcBorders>
                    <w:tl2br w:val="nil"/>
                    <w:tr2bl w:val="nil"/>
                  </w:tcBorders>
                  <w:vAlign w:val="center"/>
                </w:tcPr>
                <w:p>
                  <w:pPr>
                    <w:pStyle w:val="113"/>
                    <w:keepNext w:val="0"/>
                    <w:keepLines w:val="0"/>
                    <w:pageBreakBefore w:val="0"/>
                    <w:widowControl/>
                    <w:suppressLineNumbers w:val="0"/>
                    <w:kinsoku/>
                    <w:wordWrap/>
                    <w:overflowPunct/>
                    <w:topLinePunct w:val="0"/>
                    <w:autoSpaceDE/>
                    <w:autoSpaceDN/>
                    <w:bidi w:val="0"/>
                    <w:adjustRightInd w:val="0"/>
                    <w:snapToGrid/>
                    <w:ind w:firstLineChars="0"/>
                    <w:jc w:val="center"/>
                    <w:textAlignment w:val="center"/>
                    <w:rPr>
                      <w:rFonts w:hint="default"/>
                      <w:color w:val="auto"/>
                      <w:highlight w:val="none"/>
                      <w:lang w:val="en-US" w:eastAsia="zh-CN"/>
                    </w:rPr>
                  </w:pPr>
                </w:p>
              </w:tc>
              <w:tc>
                <w:tcPr>
                  <w:tcW w:w="861" w:type="dxa"/>
                  <w:tcBorders>
                    <w:tl2br w:val="nil"/>
                    <w:tr2bl w:val="nil"/>
                  </w:tcBorders>
                  <w:vAlign w:val="center"/>
                </w:tcPr>
                <w:p>
                  <w:pPr>
                    <w:pStyle w:val="113"/>
                    <w:keepNext w:val="0"/>
                    <w:keepLines w:val="0"/>
                    <w:pageBreakBefore w:val="0"/>
                    <w:widowControl/>
                    <w:suppressLineNumbers w:val="0"/>
                    <w:kinsoku/>
                    <w:wordWrap/>
                    <w:overflowPunct/>
                    <w:topLinePunct w:val="0"/>
                    <w:autoSpaceDE/>
                    <w:autoSpaceDN/>
                    <w:bidi w:val="0"/>
                    <w:adjustRightInd w:val="0"/>
                    <w:snapToGrid/>
                    <w:ind w:firstLineChars="0"/>
                    <w:jc w:val="center"/>
                    <w:textAlignment w:val="center"/>
                    <w:rPr>
                      <w:rFonts w:hint="default"/>
                      <w:color w:val="auto"/>
                      <w:highlight w:val="none"/>
                      <w:lang w:val="en-US" w:eastAsia="zh-CN"/>
                    </w:rPr>
                  </w:pPr>
                </w:p>
              </w:tc>
              <w:tc>
                <w:tcPr>
                  <w:tcW w:w="1295" w:type="dxa"/>
                  <w:tcBorders>
                    <w:tl2br w:val="nil"/>
                    <w:tr2bl w:val="nil"/>
                  </w:tcBorders>
                  <w:vAlign w:val="center"/>
                </w:tcPr>
                <w:p>
                  <w:pPr>
                    <w:pStyle w:val="113"/>
                    <w:keepNext w:val="0"/>
                    <w:keepLines w:val="0"/>
                    <w:pageBreakBefore w:val="0"/>
                    <w:widowControl/>
                    <w:suppressLineNumbers w:val="0"/>
                    <w:kinsoku/>
                    <w:wordWrap/>
                    <w:overflowPunct/>
                    <w:topLinePunct w:val="0"/>
                    <w:autoSpaceDE/>
                    <w:autoSpaceDN/>
                    <w:bidi w:val="0"/>
                    <w:adjustRightInd w:val="0"/>
                    <w:snapToGrid/>
                    <w:ind w:firstLineChars="0"/>
                    <w:jc w:val="center"/>
                    <w:textAlignment w:val="center"/>
                    <w:rPr>
                      <w:rFonts w:hint="default"/>
                      <w:color w:val="auto"/>
                      <w:highlight w:val="none"/>
                      <w:lang w:val="en-US" w:eastAsia="zh-CN"/>
                    </w:rPr>
                  </w:pPr>
                </w:p>
              </w:tc>
              <w:tc>
                <w:tcPr>
                  <w:tcW w:w="1885" w:type="dxa"/>
                  <w:gridSpan w:val="2"/>
                  <w:tcBorders>
                    <w:tl2br w:val="nil"/>
                    <w:tr2bl w:val="nil"/>
                  </w:tcBorders>
                  <w:tcMar>
                    <w:top w:w="0" w:type="dxa"/>
                    <w:left w:w="28" w:type="dxa"/>
                    <w:bottom w:w="0" w:type="dxa"/>
                    <w:right w:w="28" w:type="dxa"/>
                  </w:tcMar>
                  <w:vAlign w:val="center"/>
                </w:tcPr>
                <w:p>
                  <w:pPr>
                    <w:pStyle w:val="113"/>
                    <w:keepNext w:val="0"/>
                    <w:keepLines w:val="0"/>
                    <w:pageBreakBefore w:val="0"/>
                    <w:widowControl/>
                    <w:suppressLineNumbers w:val="0"/>
                    <w:kinsoku/>
                    <w:wordWrap/>
                    <w:overflowPunct/>
                    <w:topLinePunct w:val="0"/>
                    <w:autoSpaceDE/>
                    <w:autoSpaceDN/>
                    <w:bidi w:val="0"/>
                    <w:adjustRightInd w:val="0"/>
                    <w:snapToGrid/>
                    <w:ind w:firstLineChars="0"/>
                    <w:jc w:val="center"/>
                    <w:textAlignment w:val="center"/>
                    <w:rPr>
                      <w:rFonts w:hint="default"/>
                      <w:color w:val="auto"/>
                      <w:highlight w:val="none"/>
                      <w:lang w:val="en-US" w:eastAsia="zh-CN"/>
                    </w:rPr>
                  </w:pPr>
                </w:p>
              </w:tc>
              <w:tc>
                <w:tcPr>
                  <w:tcW w:w="1026" w:type="dxa"/>
                  <w:tcBorders>
                    <w:tl2br w:val="nil"/>
                    <w:tr2bl w:val="nil"/>
                  </w:tcBorders>
                  <w:vAlign w:val="center"/>
                </w:tcPr>
                <w:p>
                  <w:pPr>
                    <w:pStyle w:val="113"/>
                    <w:keepNext w:val="0"/>
                    <w:keepLines w:val="0"/>
                    <w:pageBreakBefore w:val="0"/>
                    <w:widowControl/>
                    <w:kinsoku/>
                    <w:wordWrap/>
                    <w:overflowPunct/>
                    <w:topLinePunct w:val="0"/>
                    <w:autoSpaceDE/>
                    <w:autoSpaceDN/>
                    <w:bidi w:val="0"/>
                    <w:adjustRightInd w:val="0"/>
                    <w:snapToGrid/>
                    <w:ind w:firstLineChars="0"/>
                    <w:rPr>
                      <w:rFonts w:hint="eastAsia"/>
                      <w:color w:val="auto"/>
                      <w:highlight w:val="none"/>
                    </w:rPr>
                  </w:pPr>
                </w:p>
              </w:tc>
              <w:tc>
                <w:tcPr>
                  <w:tcW w:w="2173" w:type="dxa"/>
                  <w:tcBorders>
                    <w:tl2br w:val="nil"/>
                    <w:tr2bl w:val="nil"/>
                  </w:tcBorders>
                  <w:tcMar>
                    <w:top w:w="0" w:type="dxa"/>
                    <w:left w:w="28" w:type="dxa"/>
                    <w:bottom w:w="0" w:type="dxa"/>
                    <w:right w:w="28" w:type="dxa"/>
                  </w:tcMar>
                  <w:vAlign w:val="center"/>
                </w:tcPr>
                <w:p>
                  <w:pPr>
                    <w:pStyle w:val="113"/>
                    <w:keepNext w:val="0"/>
                    <w:keepLines w:val="0"/>
                    <w:pageBreakBefore w:val="0"/>
                    <w:widowControl/>
                    <w:kinsoku/>
                    <w:wordWrap/>
                    <w:overflowPunct/>
                    <w:topLinePunct w:val="0"/>
                    <w:autoSpaceDE/>
                    <w:autoSpaceDN/>
                    <w:bidi w:val="0"/>
                    <w:adjustRightInd w:val="0"/>
                    <w:snapToGrid/>
                    <w:ind w:firstLineChars="0"/>
                    <w:rPr>
                      <w:rFonts w:hint="eastAsia"/>
                      <w:color w:val="auto"/>
                      <w:highlight w:val="none"/>
                    </w:rPr>
                  </w:pPr>
                </w:p>
              </w:tc>
              <w:tc>
                <w:tcPr>
                  <w:tcW w:w="1131" w:type="dxa"/>
                  <w:vMerge w:val="continue"/>
                  <w:tcBorders>
                    <w:tl2br w:val="nil"/>
                    <w:tr2bl w:val="nil"/>
                  </w:tcBorders>
                  <w:tcMar>
                    <w:top w:w="0" w:type="dxa"/>
                    <w:left w:w="28" w:type="dxa"/>
                    <w:bottom w:w="0" w:type="dxa"/>
                    <w:right w:w="28" w:type="dxa"/>
                  </w:tcMar>
                  <w:vAlign w:val="center"/>
                </w:tcPr>
                <w:p>
                  <w:pPr>
                    <w:pStyle w:val="113"/>
                    <w:keepNext w:val="0"/>
                    <w:keepLines w:val="0"/>
                    <w:pageBreakBefore w:val="0"/>
                    <w:widowControl/>
                    <w:kinsoku/>
                    <w:wordWrap/>
                    <w:overflowPunct/>
                    <w:topLinePunct w:val="0"/>
                    <w:autoSpaceDE/>
                    <w:autoSpaceDN/>
                    <w:bidi w:val="0"/>
                    <w:adjustRightInd w:val="0"/>
                    <w:snapToGrid/>
                    <w:ind w:firstLineChars="0"/>
                    <w:rPr>
                      <w:color w:val="auto"/>
                      <w:highlight w:val="none"/>
                    </w:rPr>
                  </w:pPr>
                </w:p>
              </w:tc>
              <w:tc>
                <w:tcPr>
                  <w:tcW w:w="1206" w:type="dxa"/>
                  <w:vMerge w:val="continue"/>
                  <w:tcBorders>
                    <w:tl2br w:val="nil"/>
                    <w:tr2bl w:val="nil"/>
                  </w:tcBorders>
                  <w:vAlign w:val="center"/>
                </w:tcPr>
                <w:p>
                  <w:pPr>
                    <w:pStyle w:val="113"/>
                    <w:keepNext w:val="0"/>
                    <w:keepLines w:val="0"/>
                    <w:pageBreakBefore w:val="0"/>
                    <w:widowControl/>
                    <w:kinsoku/>
                    <w:wordWrap/>
                    <w:overflowPunct/>
                    <w:topLinePunct w:val="0"/>
                    <w:autoSpaceDE/>
                    <w:autoSpaceDN/>
                    <w:bidi w:val="0"/>
                    <w:adjustRightInd w:val="0"/>
                    <w:snapToGrid/>
                    <w:ind w:firstLineChars="0"/>
                    <w:rPr>
                      <w:color w:val="auto"/>
                      <w:highlight w:val="none"/>
                    </w:rPr>
                  </w:pPr>
                </w:p>
              </w:tc>
              <w:tc>
                <w:tcPr>
                  <w:tcW w:w="1223" w:type="dxa"/>
                  <w:vMerge w:val="continue"/>
                  <w:tcBorders>
                    <w:tl2br w:val="nil"/>
                    <w:tr2bl w:val="nil"/>
                  </w:tcBorders>
                  <w:vAlign w:val="center"/>
                </w:tcPr>
                <w:p>
                  <w:pPr>
                    <w:pStyle w:val="113"/>
                    <w:keepNext w:val="0"/>
                    <w:keepLines w:val="0"/>
                    <w:pageBreakBefore w:val="0"/>
                    <w:widowControl/>
                    <w:kinsoku/>
                    <w:wordWrap/>
                    <w:overflowPunct/>
                    <w:topLinePunct w:val="0"/>
                    <w:autoSpaceDE/>
                    <w:autoSpaceDN/>
                    <w:bidi w:val="0"/>
                    <w:adjustRightInd w:val="0"/>
                    <w:snapToGrid/>
                    <w:ind w:firstLineChars="0"/>
                    <w:rPr>
                      <w:color w:val="auto"/>
                      <w:highlight w:val="none"/>
                    </w:rPr>
                  </w:pPr>
                </w:p>
              </w:tc>
              <w:tc>
                <w:tcPr>
                  <w:tcW w:w="1082" w:type="dxa"/>
                  <w:vMerge w:val="continue"/>
                  <w:tcBorders>
                    <w:tl2br w:val="nil"/>
                    <w:tr2bl w:val="nil"/>
                  </w:tcBorders>
                  <w:vAlign w:val="center"/>
                </w:tcPr>
                <w:p>
                  <w:pPr>
                    <w:pStyle w:val="113"/>
                    <w:keepNext w:val="0"/>
                    <w:keepLines w:val="0"/>
                    <w:pageBreakBefore w:val="0"/>
                    <w:widowControl/>
                    <w:kinsoku/>
                    <w:wordWrap/>
                    <w:overflowPunct/>
                    <w:topLinePunct w:val="0"/>
                    <w:autoSpaceDE/>
                    <w:autoSpaceDN/>
                    <w:bidi w:val="0"/>
                    <w:adjustRightInd w:val="0"/>
                    <w:snapToGrid/>
                    <w:ind w:firstLineChars="0"/>
                    <w:rPr>
                      <w:color w:val="auto"/>
                      <w:highlight w:val="none"/>
                    </w:rPr>
                  </w:pPr>
                </w:p>
              </w:tc>
            </w:tr>
          </w:tbl>
          <w:p>
            <w:pPr>
              <w:spacing w:line="240" w:lineRule="auto"/>
              <w:ind w:firstLine="0" w:firstLineChars="0"/>
              <w:rPr>
                <w:rFonts w:eastAsia="等线"/>
                <w:color w:val="auto"/>
                <w:sz w:val="18"/>
                <w:szCs w:val="18"/>
                <w:highlight w:val="none"/>
              </w:rPr>
            </w:pPr>
          </w:p>
          <w:p>
            <w:pPr>
              <w:spacing w:line="240" w:lineRule="auto"/>
              <w:ind w:firstLine="0" w:firstLineChars="0"/>
              <w:rPr>
                <w:rFonts w:eastAsia="等线"/>
                <w:color w:val="auto"/>
                <w:sz w:val="18"/>
                <w:szCs w:val="18"/>
                <w:highlight w:val="none"/>
              </w:rPr>
            </w:pPr>
          </w:p>
          <w:p>
            <w:pPr>
              <w:spacing w:line="240" w:lineRule="auto"/>
              <w:ind w:firstLine="0" w:firstLineChars="0"/>
              <w:rPr>
                <w:rFonts w:eastAsia="等线"/>
                <w:color w:val="auto"/>
                <w:sz w:val="18"/>
                <w:szCs w:val="18"/>
                <w:highlight w:val="none"/>
              </w:rPr>
            </w:pPr>
          </w:p>
          <w:p>
            <w:pPr>
              <w:spacing w:line="240" w:lineRule="auto"/>
              <w:ind w:firstLine="0" w:firstLineChars="0"/>
              <w:rPr>
                <w:rFonts w:eastAsia="等线"/>
                <w:color w:val="auto"/>
                <w:sz w:val="18"/>
                <w:szCs w:val="18"/>
                <w:highlight w:val="none"/>
              </w:rPr>
            </w:pPr>
          </w:p>
          <w:p>
            <w:pPr>
              <w:spacing w:line="240" w:lineRule="auto"/>
              <w:ind w:firstLine="0" w:firstLineChars="0"/>
              <w:rPr>
                <w:rFonts w:eastAsia="等线"/>
                <w:color w:val="auto"/>
                <w:sz w:val="18"/>
                <w:szCs w:val="18"/>
                <w:highlight w:val="none"/>
              </w:rPr>
            </w:pPr>
          </w:p>
          <w:p>
            <w:pPr>
              <w:spacing w:line="240" w:lineRule="auto"/>
              <w:ind w:firstLine="0" w:firstLineChars="0"/>
              <w:rPr>
                <w:rFonts w:eastAsia="等线"/>
                <w:color w:val="auto"/>
                <w:sz w:val="18"/>
                <w:szCs w:val="18"/>
                <w:highlight w:val="none"/>
              </w:rPr>
            </w:pPr>
          </w:p>
          <w:p>
            <w:pPr>
              <w:spacing w:line="240" w:lineRule="auto"/>
              <w:ind w:firstLine="0" w:firstLineChars="0"/>
              <w:rPr>
                <w:rFonts w:eastAsia="等线"/>
                <w:color w:val="auto"/>
                <w:sz w:val="18"/>
                <w:szCs w:val="18"/>
                <w:highlight w:val="none"/>
              </w:rPr>
            </w:pPr>
          </w:p>
          <w:p>
            <w:pPr>
              <w:spacing w:line="240" w:lineRule="auto"/>
              <w:ind w:firstLine="0" w:firstLineChars="0"/>
              <w:rPr>
                <w:rFonts w:eastAsia="等线"/>
                <w:color w:val="auto"/>
                <w:sz w:val="18"/>
                <w:szCs w:val="18"/>
                <w:highlight w:val="none"/>
              </w:rPr>
            </w:pPr>
          </w:p>
          <w:p>
            <w:pPr>
              <w:spacing w:line="240" w:lineRule="auto"/>
              <w:ind w:firstLine="0" w:firstLineChars="0"/>
              <w:rPr>
                <w:rFonts w:eastAsia="等线"/>
                <w:color w:val="auto"/>
                <w:sz w:val="18"/>
                <w:szCs w:val="18"/>
                <w:highlight w:val="none"/>
              </w:rPr>
            </w:pPr>
          </w:p>
          <w:p>
            <w:pPr>
              <w:spacing w:line="240" w:lineRule="auto"/>
              <w:ind w:firstLine="0" w:firstLineChars="0"/>
              <w:rPr>
                <w:rFonts w:eastAsia="等线"/>
                <w:color w:val="auto"/>
                <w:sz w:val="18"/>
                <w:szCs w:val="18"/>
                <w:highlight w:val="none"/>
              </w:rPr>
            </w:pPr>
          </w:p>
          <w:p>
            <w:pPr>
              <w:spacing w:line="240" w:lineRule="auto"/>
              <w:ind w:firstLine="0" w:firstLineChars="0"/>
              <w:rPr>
                <w:rFonts w:eastAsia="等线"/>
                <w:color w:val="auto"/>
                <w:sz w:val="18"/>
                <w:szCs w:val="18"/>
                <w:highlight w:val="none"/>
              </w:rPr>
            </w:pPr>
          </w:p>
          <w:p>
            <w:pPr>
              <w:spacing w:line="240" w:lineRule="auto"/>
              <w:ind w:firstLine="0" w:firstLineChars="0"/>
              <w:rPr>
                <w:rFonts w:eastAsia="等线"/>
                <w:color w:val="auto"/>
                <w:sz w:val="18"/>
                <w:szCs w:val="18"/>
                <w:highlight w:val="none"/>
              </w:rPr>
            </w:pPr>
          </w:p>
          <w:p>
            <w:pPr>
              <w:spacing w:line="240" w:lineRule="auto"/>
              <w:ind w:firstLine="0" w:firstLineChars="0"/>
              <w:rPr>
                <w:rFonts w:eastAsia="等线"/>
                <w:color w:val="auto"/>
                <w:sz w:val="18"/>
                <w:szCs w:val="18"/>
                <w:highlight w:val="none"/>
              </w:rPr>
            </w:pPr>
          </w:p>
          <w:p>
            <w:pPr>
              <w:spacing w:line="240" w:lineRule="auto"/>
              <w:ind w:firstLine="0" w:firstLineChars="0"/>
              <w:rPr>
                <w:rFonts w:eastAsia="等线"/>
                <w:color w:val="auto"/>
                <w:sz w:val="18"/>
                <w:szCs w:val="18"/>
                <w:highlight w:val="none"/>
              </w:rPr>
            </w:pPr>
          </w:p>
          <w:p>
            <w:pPr>
              <w:spacing w:line="240" w:lineRule="auto"/>
              <w:ind w:firstLine="0" w:firstLineChars="0"/>
              <w:rPr>
                <w:rFonts w:eastAsia="等线"/>
                <w:color w:val="auto"/>
                <w:sz w:val="18"/>
                <w:szCs w:val="18"/>
                <w:highlight w:val="none"/>
              </w:rPr>
            </w:pPr>
          </w:p>
          <w:p>
            <w:pPr>
              <w:spacing w:line="240" w:lineRule="auto"/>
              <w:ind w:firstLine="0" w:firstLineChars="0"/>
              <w:rPr>
                <w:rFonts w:eastAsia="等线"/>
                <w:color w:val="auto"/>
                <w:sz w:val="18"/>
                <w:szCs w:val="18"/>
                <w:highlight w:val="none"/>
              </w:rPr>
            </w:pPr>
          </w:p>
        </w:tc>
      </w:tr>
    </w:tbl>
    <w:p>
      <w:pPr>
        <w:ind w:firstLine="480"/>
        <w:rPr>
          <w:snapToGrid w:val="0"/>
          <w:color w:val="auto"/>
          <w:highlight w:val="none"/>
        </w:rPr>
        <w:sectPr>
          <w:pgSz w:w="23811" w:h="16838" w:orient="landscape"/>
          <w:pgMar w:top="1304" w:right="1418" w:bottom="1304" w:left="1418" w:header="851" w:footer="851" w:gutter="0"/>
          <w:pgBorders>
            <w:top w:val="none" w:sz="0" w:space="0"/>
            <w:left w:val="none" w:sz="0" w:space="0"/>
            <w:bottom w:val="none" w:sz="0" w:space="0"/>
            <w:right w:val="none" w:sz="0" w:space="0"/>
          </w:pgBorders>
          <w:cols w:space="720" w:num="1"/>
          <w:docGrid w:linePitch="326" w:charSpace="0"/>
        </w:sectPr>
      </w:pPr>
    </w:p>
    <w:tbl>
      <w:tblPr>
        <w:tblStyle w:val="50"/>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86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2" w:hRule="atLeast"/>
        </w:trPr>
        <w:tc>
          <w:tcPr>
            <w:tcW w:w="425" w:type="dxa"/>
            <w:vAlign w:val="center"/>
          </w:tcPr>
          <w:p>
            <w:pPr>
              <w:spacing w:line="240" w:lineRule="auto"/>
              <w:ind w:firstLine="0" w:firstLineChars="0"/>
              <w:jc w:val="cente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运营</w:t>
            </w:r>
          </w:p>
          <w:p>
            <w:pPr>
              <w:spacing w:line="240" w:lineRule="auto"/>
              <w:ind w:firstLine="0" w:firstLineChars="0"/>
              <w:jc w:val="cente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期环</w:t>
            </w:r>
          </w:p>
          <w:p>
            <w:pPr>
              <w:spacing w:line="240" w:lineRule="auto"/>
              <w:ind w:firstLine="0" w:firstLineChars="0"/>
              <w:jc w:val="cente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境影</w:t>
            </w:r>
          </w:p>
          <w:p>
            <w:pPr>
              <w:spacing w:line="240" w:lineRule="auto"/>
              <w:ind w:firstLine="0" w:firstLineChars="0"/>
              <w:jc w:val="cente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响和</w:t>
            </w:r>
          </w:p>
          <w:p>
            <w:pPr>
              <w:spacing w:line="240" w:lineRule="auto"/>
              <w:ind w:firstLine="0" w:firstLineChars="0"/>
              <w:jc w:val="cente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保护</w:t>
            </w:r>
          </w:p>
          <w:p>
            <w:pPr>
              <w:spacing w:line="240" w:lineRule="auto"/>
              <w:ind w:firstLine="0" w:firstLineChars="0"/>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color w:val="auto"/>
                <w:szCs w:val="24"/>
                <w:highlight w:val="none"/>
              </w:rPr>
              <w:t>措施</w:t>
            </w:r>
          </w:p>
        </w:tc>
        <w:tc>
          <w:tcPr>
            <w:tcW w:w="8635" w:type="dxa"/>
          </w:tcPr>
          <w:p>
            <w:pPr>
              <w:pStyle w:val="3"/>
              <w:outlineLvl w:val="1"/>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4.3废水</w:t>
            </w:r>
          </w:p>
          <w:p>
            <w:pPr>
              <w:pStyle w:val="4"/>
              <w:outlineLvl w:val="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4.3.1用排水情况</w:t>
            </w:r>
          </w:p>
          <w:p>
            <w:pPr>
              <w:ind w:firstLine="480"/>
              <w:rPr>
                <w:rFonts w:hint="default" w:cs="Times New Roman"/>
                <w:color w:val="auto"/>
                <w:highlight w:val="none"/>
                <w:lang w:val="en-US" w:eastAsia="zh-CN"/>
              </w:rPr>
            </w:pPr>
            <w:r>
              <w:rPr>
                <w:rFonts w:hint="eastAsia" w:cs="Times New Roman"/>
                <w:color w:val="auto"/>
                <w:highlight w:val="none"/>
                <w:lang w:eastAsia="zh-CN"/>
              </w:rPr>
              <w:t>（</w:t>
            </w:r>
            <w:r>
              <w:rPr>
                <w:rFonts w:hint="eastAsia" w:cs="Times New Roman"/>
                <w:color w:val="auto"/>
                <w:highlight w:val="none"/>
                <w:lang w:val="en-US" w:eastAsia="zh-CN"/>
              </w:rPr>
              <w:t>1</w:t>
            </w:r>
            <w:r>
              <w:rPr>
                <w:rFonts w:hint="eastAsia" w:cs="Times New Roman"/>
                <w:color w:val="auto"/>
                <w:highlight w:val="none"/>
                <w:lang w:eastAsia="zh-CN"/>
              </w:rPr>
              <w:t>）</w:t>
            </w:r>
            <w:r>
              <w:rPr>
                <w:rFonts w:hint="eastAsia" w:cs="Times New Roman"/>
                <w:color w:val="auto"/>
                <w:highlight w:val="none"/>
                <w:lang w:val="en-US" w:eastAsia="zh-CN"/>
              </w:rPr>
              <w:t>生产用水</w:t>
            </w:r>
          </w:p>
          <w:p>
            <w:pPr>
              <w:ind w:firstLine="48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highlight w:val="none"/>
              </w:rPr>
              <w:t>生产过程中</w:t>
            </w:r>
            <w:r>
              <w:rPr>
                <w:rFonts w:hint="default" w:ascii="Times New Roman" w:hAnsi="Times New Roman" w:eastAsia="宋体" w:cs="Times New Roman"/>
                <w:color w:val="auto"/>
                <w:highlight w:val="none"/>
                <w:lang w:val="en-US" w:eastAsia="zh-CN"/>
              </w:rPr>
              <w:t>用</w:t>
            </w:r>
            <w:r>
              <w:rPr>
                <w:rFonts w:hint="default" w:ascii="Times New Roman" w:hAnsi="Times New Roman" w:eastAsia="宋体" w:cs="Times New Roman"/>
                <w:color w:val="auto"/>
                <w:highlight w:val="none"/>
              </w:rPr>
              <w:t>水主要</w:t>
            </w:r>
            <w:r>
              <w:rPr>
                <w:rFonts w:hint="eastAsia" w:cs="Times New Roman"/>
                <w:color w:val="auto"/>
                <w:highlight w:val="none"/>
                <w:lang w:val="en-US" w:eastAsia="zh-CN"/>
              </w:rPr>
              <w:t>有</w:t>
            </w:r>
            <w:r>
              <w:rPr>
                <w:rFonts w:hint="default" w:ascii="Times New Roman" w:hAnsi="Times New Roman" w:eastAsia="宋体" w:cs="Times New Roman"/>
                <w:color w:val="auto"/>
                <w:highlight w:val="none"/>
              </w:rPr>
              <w:t>球磨</w:t>
            </w:r>
            <w:r>
              <w:rPr>
                <w:rFonts w:hint="eastAsia" w:cs="Times New Roman"/>
                <w:color w:val="auto"/>
                <w:highlight w:val="none"/>
                <w:lang w:val="en-US" w:eastAsia="zh-CN"/>
              </w:rPr>
              <w:t>工序用水</w:t>
            </w:r>
            <w:r>
              <w:rPr>
                <w:rFonts w:hint="default" w:ascii="Times New Roman" w:hAnsi="Times New Roman" w:eastAsia="宋体" w:cs="Times New Roman"/>
                <w:color w:val="auto"/>
                <w:highlight w:val="none"/>
              </w:rPr>
              <w:t>、堆场降尘</w:t>
            </w:r>
            <w:r>
              <w:rPr>
                <w:rFonts w:hint="eastAsia" w:cs="Times New Roman"/>
                <w:color w:val="auto"/>
                <w:highlight w:val="none"/>
                <w:lang w:val="en-US" w:eastAsia="zh-CN"/>
              </w:rPr>
              <w:t>洒</w:t>
            </w:r>
            <w:r>
              <w:rPr>
                <w:rFonts w:hint="default" w:ascii="Times New Roman" w:hAnsi="Times New Roman" w:eastAsia="宋体" w:cs="Times New Roman"/>
                <w:color w:val="auto"/>
                <w:highlight w:val="none"/>
              </w:rPr>
              <w:t>水、卸料降尘用水</w:t>
            </w:r>
            <w:r>
              <w:rPr>
                <w:rFonts w:hint="eastAsia" w:cs="Times New Roman"/>
                <w:color w:val="auto"/>
                <w:highlight w:val="none"/>
                <w:lang w:eastAsia="zh-CN"/>
              </w:rPr>
              <w:t>，</w:t>
            </w:r>
            <w:r>
              <w:rPr>
                <w:rFonts w:hint="default" w:ascii="Times New Roman" w:hAnsi="Times New Roman" w:eastAsia="宋体" w:cs="Times New Roman"/>
                <w:color w:val="auto"/>
                <w:highlight w:val="none"/>
              </w:rPr>
              <w:t>生产废水为磁选废水和摇床废水，生产废水经三级沉淀池沉淀后回用于球磨工序，确保废水零排放。</w:t>
            </w:r>
          </w:p>
          <w:p>
            <w:pPr>
              <w:ind w:firstLine="480"/>
              <w:rPr>
                <w:rFonts w:hint="default" w:cs="Times New Roman"/>
                <w:color w:val="auto"/>
                <w:highlight w:val="none"/>
                <w:lang w:val="en-US" w:eastAsia="zh-CN"/>
              </w:rPr>
            </w:pPr>
            <w:r>
              <w:rPr>
                <w:rFonts w:hint="eastAsia" w:cs="Times New Roman"/>
                <w:color w:val="auto"/>
                <w:highlight w:val="none"/>
                <w:lang w:eastAsia="zh-CN"/>
              </w:rPr>
              <w:t>（</w:t>
            </w:r>
            <w:r>
              <w:rPr>
                <w:rFonts w:hint="eastAsia" w:cs="Times New Roman"/>
                <w:color w:val="auto"/>
                <w:highlight w:val="none"/>
                <w:lang w:val="en-US" w:eastAsia="zh-CN"/>
              </w:rPr>
              <w:t>2</w:t>
            </w:r>
            <w:r>
              <w:rPr>
                <w:rFonts w:hint="eastAsia" w:cs="Times New Roman"/>
                <w:color w:val="auto"/>
                <w:highlight w:val="none"/>
                <w:lang w:eastAsia="zh-CN"/>
              </w:rPr>
              <w:t>）</w:t>
            </w:r>
            <w:r>
              <w:rPr>
                <w:rFonts w:hint="eastAsia" w:cs="Times New Roman"/>
                <w:color w:val="auto"/>
                <w:highlight w:val="none"/>
                <w:lang w:val="en-US" w:eastAsia="zh-CN"/>
              </w:rPr>
              <w:t>生活用水</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员工定员6人（均不住厂），年工作340天，生活污水产生量为0.24t/d（81.6t/a）。生活污水主要是职工冲厕等，参考《给排水设计手册》（第五册城镇排水）典型生活污水水质，确定本项目污水污染物浓度为：COD400mg/L、BOD</w:t>
            </w:r>
            <w:r>
              <w:rPr>
                <w:rFonts w:hint="default" w:ascii="Times New Roman" w:hAnsi="Times New Roman" w:eastAsia="宋体" w:cs="Times New Roman"/>
                <w:color w:val="auto"/>
                <w:highlight w:val="none"/>
                <w:vertAlign w:val="subscript"/>
              </w:rPr>
              <w:t>5</w:t>
            </w:r>
            <w:r>
              <w:rPr>
                <w:rFonts w:hint="default" w:ascii="Times New Roman" w:hAnsi="Times New Roman" w:eastAsia="宋体" w:cs="Times New Roman"/>
                <w:color w:val="auto"/>
                <w:highlight w:val="none"/>
              </w:rPr>
              <w:t>250mg/L、氨氮35mg/L、SS220mg/L。</w:t>
            </w:r>
            <w:r>
              <w:rPr>
                <w:rFonts w:hint="default" w:ascii="Times New Roman" w:hAnsi="Times New Roman" w:eastAsia="宋体" w:cs="Times New Roman"/>
                <w:color w:val="auto"/>
                <w:szCs w:val="24"/>
                <w:highlight w:val="none"/>
              </w:rPr>
              <w:t>生活污水经化粪池处理后排入市政污水管网，纳入长乐污水处理厂进一步处理。</w:t>
            </w:r>
          </w:p>
          <w:p>
            <w:pPr>
              <w:pStyle w:val="546"/>
              <w:ind w:firstLine="480"/>
              <w:rPr>
                <w:rFonts w:hint="default" w:ascii="Times New Roman" w:hAnsi="Times New Roman" w:eastAsia="宋体" w:cs="Times New Roman"/>
                <w:b/>
                <w:bCs/>
                <w:color w:val="auto"/>
                <w:szCs w:val="28"/>
                <w:highlight w:val="none"/>
                <w:lang w:val="en-US" w:bidi="ar-SA"/>
              </w:rPr>
            </w:pPr>
            <w:r>
              <w:rPr>
                <w:rFonts w:hint="default" w:ascii="Times New Roman" w:hAnsi="Times New Roman" w:eastAsia="宋体" w:cs="Times New Roman"/>
                <w:b/>
                <w:bCs/>
                <w:color w:val="auto"/>
                <w:szCs w:val="28"/>
                <w:highlight w:val="none"/>
                <w:lang w:val="en-US" w:bidi="ar-SA"/>
              </w:rPr>
              <w:t>表4.3-1运营期生活污水的产排放情况表</w:t>
            </w:r>
          </w:p>
          <w:tbl>
            <w:tblPr>
              <w:tblStyle w:val="49"/>
              <w:tblW w:w="8419"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39"/>
              <w:gridCol w:w="2522"/>
              <w:gridCol w:w="1091"/>
              <w:gridCol w:w="807"/>
              <w:gridCol w:w="817"/>
              <w:gridCol w:w="9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2239" w:type="dxa"/>
                  <w:shd w:val="clear" w:color="auto" w:fill="auto"/>
                  <w:vAlign w:val="center"/>
                </w:tcPr>
                <w:p>
                  <w:pPr>
                    <w:pStyle w:val="113"/>
                    <w:rPr>
                      <w:rFonts w:hint="default" w:ascii="Times New Roman" w:hAnsi="Times New Roman" w:eastAsia="宋体" w:cs="Times New Roman"/>
                      <w:color w:val="auto"/>
                      <w:highlight w:val="none"/>
                    </w:rPr>
                  </w:pPr>
                </w:p>
              </w:tc>
              <w:tc>
                <w:tcPr>
                  <w:tcW w:w="2522" w:type="dxa"/>
                  <w:shd w:val="clear" w:color="auto" w:fill="auto"/>
                  <w:vAlign w:val="center"/>
                </w:tcPr>
                <w:p>
                  <w:pPr>
                    <w:pStyle w:val="113"/>
                    <w:rPr>
                      <w:rFonts w:hint="default" w:ascii="Times New Roman" w:hAnsi="Times New Roman" w:eastAsia="宋体" w:cs="Times New Roman"/>
                      <w:color w:val="auto"/>
                      <w:highlight w:val="none"/>
                    </w:rPr>
                  </w:pPr>
                </w:p>
              </w:tc>
              <w:tc>
                <w:tcPr>
                  <w:tcW w:w="1091" w:type="dxa"/>
                  <w:shd w:val="clear" w:color="auto" w:fill="auto"/>
                  <w:vAlign w:val="center"/>
                </w:tcPr>
                <w:p>
                  <w:pPr>
                    <w:pStyle w:val="113"/>
                    <w:rPr>
                      <w:rFonts w:hint="default" w:ascii="Times New Roman" w:hAnsi="Times New Roman" w:eastAsia="宋体" w:cs="Times New Roman"/>
                      <w:color w:val="auto"/>
                      <w:highlight w:val="none"/>
                    </w:rPr>
                  </w:pPr>
                </w:p>
              </w:tc>
              <w:tc>
                <w:tcPr>
                  <w:tcW w:w="807" w:type="dxa"/>
                  <w:shd w:val="clear" w:color="auto" w:fill="auto"/>
                  <w:vAlign w:val="center"/>
                </w:tcPr>
                <w:p>
                  <w:pPr>
                    <w:pStyle w:val="113"/>
                    <w:rPr>
                      <w:rFonts w:hint="default" w:ascii="Times New Roman" w:hAnsi="Times New Roman" w:eastAsia="宋体" w:cs="Times New Roman"/>
                      <w:color w:val="auto"/>
                      <w:highlight w:val="none"/>
                    </w:rPr>
                  </w:pPr>
                </w:p>
              </w:tc>
              <w:tc>
                <w:tcPr>
                  <w:tcW w:w="817" w:type="dxa"/>
                  <w:shd w:val="clear" w:color="auto" w:fill="auto"/>
                  <w:vAlign w:val="center"/>
                </w:tcPr>
                <w:p>
                  <w:pPr>
                    <w:pStyle w:val="113"/>
                    <w:rPr>
                      <w:rFonts w:hint="default" w:ascii="Times New Roman" w:hAnsi="Times New Roman" w:eastAsia="宋体" w:cs="Times New Roman"/>
                      <w:color w:val="auto"/>
                      <w:highlight w:val="none"/>
                    </w:rPr>
                  </w:pPr>
                </w:p>
              </w:tc>
              <w:tc>
                <w:tcPr>
                  <w:tcW w:w="943" w:type="dxa"/>
                  <w:shd w:val="clear" w:color="auto" w:fill="auto"/>
                  <w:vAlign w:val="center"/>
                </w:tcPr>
                <w:p>
                  <w:pPr>
                    <w:pStyle w:val="113"/>
                    <w:rPr>
                      <w:rFonts w:hint="default" w:ascii="Times New Roman" w:hAnsi="Times New Roman" w:eastAsia="宋体" w:cs="Times New Roman"/>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2239" w:type="dxa"/>
                  <w:vMerge w:val="restart"/>
                  <w:shd w:val="clear" w:color="auto" w:fill="auto"/>
                  <w:vAlign w:val="center"/>
                </w:tcPr>
                <w:p>
                  <w:pPr>
                    <w:pStyle w:val="113"/>
                    <w:rPr>
                      <w:rFonts w:hint="default" w:ascii="Times New Roman" w:hAnsi="Times New Roman" w:eastAsia="宋体" w:cs="Times New Roman"/>
                      <w:color w:val="auto"/>
                      <w:highlight w:val="none"/>
                    </w:rPr>
                  </w:pPr>
                </w:p>
              </w:tc>
              <w:tc>
                <w:tcPr>
                  <w:tcW w:w="2522" w:type="dxa"/>
                  <w:shd w:val="clear" w:color="auto" w:fill="auto"/>
                  <w:vAlign w:val="center"/>
                </w:tcPr>
                <w:p>
                  <w:pPr>
                    <w:pStyle w:val="113"/>
                    <w:rPr>
                      <w:rFonts w:hint="default" w:ascii="Times New Roman" w:hAnsi="Times New Roman" w:eastAsia="宋体" w:cs="Times New Roman"/>
                      <w:color w:val="auto"/>
                      <w:highlight w:val="none"/>
                    </w:rPr>
                  </w:pPr>
                </w:p>
              </w:tc>
              <w:tc>
                <w:tcPr>
                  <w:tcW w:w="1091" w:type="dxa"/>
                  <w:shd w:val="clear" w:color="auto" w:fill="auto"/>
                  <w:vAlign w:val="center"/>
                </w:tcPr>
                <w:p>
                  <w:pPr>
                    <w:pStyle w:val="113"/>
                    <w:rPr>
                      <w:rFonts w:hint="default" w:ascii="Times New Roman" w:hAnsi="Times New Roman" w:eastAsia="宋体" w:cs="Times New Roman"/>
                      <w:color w:val="auto"/>
                      <w:highlight w:val="none"/>
                    </w:rPr>
                  </w:pPr>
                </w:p>
              </w:tc>
              <w:tc>
                <w:tcPr>
                  <w:tcW w:w="807" w:type="dxa"/>
                  <w:shd w:val="clear" w:color="auto" w:fill="auto"/>
                  <w:vAlign w:val="center"/>
                </w:tcPr>
                <w:p>
                  <w:pPr>
                    <w:pStyle w:val="113"/>
                    <w:rPr>
                      <w:rFonts w:hint="default" w:ascii="Times New Roman" w:hAnsi="Times New Roman" w:eastAsia="宋体" w:cs="Times New Roman"/>
                      <w:color w:val="auto"/>
                      <w:highlight w:val="none"/>
                    </w:rPr>
                  </w:pPr>
                </w:p>
              </w:tc>
              <w:tc>
                <w:tcPr>
                  <w:tcW w:w="817" w:type="dxa"/>
                  <w:shd w:val="clear" w:color="auto" w:fill="auto"/>
                  <w:vAlign w:val="center"/>
                </w:tcPr>
                <w:p>
                  <w:pPr>
                    <w:pStyle w:val="113"/>
                    <w:rPr>
                      <w:rFonts w:hint="default" w:ascii="Times New Roman" w:hAnsi="Times New Roman" w:eastAsia="宋体" w:cs="Times New Roman"/>
                      <w:color w:val="auto"/>
                      <w:highlight w:val="none"/>
                    </w:rPr>
                  </w:pPr>
                </w:p>
              </w:tc>
              <w:tc>
                <w:tcPr>
                  <w:tcW w:w="943" w:type="dxa"/>
                  <w:shd w:val="clear" w:color="auto" w:fill="auto"/>
                  <w:vAlign w:val="center"/>
                </w:tcPr>
                <w:p>
                  <w:pPr>
                    <w:pStyle w:val="113"/>
                    <w:rPr>
                      <w:rFonts w:hint="default" w:ascii="Times New Roman" w:hAnsi="Times New Roman" w:eastAsia="宋体" w:cs="Times New Roman"/>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2239" w:type="dxa"/>
                  <w:vMerge w:val="continue"/>
                  <w:vAlign w:val="center"/>
                </w:tcPr>
                <w:p>
                  <w:pPr>
                    <w:pStyle w:val="113"/>
                    <w:rPr>
                      <w:rFonts w:hint="default" w:ascii="Times New Roman" w:hAnsi="Times New Roman" w:eastAsia="宋体" w:cs="Times New Roman"/>
                      <w:color w:val="auto"/>
                      <w:highlight w:val="none"/>
                    </w:rPr>
                  </w:pPr>
                </w:p>
              </w:tc>
              <w:tc>
                <w:tcPr>
                  <w:tcW w:w="2522" w:type="dxa"/>
                  <w:shd w:val="clear" w:color="auto" w:fill="auto"/>
                  <w:vAlign w:val="center"/>
                </w:tcPr>
                <w:p>
                  <w:pPr>
                    <w:pStyle w:val="113"/>
                    <w:rPr>
                      <w:rFonts w:hint="default" w:ascii="Times New Roman" w:hAnsi="Times New Roman" w:eastAsia="宋体" w:cs="Times New Roman"/>
                      <w:color w:val="auto"/>
                      <w:highlight w:val="none"/>
                    </w:rPr>
                  </w:pPr>
                </w:p>
              </w:tc>
              <w:tc>
                <w:tcPr>
                  <w:tcW w:w="1091" w:type="dxa"/>
                  <w:shd w:val="clear" w:color="auto" w:fill="auto"/>
                  <w:vAlign w:val="center"/>
                </w:tcPr>
                <w:p>
                  <w:pPr>
                    <w:pStyle w:val="113"/>
                    <w:rPr>
                      <w:rFonts w:hint="default" w:ascii="Times New Roman" w:hAnsi="Times New Roman" w:eastAsia="宋体" w:cs="Times New Roman"/>
                      <w:color w:val="auto"/>
                      <w:highlight w:val="none"/>
                    </w:rPr>
                  </w:pPr>
                </w:p>
              </w:tc>
              <w:tc>
                <w:tcPr>
                  <w:tcW w:w="807" w:type="dxa"/>
                  <w:shd w:val="clear" w:color="auto" w:fill="auto"/>
                  <w:vAlign w:val="center"/>
                </w:tcPr>
                <w:p>
                  <w:pPr>
                    <w:pStyle w:val="113"/>
                    <w:rPr>
                      <w:rFonts w:hint="default" w:ascii="Times New Roman" w:hAnsi="Times New Roman" w:eastAsia="宋体" w:cs="Times New Roman"/>
                      <w:color w:val="auto"/>
                      <w:highlight w:val="none"/>
                    </w:rPr>
                  </w:pPr>
                </w:p>
              </w:tc>
              <w:tc>
                <w:tcPr>
                  <w:tcW w:w="817" w:type="dxa"/>
                  <w:shd w:val="clear" w:color="auto" w:fill="auto"/>
                  <w:vAlign w:val="center"/>
                </w:tcPr>
                <w:p>
                  <w:pPr>
                    <w:pStyle w:val="113"/>
                    <w:rPr>
                      <w:rFonts w:hint="default" w:ascii="Times New Roman" w:hAnsi="Times New Roman" w:eastAsia="宋体" w:cs="Times New Roman"/>
                      <w:color w:val="auto"/>
                      <w:highlight w:val="none"/>
                    </w:rPr>
                  </w:pPr>
                </w:p>
              </w:tc>
              <w:tc>
                <w:tcPr>
                  <w:tcW w:w="943" w:type="dxa"/>
                  <w:shd w:val="clear" w:color="auto" w:fill="auto"/>
                  <w:vAlign w:val="center"/>
                </w:tcPr>
                <w:p>
                  <w:pPr>
                    <w:pStyle w:val="113"/>
                    <w:rPr>
                      <w:rFonts w:hint="default" w:ascii="Times New Roman" w:hAnsi="Times New Roman" w:eastAsia="宋体" w:cs="Times New Roman"/>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761" w:type="dxa"/>
                  <w:gridSpan w:val="2"/>
                  <w:shd w:val="clear" w:color="auto" w:fill="auto"/>
                  <w:vAlign w:val="center"/>
                </w:tcPr>
                <w:p>
                  <w:pPr>
                    <w:pStyle w:val="113"/>
                    <w:rPr>
                      <w:rFonts w:hint="default" w:ascii="Times New Roman" w:hAnsi="Times New Roman" w:eastAsia="宋体" w:cs="Times New Roman"/>
                      <w:color w:val="auto"/>
                      <w:highlight w:val="none"/>
                    </w:rPr>
                  </w:pPr>
                </w:p>
              </w:tc>
              <w:tc>
                <w:tcPr>
                  <w:tcW w:w="1091" w:type="dxa"/>
                  <w:shd w:val="clear" w:color="auto" w:fill="auto"/>
                  <w:vAlign w:val="center"/>
                </w:tcPr>
                <w:p>
                  <w:pPr>
                    <w:pStyle w:val="113"/>
                    <w:rPr>
                      <w:rFonts w:hint="default" w:ascii="Times New Roman" w:hAnsi="Times New Roman" w:eastAsia="宋体" w:cs="Times New Roman"/>
                      <w:color w:val="auto"/>
                      <w:highlight w:val="none"/>
                    </w:rPr>
                  </w:pPr>
                </w:p>
              </w:tc>
              <w:tc>
                <w:tcPr>
                  <w:tcW w:w="807" w:type="dxa"/>
                  <w:shd w:val="clear" w:color="auto" w:fill="auto"/>
                  <w:vAlign w:val="center"/>
                </w:tcPr>
                <w:p>
                  <w:pPr>
                    <w:pStyle w:val="113"/>
                    <w:rPr>
                      <w:rFonts w:hint="default" w:ascii="Times New Roman" w:hAnsi="Times New Roman" w:eastAsia="宋体" w:cs="Times New Roman"/>
                      <w:color w:val="auto"/>
                      <w:highlight w:val="none"/>
                    </w:rPr>
                  </w:pPr>
                </w:p>
              </w:tc>
              <w:tc>
                <w:tcPr>
                  <w:tcW w:w="817" w:type="dxa"/>
                  <w:shd w:val="clear" w:color="auto" w:fill="auto"/>
                  <w:vAlign w:val="center"/>
                </w:tcPr>
                <w:p>
                  <w:pPr>
                    <w:pStyle w:val="113"/>
                    <w:rPr>
                      <w:rFonts w:hint="default" w:ascii="Times New Roman" w:hAnsi="Times New Roman" w:eastAsia="宋体" w:cs="Times New Roman"/>
                      <w:color w:val="auto"/>
                      <w:highlight w:val="none"/>
                    </w:rPr>
                  </w:pPr>
                </w:p>
              </w:tc>
              <w:tc>
                <w:tcPr>
                  <w:tcW w:w="943" w:type="dxa"/>
                  <w:shd w:val="clear" w:color="auto" w:fill="auto"/>
                  <w:vAlign w:val="center"/>
                </w:tcPr>
                <w:p>
                  <w:pPr>
                    <w:pStyle w:val="113"/>
                    <w:rPr>
                      <w:rFonts w:hint="default" w:ascii="Times New Roman" w:hAnsi="Times New Roman" w:eastAsia="宋体" w:cs="Times New Roman"/>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761" w:type="dxa"/>
                  <w:gridSpan w:val="2"/>
                  <w:shd w:val="clear" w:color="auto" w:fill="auto"/>
                  <w:vAlign w:val="center"/>
                </w:tcPr>
                <w:p>
                  <w:pPr>
                    <w:pStyle w:val="113"/>
                    <w:rPr>
                      <w:rFonts w:hint="default" w:ascii="Times New Roman" w:hAnsi="Times New Roman" w:eastAsia="宋体" w:cs="Times New Roman"/>
                      <w:color w:val="auto"/>
                      <w:highlight w:val="none"/>
                    </w:rPr>
                  </w:pPr>
                </w:p>
              </w:tc>
              <w:tc>
                <w:tcPr>
                  <w:tcW w:w="1091" w:type="dxa"/>
                  <w:shd w:val="clear" w:color="auto" w:fill="auto"/>
                  <w:vAlign w:val="center"/>
                </w:tcPr>
                <w:p>
                  <w:pPr>
                    <w:pStyle w:val="113"/>
                    <w:rPr>
                      <w:rFonts w:hint="default" w:ascii="Times New Roman" w:hAnsi="Times New Roman" w:eastAsia="宋体" w:cs="Times New Roman"/>
                      <w:color w:val="auto"/>
                      <w:highlight w:val="none"/>
                    </w:rPr>
                  </w:pPr>
                </w:p>
              </w:tc>
              <w:tc>
                <w:tcPr>
                  <w:tcW w:w="807" w:type="dxa"/>
                  <w:shd w:val="clear" w:color="auto" w:fill="auto"/>
                  <w:vAlign w:val="center"/>
                </w:tcPr>
                <w:p>
                  <w:pPr>
                    <w:pStyle w:val="113"/>
                    <w:rPr>
                      <w:rFonts w:hint="default" w:ascii="Times New Roman" w:hAnsi="Times New Roman" w:eastAsia="宋体" w:cs="Times New Roman"/>
                      <w:color w:val="auto"/>
                      <w:highlight w:val="none"/>
                    </w:rPr>
                  </w:pPr>
                </w:p>
              </w:tc>
              <w:tc>
                <w:tcPr>
                  <w:tcW w:w="817" w:type="dxa"/>
                  <w:shd w:val="clear" w:color="auto" w:fill="auto"/>
                  <w:vAlign w:val="center"/>
                </w:tcPr>
                <w:p>
                  <w:pPr>
                    <w:pStyle w:val="113"/>
                    <w:rPr>
                      <w:rFonts w:hint="default" w:ascii="Times New Roman" w:hAnsi="Times New Roman" w:eastAsia="宋体" w:cs="Times New Roman"/>
                      <w:color w:val="auto"/>
                      <w:highlight w:val="none"/>
                    </w:rPr>
                  </w:pPr>
                </w:p>
              </w:tc>
              <w:tc>
                <w:tcPr>
                  <w:tcW w:w="943" w:type="dxa"/>
                  <w:shd w:val="clear" w:color="auto" w:fill="auto"/>
                  <w:vAlign w:val="center"/>
                </w:tcPr>
                <w:p>
                  <w:pPr>
                    <w:pStyle w:val="113"/>
                    <w:rPr>
                      <w:rFonts w:hint="default" w:ascii="Times New Roman" w:hAnsi="Times New Roman" w:eastAsia="宋体" w:cs="Times New Roman"/>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761" w:type="dxa"/>
                  <w:gridSpan w:val="2"/>
                  <w:shd w:val="clear" w:color="auto" w:fill="auto"/>
                  <w:vAlign w:val="center"/>
                </w:tcPr>
                <w:p>
                  <w:pPr>
                    <w:pStyle w:val="113"/>
                    <w:rPr>
                      <w:rFonts w:hint="default" w:ascii="Times New Roman" w:hAnsi="Times New Roman" w:eastAsia="宋体" w:cs="Times New Roman"/>
                      <w:color w:val="auto"/>
                      <w:highlight w:val="none"/>
                    </w:rPr>
                  </w:pPr>
                </w:p>
              </w:tc>
              <w:tc>
                <w:tcPr>
                  <w:tcW w:w="1091" w:type="dxa"/>
                  <w:shd w:val="clear" w:color="auto" w:fill="auto"/>
                  <w:vAlign w:val="center"/>
                </w:tcPr>
                <w:p>
                  <w:pPr>
                    <w:pStyle w:val="113"/>
                    <w:rPr>
                      <w:rFonts w:hint="default" w:ascii="Times New Roman" w:hAnsi="Times New Roman" w:eastAsia="宋体" w:cs="Times New Roman"/>
                      <w:color w:val="auto"/>
                      <w:highlight w:val="none"/>
                    </w:rPr>
                  </w:pPr>
                </w:p>
              </w:tc>
              <w:tc>
                <w:tcPr>
                  <w:tcW w:w="807" w:type="dxa"/>
                  <w:shd w:val="clear" w:color="auto" w:fill="auto"/>
                  <w:vAlign w:val="center"/>
                </w:tcPr>
                <w:p>
                  <w:pPr>
                    <w:pStyle w:val="113"/>
                    <w:rPr>
                      <w:rFonts w:hint="default" w:ascii="Times New Roman" w:hAnsi="Times New Roman" w:eastAsia="宋体" w:cs="Times New Roman"/>
                      <w:color w:val="auto"/>
                      <w:highlight w:val="none"/>
                    </w:rPr>
                  </w:pPr>
                </w:p>
              </w:tc>
              <w:tc>
                <w:tcPr>
                  <w:tcW w:w="817" w:type="dxa"/>
                  <w:shd w:val="clear" w:color="auto" w:fill="auto"/>
                  <w:vAlign w:val="center"/>
                </w:tcPr>
                <w:p>
                  <w:pPr>
                    <w:pStyle w:val="113"/>
                    <w:rPr>
                      <w:rFonts w:hint="default" w:ascii="Times New Roman" w:hAnsi="Times New Roman" w:eastAsia="宋体" w:cs="Times New Roman"/>
                      <w:color w:val="auto"/>
                      <w:highlight w:val="none"/>
                    </w:rPr>
                  </w:pPr>
                </w:p>
              </w:tc>
              <w:tc>
                <w:tcPr>
                  <w:tcW w:w="943" w:type="dxa"/>
                  <w:shd w:val="clear" w:color="auto" w:fill="auto"/>
                  <w:vAlign w:val="center"/>
                </w:tcPr>
                <w:p>
                  <w:pPr>
                    <w:pStyle w:val="113"/>
                    <w:rPr>
                      <w:rFonts w:hint="default" w:ascii="Times New Roman" w:hAnsi="Times New Roman" w:eastAsia="宋体" w:cs="Times New Roman"/>
                      <w:color w:val="auto"/>
                      <w:highlight w:val="none"/>
                    </w:rPr>
                  </w:pPr>
                </w:p>
              </w:tc>
            </w:tr>
          </w:tbl>
          <w:p>
            <w:pPr>
              <w:spacing w:line="240" w:lineRule="auto"/>
              <w:ind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1"/>
                <w:szCs w:val="21"/>
                <w:highlight w:val="none"/>
              </w:rPr>
              <w:t>注：COD、BOD</w:t>
            </w:r>
            <w:r>
              <w:rPr>
                <w:rFonts w:hint="default" w:ascii="Times New Roman" w:hAnsi="Times New Roman" w:eastAsia="宋体" w:cs="Times New Roman"/>
                <w:color w:val="auto"/>
                <w:sz w:val="21"/>
                <w:szCs w:val="21"/>
                <w:highlight w:val="none"/>
                <w:vertAlign w:val="subscript"/>
              </w:rPr>
              <w:t>5</w:t>
            </w:r>
            <w:r>
              <w:rPr>
                <w:rFonts w:hint="default" w:ascii="Times New Roman" w:hAnsi="Times New Roman" w:eastAsia="宋体" w:cs="Times New Roman"/>
                <w:color w:val="auto"/>
                <w:sz w:val="21"/>
                <w:szCs w:val="21"/>
                <w:highlight w:val="none"/>
              </w:rPr>
              <w:t>、氨氮的去除率参照《第一次全国污染源普查城镇生活源产排污系数手册》中“二区四类区生活污水”经化粪池预处理后的推荐数据，去除效率分别为14.1%、14.3%、2.5%，SS参照刘毅梁发表的《武汉市住宅小区化粪池污染物去除效果调查与分析》中得出的结论：SS的去除率为47%。</w:t>
            </w:r>
          </w:p>
          <w:p>
            <w:pPr>
              <w:pStyle w:val="4"/>
              <w:outlineLvl w:val="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4.3.2水环境影响分析及保护措施</w:t>
            </w:r>
          </w:p>
          <w:p>
            <w:pPr>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（1）废水排放方案</w:t>
            </w:r>
          </w:p>
          <w:p>
            <w:pPr>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生产废水循环使用，不外排。本次技改工程不新增化粪池。根据建设单位与吴航公司签订的《生活污水处置依托协议》，项目产生的生活污水将全部纳入吴航公司现有化粪池进行处理。该协议明确了吴航公司化粪池具备充足余量接纳本项目污水。生活污水经化粪池预处理达到《污水综合排放标准》（GB8978-1996）三级标准后，排入市政管网，最终由长乐污水处理厂进行深度处理。</w:t>
            </w:r>
          </w:p>
          <w:p>
            <w:pPr>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（2）生活污水处理可行性分析</w:t>
            </w:r>
          </w:p>
          <w:p>
            <w:pPr>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生活污水水质简单，化粪池主要是利用厌氧发酵、中层过粪和寄生虫卵比重大于一般混合液比重而易于沉淀的原理，粪便在池内发酵分解，以达到沉淀或杀灭粪便中寄生虫卵和肠道致病菌的目的，生活污水经化粪池处理后排入市政管网，纳入长乐污水处理厂进一步处理是可行的。</w:t>
            </w:r>
          </w:p>
          <w:p>
            <w:pPr>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（3）废水纳入长乐污水处理厂可行性分析</w:t>
            </w:r>
          </w:p>
          <w:p>
            <w:pPr>
              <w:bidi w:val="0"/>
              <w:rPr>
                <w:rFonts w:hint="default" w:ascii="Times New Roman" w:hAnsi="Times New Roman" w:eastAsia="宋体" w:cs="Times New Roman"/>
                <w:color w:val="auto"/>
                <w:highlight w:val="none"/>
                <w:lang w:val="en-US"/>
              </w:rPr>
            </w:pPr>
            <w:r>
              <w:rPr>
                <w:rFonts w:hint="default" w:ascii="Times New Roman" w:hAnsi="Times New Roman" w:eastAsia="宋体" w:cs="Times New Roman"/>
                <w:color w:val="auto"/>
                <w:highlight w:val="none"/>
                <w:lang w:val="en-US"/>
              </w:rPr>
              <w:t>①处理能力</w:t>
            </w:r>
          </w:p>
          <w:p>
            <w:pPr>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长乐污水处理厂位于航城街道霞洲村太平港以西，主要处理城区生活污水。2007年12月通水运行，总处理规模为8万吨/日，目前规模5万吨/日，采用CASS池的主体生化处理工艺。该污水处理厂近期服务范围为长乐区城区和长乐区航城街道洋屿工业区，本项目所处位置在其处理范围内。</w:t>
            </w:r>
          </w:p>
          <w:p>
            <w:pPr>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长乐污水处理厂远期的处理规模8.0万m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/d，现状处理能力5万m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/d。目前实际接纳处理的废水量约为4.2万m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/d，剩余处理能力为0.8万m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/d。项目废水排放量为0.24t/d，仅占污水处理厂近期剩余处理量的0.003%，废水经处理后达标排放不会影响污水处理厂的正常运行。</w:t>
            </w:r>
          </w:p>
          <w:p>
            <w:pPr>
              <w:bidi w:val="0"/>
              <w:rPr>
                <w:rFonts w:hint="default" w:ascii="Times New Roman" w:hAnsi="Times New Roman" w:eastAsia="宋体" w:cs="Times New Roman"/>
                <w:color w:val="auto"/>
                <w:highlight w:val="none"/>
                <w:lang w:val="en-US"/>
              </w:rPr>
            </w:pPr>
            <w:r>
              <w:rPr>
                <w:rFonts w:hint="default" w:ascii="Times New Roman" w:hAnsi="Times New Roman" w:eastAsia="宋体" w:cs="Times New Roman"/>
                <w:color w:val="auto"/>
                <w:highlight w:val="none"/>
                <w:lang w:val="en-US"/>
              </w:rPr>
              <w:t>②水质</w:t>
            </w:r>
          </w:p>
          <w:p>
            <w:pPr>
              <w:bidi w:val="0"/>
              <w:rPr>
                <w:rFonts w:hint="default" w:ascii="Times New Roman" w:hAnsi="Times New Roman" w:eastAsia="宋体" w:cs="Times New Roman"/>
                <w:color w:val="auto"/>
                <w:highlight w:val="none"/>
                <w:lang w:val="en-US"/>
              </w:rPr>
            </w:pPr>
            <w:r>
              <w:rPr>
                <w:rFonts w:hint="default" w:ascii="Times New Roman" w:hAnsi="Times New Roman" w:eastAsia="宋体" w:cs="Times New Roman"/>
                <w:color w:val="auto"/>
                <w:highlight w:val="none"/>
                <w:lang w:val="en-US"/>
              </w:rPr>
              <w:t>由于项目外排废水主要为生活污水，污染物成分简单，项目生活污水经化粪池处理后各个污染物排放浓度符合《污水综合排放标准》</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rPr>
              <w:t>GB8978-1996</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rPr>
              <w:t>表4三级标准</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rPr>
              <w:t>其中氨氮参照《污水排入城镇下水道水质标准》</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rPr>
              <w:t>GB/T31962-2015</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rPr>
              <w:t>表1B等级标准</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rPr>
              <w:t>，因此，项目生活污水的排放不会对</w:t>
            </w:r>
            <w:r>
              <w:rPr>
                <w:rFonts w:hint="default" w:ascii="Times New Roman" w:hAnsi="Times New Roman" w:eastAsia="宋体" w:cs="Times New Roman"/>
                <w:color w:val="auto"/>
                <w:highlight w:val="none"/>
              </w:rPr>
              <w:t>长乐污水处理厂</w:t>
            </w:r>
            <w:r>
              <w:rPr>
                <w:rFonts w:hint="default" w:ascii="Times New Roman" w:hAnsi="Times New Roman" w:eastAsia="宋体" w:cs="Times New Roman"/>
                <w:color w:val="auto"/>
                <w:highlight w:val="none"/>
                <w:lang w:val="en-US"/>
              </w:rPr>
              <w:t>产生影响。</w:t>
            </w:r>
          </w:p>
          <w:p>
            <w:pPr>
              <w:bidi w:val="0"/>
              <w:rPr>
                <w:rFonts w:hint="default" w:ascii="Times New Roman" w:hAnsi="Times New Roman" w:eastAsia="宋体" w:cs="Times New Roman"/>
                <w:color w:val="auto"/>
                <w:highlight w:val="none"/>
                <w:lang w:val="en-US"/>
              </w:rPr>
            </w:pPr>
            <w:r>
              <w:rPr>
                <w:rFonts w:hint="default" w:ascii="Times New Roman" w:hAnsi="Times New Roman" w:eastAsia="宋体" w:cs="Times New Roman"/>
                <w:color w:val="auto"/>
                <w:highlight w:val="none"/>
                <w:lang w:val="en-US"/>
              </w:rPr>
              <w:t>③管网衔接分析</w:t>
            </w:r>
          </w:p>
          <w:p>
            <w:pPr>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项目所在区域市政污水管网已建设完善，项目外排生活污水经化粪池处理后可通过区域市政污水管网纳入长乐污水处理厂。</w:t>
            </w:r>
          </w:p>
          <w:p>
            <w:pPr>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（4）生产废水处理措施可行性分析</w:t>
            </w:r>
          </w:p>
          <w:p>
            <w:pPr>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本项目对进场废钢进行限制，禁收含油污的废钢部件，进场废钢含油渍较少，无需清洗油污，即可作为炼钢原料外售，因此本工程原料为</w:t>
            </w:r>
            <w:r>
              <w:rPr>
                <w:rFonts w:hint="default" w:ascii="Times New Roman" w:hAnsi="Times New Roman" w:eastAsia="宋体" w:cs="Times New Roman"/>
                <w:color w:val="auto"/>
                <w:highlight w:val="none"/>
                <w:lang w:val="en-US" w:eastAsia="zh-CN"/>
              </w:rPr>
              <w:t>块状、</w:t>
            </w:r>
            <w:r>
              <w:rPr>
                <w:rFonts w:hint="default" w:ascii="Times New Roman" w:hAnsi="Times New Roman" w:eastAsia="宋体" w:cs="Times New Roman"/>
                <w:color w:val="auto"/>
                <w:highlight w:val="none"/>
              </w:rPr>
              <w:t>粉状废料，含铁屑、有色金属颗粒、塑料及土壤等杂质)，加工过程废水</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rPr>
              <w:t>生产废水是磁选废水和摇床废水</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rPr>
              <w:t>主要污染物为悬浮物，清洗废水产生量为</w:t>
            </w:r>
            <w:r>
              <w:rPr>
                <w:rFonts w:hint="default" w:ascii="Times New Roman" w:hAnsi="Times New Roman" w:eastAsia="宋体" w:cs="Times New Roman"/>
                <w:color w:val="auto"/>
                <w:highlight w:val="none"/>
                <w:lang w:val="en-US" w:eastAsia="zh-CN"/>
              </w:rPr>
              <w:t>67.0351</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/d，生产区内建设1个三级沉淀池(容积为12×25×2=600m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)，满足废水的处理</w:t>
            </w:r>
            <w:r>
              <w:rPr>
                <w:rFonts w:hint="eastAsia" w:cs="Times New Roman"/>
                <w:color w:val="auto"/>
                <w:highlight w:val="none"/>
                <w:lang w:val="en-US" w:eastAsia="zh-CN"/>
              </w:rPr>
              <w:t>要求</w:t>
            </w:r>
            <w:r>
              <w:rPr>
                <w:rFonts w:hint="default" w:ascii="Times New Roman" w:hAnsi="Times New Roman" w:eastAsia="宋体" w:cs="Times New Roman"/>
                <w:color w:val="auto"/>
                <w:highlight w:val="none"/>
              </w:rPr>
              <w:t>。</w:t>
            </w:r>
          </w:p>
          <w:p>
            <w:pPr>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工艺废水经</w:t>
            </w:r>
            <w:r>
              <w:rPr>
                <w:rFonts w:hint="default" w:ascii="Times New Roman" w:hAnsi="Times New Roman" w:eastAsia="宋体" w:cs="Times New Roman"/>
                <w:color w:val="auto"/>
                <w:highlight w:val="none"/>
                <w:lang w:val="en-US" w:eastAsia="zh-CN"/>
              </w:rPr>
              <w:t>三级</w:t>
            </w:r>
            <w:r>
              <w:rPr>
                <w:rFonts w:hint="default" w:ascii="Times New Roman" w:hAnsi="Times New Roman" w:eastAsia="宋体" w:cs="Times New Roman"/>
                <w:color w:val="auto"/>
                <w:highlight w:val="none"/>
              </w:rPr>
              <w:t>沉淀处理后上层清水回用于生产，不外排，含水污泥经板框压滤机，压滤产生的清水回用于生产，不外排。</w:t>
            </w:r>
          </w:p>
          <w:p>
            <w:pPr>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沉淀池是利用水流中悬浮杂质颗粒向下沉淀速度大于水流向下流动速度或向下沉淀时间小于水流流出沉淀池的时间时能与水流分离的原理实现水的净化。利用水的自然沉淀作用来除去水中的悬浮物。沉淀效果决定于沉淀池中水的流速和水在池中的停留时间。为了提高沉淀效果，减少用地面积，多采用蜂窝斜管异向流沉淀池、加速澄清池、脉冲澄清池等。沉淀池在废水处理中广为使用。本项目生产废水中的污染物主要为SS，因此利用沉淀池进行处理措施可行。</w:t>
            </w:r>
          </w:p>
          <w:p>
            <w:pPr>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综上，本项目废水处理措施可行。</w:t>
            </w:r>
          </w:p>
          <w:p>
            <w:pPr>
              <w:pStyle w:val="4"/>
              <w:outlineLvl w:val="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4.3.3监测计划</w:t>
            </w:r>
          </w:p>
          <w:p>
            <w:pPr>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根据《排污许可证申请与核发技术规范废弃资源加工工业》（HJ1034-2019）和《排污单位自行监测技术指南总则》</w:t>
            </w:r>
            <w:r>
              <w:rPr>
                <w:rFonts w:hint="eastAsia" w:cs="Times New Roman"/>
                <w:color w:val="auto"/>
                <w:highlight w:val="none"/>
                <w:lang w:val="en-US" w:eastAsia="zh-CN"/>
              </w:rPr>
              <w:t>(</w:t>
            </w:r>
            <w:r>
              <w:rPr>
                <w:rFonts w:hint="default" w:ascii="Times New Roman" w:hAnsi="Times New Roman" w:eastAsia="宋体" w:cs="Times New Roman"/>
                <w:color w:val="auto"/>
                <w:highlight w:val="none"/>
              </w:rPr>
              <w:t>HJ819-2017</w:t>
            </w:r>
            <w:r>
              <w:rPr>
                <w:rFonts w:hint="eastAsia" w:cs="Times New Roman"/>
                <w:color w:val="auto"/>
                <w:highlight w:val="none"/>
                <w:lang w:val="en-US" w:eastAsia="zh-CN"/>
              </w:rPr>
              <w:t>)</w:t>
            </w:r>
            <w:r>
              <w:rPr>
                <w:rFonts w:hint="default" w:ascii="Times New Roman" w:hAnsi="Times New Roman" w:eastAsia="宋体" w:cs="Times New Roman"/>
                <w:color w:val="auto"/>
                <w:highlight w:val="none"/>
              </w:rPr>
              <w:t>中对监测指标要求，生活污水单独排入城镇污水集中处理设施的仅说明去向，因此，本项目不设置水污染物监测计划。</w:t>
            </w:r>
          </w:p>
          <w:p>
            <w:pPr>
              <w:ind w:firstLine="480"/>
              <w:rPr>
                <w:rFonts w:hint="default" w:ascii="Times New Roman" w:hAnsi="Times New Roman" w:eastAsia="宋体" w:cs="Times New Roman"/>
                <w:color w:val="auto"/>
                <w:highlight w:val="none"/>
              </w:rPr>
            </w:pPr>
          </w:p>
          <w:p>
            <w:pPr>
              <w:ind w:firstLine="480"/>
              <w:rPr>
                <w:rFonts w:hint="default" w:ascii="Times New Roman" w:hAnsi="Times New Roman" w:eastAsia="宋体" w:cs="Times New Roman"/>
                <w:color w:val="auto"/>
                <w:highlight w:val="none"/>
              </w:rPr>
            </w:pPr>
          </w:p>
          <w:p>
            <w:pPr>
              <w:ind w:firstLine="480"/>
              <w:rPr>
                <w:rFonts w:hint="default" w:ascii="Times New Roman" w:hAnsi="Times New Roman" w:eastAsia="宋体" w:cs="Times New Roman"/>
                <w:color w:val="auto"/>
                <w:highlight w:val="none"/>
              </w:rPr>
            </w:pPr>
          </w:p>
          <w:p>
            <w:pPr>
              <w:ind w:firstLine="480"/>
              <w:rPr>
                <w:rFonts w:hint="default" w:ascii="Times New Roman" w:hAnsi="Times New Roman" w:eastAsia="宋体" w:cs="Times New Roman"/>
                <w:color w:val="auto"/>
                <w:highlight w:val="none"/>
              </w:rPr>
            </w:pPr>
          </w:p>
          <w:p>
            <w:pPr>
              <w:ind w:firstLine="480"/>
              <w:rPr>
                <w:rFonts w:hint="default" w:ascii="Times New Roman" w:hAnsi="Times New Roman" w:eastAsia="宋体" w:cs="Times New Roman"/>
                <w:color w:val="auto"/>
                <w:highlight w:val="none"/>
              </w:rPr>
            </w:pPr>
          </w:p>
          <w:p>
            <w:pPr>
              <w:ind w:firstLine="480"/>
              <w:rPr>
                <w:rFonts w:hint="default" w:ascii="Times New Roman" w:hAnsi="Times New Roman" w:eastAsia="宋体" w:cs="Times New Roman"/>
                <w:color w:val="auto"/>
                <w:highlight w:val="none"/>
              </w:rPr>
            </w:pPr>
          </w:p>
          <w:p>
            <w:pPr>
              <w:ind w:firstLine="480"/>
              <w:rPr>
                <w:rFonts w:hint="default" w:ascii="Times New Roman" w:hAnsi="Times New Roman" w:eastAsia="宋体" w:cs="Times New Roman"/>
                <w:color w:val="auto"/>
                <w:highlight w:val="none"/>
              </w:rPr>
            </w:pPr>
          </w:p>
          <w:p>
            <w:pPr>
              <w:ind w:firstLine="480"/>
              <w:rPr>
                <w:rFonts w:hint="default" w:ascii="Times New Roman" w:hAnsi="Times New Roman" w:eastAsia="宋体" w:cs="Times New Roman"/>
                <w:color w:val="auto"/>
                <w:highlight w:val="none"/>
              </w:rPr>
            </w:pPr>
          </w:p>
          <w:p>
            <w:pPr>
              <w:ind w:firstLine="480"/>
              <w:rPr>
                <w:rFonts w:hint="default" w:ascii="Times New Roman" w:hAnsi="Times New Roman" w:eastAsia="宋体" w:cs="Times New Roman"/>
                <w:color w:val="auto"/>
                <w:highlight w:val="none"/>
              </w:rPr>
            </w:pPr>
          </w:p>
          <w:p>
            <w:pPr>
              <w:ind w:firstLine="480"/>
              <w:rPr>
                <w:rFonts w:hint="default" w:ascii="Times New Roman" w:hAnsi="Times New Roman" w:eastAsia="宋体" w:cs="Times New Roman"/>
                <w:color w:val="auto"/>
                <w:highlight w:val="none"/>
              </w:rPr>
            </w:pPr>
          </w:p>
          <w:p>
            <w:pPr>
              <w:ind w:firstLine="0" w:firstLineChars="0"/>
              <w:rPr>
                <w:rFonts w:hint="default" w:ascii="Times New Roman" w:hAnsi="Times New Roman" w:eastAsia="宋体" w:cs="Times New Roman"/>
                <w:color w:val="auto"/>
                <w:highlight w:val="none"/>
              </w:rPr>
            </w:pPr>
          </w:p>
        </w:tc>
      </w:tr>
    </w:tbl>
    <w:p>
      <w:pPr>
        <w:ind w:firstLine="480"/>
        <w:rPr>
          <w:snapToGrid w:val="0"/>
          <w:color w:val="auto"/>
          <w:highlight w:val="none"/>
        </w:rPr>
        <w:sectPr>
          <w:pgSz w:w="11906" w:h="16838"/>
          <w:pgMar w:top="1417" w:right="1417" w:bottom="1417" w:left="1417" w:header="851" w:footer="851" w:gutter="0"/>
          <w:pgBorders>
            <w:top w:val="none" w:sz="0" w:space="0"/>
            <w:left w:val="none" w:sz="0" w:space="0"/>
            <w:bottom w:val="none" w:sz="0" w:space="0"/>
            <w:right w:val="none" w:sz="0" w:space="0"/>
          </w:pgBorders>
          <w:cols w:space="720" w:num="1"/>
          <w:docGrid w:linePitch="326" w:charSpace="0"/>
        </w:sectPr>
      </w:pPr>
    </w:p>
    <w:tbl>
      <w:tblPr>
        <w:tblStyle w:val="50"/>
        <w:tblW w:w="142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35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highlight w:val="none"/>
              </w:rPr>
              <w:br w:type="page"/>
            </w:r>
            <w:r>
              <w:rPr>
                <w:rFonts w:hint="default" w:ascii="Times New Roman" w:hAnsi="Times New Roman" w:eastAsia="宋体" w:cs="Times New Roman"/>
                <w:color w:val="auto"/>
                <w:sz w:val="21"/>
                <w:szCs w:val="21"/>
                <w:highlight w:val="none"/>
              </w:rPr>
              <w:t>运营</w:t>
            </w:r>
          </w:p>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期环</w:t>
            </w:r>
          </w:p>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境影</w:t>
            </w:r>
          </w:p>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响和</w:t>
            </w:r>
          </w:p>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保护</w:t>
            </w:r>
          </w:p>
          <w:p>
            <w:pPr>
              <w:ind w:firstLine="0" w:firstLineChars="0"/>
              <w:jc w:val="center"/>
              <w:rPr>
                <w:rFonts w:hint="default" w:ascii="Times New Roman" w:hAnsi="Times New Roman" w:eastAsia="宋体" w:cs="Times New Roman"/>
                <w:snapToGrid w:val="0"/>
                <w:color w:val="auto"/>
                <w:highlight w:val="none"/>
              </w:rPr>
            </w:pPr>
            <w:r>
              <w:rPr>
                <w:rFonts w:hint="default" w:ascii="Times New Roman" w:hAnsi="Times New Roman" w:eastAsia="宋体" w:cs="Times New Roman"/>
                <w:color w:val="auto"/>
                <w:sz w:val="21"/>
                <w:szCs w:val="21"/>
                <w:highlight w:val="none"/>
              </w:rPr>
              <w:t>措施</w:t>
            </w:r>
          </w:p>
        </w:tc>
        <w:tc>
          <w:tcPr>
            <w:tcW w:w="13502" w:type="dxa"/>
          </w:tcPr>
          <w:p>
            <w:pPr>
              <w:spacing w:line="240" w:lineRule="auto"/>
              <w:ind w:firstLine="480"/>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表4.3-2 废水类别、污染物及污染治理设施信息表</w:t>
            </w:r>
          </w:p>
          <w:tbl>
            <w:tblPr>
              <w:tblStyle w:val="49"/>
              <w:tblW w:w="13286"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562"/>
              <w:gridCol w:w="1406"/>
              <w:gridCol w:w="1383"/>
              <w:gridCol w:w="1465"/>
              <w:gridCol w:w="914"/>
              <w:gridCol w:w="1008"/>
              <w:gridCol w:w="984"/>
              <w:gridCol w:w="867"/>
              <w:gridCol w:w="1243"/>
              <w:gridCol w:w="1300"/>
              <w:gridCol w:w="215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62" w:type="dxa"/>
                  <w:vMerge w:val="restart"/>
                  <w:tcBorders>
                    <w:tl2br w:val="nil"/>
                    <w:tr2bl w:val="nil"/>
                  </w:tcBorders>
                  <w:vAlign w:val="center"/>
                </w:tcPr>
                <w:p>
                  <w:pPr>
                    <w:pStyle w:val="113"/>
                    <w:rPr>
                      <w:rFonts w:hint="default" w:ascii="Times New Roman" w:hAnsi="Times New Roman" w:eastAsia="宋体" w:cs="Times New Roman"/>
                      <w:color w:val="auto"/>
                      <w:highlight w:val="none"/>
                    </w:rPr>
                  </w:pPr>
                </w:p>
              </w:tc>
              <w:tc>
                <w:tcPr>
                  <w:tcW w:w="1406" w:type="dxa"/>
                  <w:vMerge w:val="restart"/>
                  <w:tcBorders>
                    <w:tl2br w:val="nil"/>
                    <w:tr2bl w:val="nil"/>
                  </w:tcBorders>
                  <w:vAlign w:val="center"/>
                </w:tcPr>
                <w:p>
                  <w:pPr>
                    <w:pStyle w:val="113"/>
                    <w:rPr>
                      <w:rFonts w:hint="default" w:ascii="Times New Roman" w:hAnsi="Times New Roman" w:eastAsia="宋体" w:cs="Times New Roman"/>
                      <w:color w:val="auto"/>
                      <w:highlight w:val="none"/>
                    </w:rPr>
                  </w:pPr>
                </w:p>
              </w:tc>
              <w:tc>
                <w:tcPr>
                  <w:tcW w:w="1383" w:type="dxa"/>
                  <w:vMerge w:val="restart"/>
                  <w:tcBorders>
                    <w:tl2br w:val="nil"/>
                    <w:tr2bl w:val="nil"/>
                  </w:tcBorders>
                  <w:vAlign w:val="center"/>
                </w:tcPr>
                <w:p>
                  <w:pPr>
                    <w:pStyle w:val="113"/>
                    <w:rPr>
                      <w:rFonts w:hint="default" w:ascii="Times New Roman" w:hAnsi="Times New Roman" w:eastAsia="宋体" w:cs="Times New Roman"/>
                      <w:color w:val="auto"/>
                      <w:highlight w:val="none"/>
                    </w:rPr>
                  </w:pPr>
                </w:p>
              </w:tc>
              <w:tc>
                <w:tcPr>
                  <w:tcW w:w="1465" w:type="dxa"/>
                  <w:vMerge w:val="restart"/>
                  <w:tcBorders>
                    <w:tl2br w:val="nil"/>
                    <w:tr2bl w:val="nil"/>
                  </w:tcBorders>
                  <w:vAlign w:val="center"/>
                </w:tcPr>
                <w:p>
                  <w:pPr>
                    <w:pStyle w:val="113"/>
                    <w:rPr>
                      <w:rFonts w:hint="default" w:ascii="Times New Roman" w:hAnsi="Times New Roman" w:eastAsia="宋体" w:cs="Times New Roman"/>
                      <w:color w:val="auto"/>
                      <w:highlight w:val="none"/>
                    </w:rPr>
                  </w:pPr>
                </w:p>
              </w:tc>
              <w:tc>
                <w:tcPr>
                  <w:tcW w:w="2906" w:type="dxa"/>
                  <w:gridSpan w:val="3"/>
                  <w:tcBorders>
                    <w:tl2br w:val="nil"/>
                    <w:tr2bl w:val="nil"/>
                  </w:tcBorders>
                  <w:vAlign w:val="center"/>
                </w:tcPr>
                <w:p>
                  <w:pPr>
                    <w:pStyle w:val="113"/>
                    <w:rPr>
                      <w:rFonts w:hint="default" w:ascii="Times New Roman" w:hAnsi="Times New Roman" w:eastAsia="宋体" w:cs="Times New Roman"/>
                      <w:color w:val="auto"/>
                      <w:highlight w:val="none"/>
                    </w:rPr>
                  </w:pPr>
                </w:p>
              </w:tc>
              <w:tc>
                <w:tcPr>
                  <w:tcW w:w="3410" w:type="dxa"/>
                  <w:gridSpan w:val="3"/>
                  <w:tcBorders>
                    <w:tl2br w:val="nil"/>
                    <w:tr2bl w:val="nil"/>
                  </w:tcBorders>
                  <w:vAlign w:val="center"/>
                </w:tcPr>
                <w:p>
                  <w:pPr>
                    <w:pStyle w:val="113"/>
                    <w:rPr>
                      <w:rFonts w:hint="default" w:ascii="Times New Roman" w:hAnsi="Times New Roman" w:eastAsia="宋体" w:cs="Times New Roman"/>
                      <w:color w:val="auto"/>
                      <w:highlight w:val="none"/>
                    </w:rPr>
                  </w:pPr>
                </w:p>
              </w:tc>
              <w:tc>
                <w:tcPr>
                  <w:tcW w:w="2154" w:type="dxa"/>
                  <w:vMerge w:val="restart"/>
                  <w:tcBorders>
                    <w:tl2br w:val="nil"/>
                    <w:tr2bl w:val="nil"/>
                  </w:tcBorders>
                  <w:vAlign w:val="center"/>
                </w:tcPr>
                <w:p>
                  <w:pPr>
                    <w:pStyle w:val="113"/>
                    <w:rPr>
                      <w:rFonts w:hint="default" w:ascii="Times New Roman" w:hAnsi="Times New Roman" w:eastAsia="宋体" w:cs="Times New Roman"/>
                      <w:color w:val="auto"/>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62" w:type="dxa"/>
                  <w:vMerge w:val="continue"/>
                  <w:tcBorders>
                    <w:tl2br w:val="nil"/>
                    <w:tr2bl w:val="nil"/>
                  </w:tcBorders>
                  <w:vAlign w:val="center"/>
                </w:tcPr>
                <w:p>
                  <w:pPr>
                    <w:pStyle w:val="113"/>
                    <w:rPr>
                      <w:rFonts w:hint="default" w:ascii="Times New Roman" w:hAnsi="Times New Roman" w:eastAsia="宋体" w:cs="Times New Roman"/>
                      <w:color w:val="auto"/>
                      <w:highlight w:val="none"/>
                    </w:rPr>
                  </w:pPr>
                </w:p>
              </w:tc>
              <w:tc>
                <w:tcPr>
                  <w:tcW w:w="1406" w:type="dxa"/>
                  <w:vMerge w:val="continue"/>
                  <w:tcBorders>
                    <w:tl2br w:val="nil"/>
                    <w:tr2bl w:val="nil"/>
                  </w:tcBorders>
                  <w:vAlign w:val="center"/>
                </w:tcPr>
                <w:p>
                  <w:pPr>
                    <w:pStyle w:val="113"/>
                    <w:rPr>
                      <w:rFonts w:hint="default" w:ascii="Times New Roman" w:hAnsi="Times New Roman" w:eastAsia="宋体" w:cs="Times New Roman"/>
                      <w:color w:val="auto"/>
                      <w:highlight w:val="none"/>
                    </w:rPr>
                  </w:pPr>
                </w:p>
              </w:tc>
              <w:tc>
                <w:tcPr>
                  <w:tcW w:w="1383" w:type="dxa"/>
                  <w:vMerge w:val="continue"/>
                  <w:tcBorders>
                    <w:tl2br w:val="nil"/>
                    <w:tr2bl w:val="nil"/>
                  </w:tcBorders>
                  <w:vAlign w:val="center"/>
                </w:tcPr>
                <w:p>
                  <w:pPr>
                    <w:pStyle w:val="113"/>
                    <w:rPr>
                      <w:rFonts w:hint="default" w:ascii="Times New Roman" w:hAnsi="Times New Roman" w:eastAsia="宋体" w:cs="Times New Roman"/>
                      <w:color w:val="auto"/>
                      <w:highlight w:val="none"/>
                    </w:rPr>
                  </w:pPr>
                </w:p>
              </w:tc>
              <w:tc>
                <w:tcPr>
                  <w:tcW w:w="1465" w:type="dxa"/>
                  <w:vMerge w:val="continue"/>
                  <w:tcBorders>
                    <w:tl2br w:val="nil"/>
                    <w:tr2bl w:val="nil"/>
                  </w:tcBorders>
                  <w:vAlign w:val="center"/>
                </w:tcPr>
                <w:p>
                  <w:pPr>
                    <w:pStyle w:val="113"/>
                    <w:rPr>
                      <w:rFonts w:hint="default" w:ascii="Times New Roman" w:hAnsi="Times New Roman" w:eastAsia="宋体" w:cs="Times New Roman"/>
                      <w:color w:val="auto"/>
                      <w:highlight w:val="none"/>
                    </w:rPr>
                  </w:pPr>
                </w:p>
              </w:tc>
              <w:tc>
                <w:tcPr>
                  <w:tcW w:w="914" w:type="dxa"/>
                  <w:tcBorders>
                    <w:tl2br w:val="nil"/>
                    <w:tr2bl w:val="nil"/>
                  </w:tcBorders>
                  <w:vAlign w:val="center"/>
                </w:tcPr>
                <w:p>
                  <w:pPr>
                    <w:pStyle w:val="113"/>
                    <w:rPr>
                      <w:rFonts w:hint="default" w:ascii="Times New Roman" w:hAnsi="Times New Roman" w:eastAsia="宋体" w:cs="Times New Roman"/>
                      <w:color w:val="auto"/>
                      <w:highlight w:val="none"/>
                    </w:rPr>
                  </w:pPr>
                </w:p>
              </w:tc>
              <w:tc>
                <w:tcPr>
                  <w:tcW w:w="1008" w:type="dxa"/>
                  <w:tcBorders>
                    <w:tl2br w:val="nil"/>
                    <w:tr2bl w:val="nil"/>
                  </w:tcBorders>
                  <w:vAlign w:val="center"/>
                </w:tcPr>
                <w:p>
                  <w:pPr>
                    <w:pStyle w:val="113"/>
                    <w:rPr>
                      <w:rFonts w:hint="default" w:ascii="Times New Roman" w:hAnsi="Times New Roman" w:eastAsia="宋体" w:cs="Times New Roman"/>
                      <w:color w:val="auto"/>
                      <w:highlight w:val="none"/>
                    </w:rPr>
                  </w:pPr>
                </w:p>
              </w:tc>
              <w:tc>
                <w:tcPr>
                  <w:tcW w:w="984" w:type="dxa"/>
                  <w:tcBorders>
                    <w:tl2br w:val="nil"/>
                    <w:tr2bl w:val="nil"/>
                  </w:tcBorders>
                  <w:vAlign w:val="center"/>
                </w:tcPr>
                <w:p>
                  <w:pPr>
                    <w:pStyle w:val="113"/>
                    <w:rPr>
                      <w:rFonts w:hint="default" w:ascii="Times New Roman" w:hAnsi="Times New Roman" w:eastAsia="宋体" w:cs="Times New Roman"/>
                      <w:color w:val="auto"/>
                      <w:highlight w:val="none"/>
                    </w:rPr>
                  </w:pPr>
                </w:p>
              </w:tc>
              <w:tc>
                <w:tcPr>
                  <w:tcW w:w="867" w:type="dxa"/>
                  <w:tcBorders>
                    <w:tl2br w:val="nil"/>
                    <w:tr2bl w:val="nil"/>
                  </w:tcBorders>
                  <w:vAlign w:val="center"/>
                </w:tcPr>
                <w:p>
                  <w:pPr>
                    <w:pStyle w:val="113"/>
                    <w:rPr>
                      <w:rFonts w:hint="default" w:ascii="Times New Roman" w:hAnsi="Times New Roman" w:eastAsia="宋体" w:cs="Times New Roman"/>
                      <w:color w:val="auto"/>
                      <w:highlight w:val="none"/>
                    </w:rPr>
                  </w:pPr>
                </w:p>
              </w:tc>
              <w:tc>
                <w:tcPr>
                  <w:tcW w:w="1243" w:type="dxa"/>
                  <w:tcBorders>
                    <w:tl2br w:val="nil"/>
                    <w:tr2bl w:val="nil"/>
                  </w:tcBorders>
                  <w:vAlign w:val="center"/>
                </w:tcPr>
                <w:p>
                  <w:pPr>
                    <w:pStyle w:val="113"/>
                    <w:rPr>
                      <w:rFonts w:hint="default" w:ascii="Times New Roman" w:hAnsi="Times New Roman" w:eastAsia="宋体" w:cs="Times New Roman"/>
                      <w:color w:val="auto"/>
                      <w:highlight w:val="none"/>
                    </w:rPr>
                  </w:pPr>
                </w:p>
              </w:tc>
              <w:tc>
                <w:tcPr>
                  <w:tcW w:w="1300" w:type="dxa"/>
                  <w:tcBorders>
                    <w:tl2br w:val="nil"/>
                    <w:tr2bl w:val="nil"/>
                  </w:tcBorders>
                  <w:vAlign w:val="center"/>
                </w:tcPr>
                <w:p>
                  <w:pPr>
                    <w:pStyle w:val="113"/>
                    <w:rPr>
                      <w:rFonts w:hint="default" w:ascii="Times New Roman" w:hAnsi="Times New Roman" w:eastAsia="宋体" w:cs="Times New Roman"/>
                      <w:color w:val="auto"/>
                      <w:highlight w:val="none"/>
                    </w:rPr>
                  </w:pPr>
                </w:p>
              </w:tc>
              <w:tc>
                <w:tcPr>
                  <w:tcW w:w="2154" w:type="dxa"/>
                  <w:vMerge w:val="continue"/>
                  <w:tcBorders>
                    <w:tl2br w:val="nil"/>
                    <w:tr2bl w:val="nil"/>
                  </w:tcBorders>
                  <w:vAlign w:val="center"/>
                </w:tcPr>
                <w:p>
                  <w:pPr>
                    <w:pStyle w:val="113"/>
                    <w:rPr>
                      <w:rFonts w:hint="default" w:ascii="Times New Roman" w:hAnsi="Times New Roman" w:eastAsia="宋体" w:cs="Times New Roman"/>
                      <w:color w:val="auto"/>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62" w:type="dxa"/>
                  <w:tcBorders>
                    <w:tl2br w:val="nil"/>
                    <w:tr2bl w:val="nil"/>
                  </w:tcBorders>
                  <w:vAlign w:val="center"/>
                </w:tcPr>
                <w:p>
                  <w:pPr>
                    <w:pStyle w:val="113"/>
                    <w:rPr>
                      <w:rFonts w:hint="default" w:ascii="Times New Roman" w:hAnsi="Times New Roman" w:eastAsia="宋体" w:cs="Times New Roman"/>
                      <w:color w:val="auto"/>
                      <w:highlight w:val="none"/>
                    </w:rPr>
                  </w:pPr>
                </w:p>
              </w:tc>
              <w:tc>
                <w:tcPr>
                  <w:tcW w:w="1406" w:type="dxa"/>
                  <w:tcBorders>
                    <w:tl2br w:val="nil"/>
                    <w:tr2bl w:val="nil"/>
                  </w:tcBorders>
                  <w:vAlign w:val="center"/>
                </w:tcPr>
                <w:p>
                  <w:pPr>
                    <w:pStyle w:val="113"/>
                    <w:rPr>
                      <w:rFonts w:hint="default" w:ascii="Times New Roman" w:hAnsi="Times New Roman" w:eastAsia="宋体" w:cs="Times New Roman"/>
                      <w:color w:val="auto"/>
                      <w:highlight w:val="none"/>
                    </w:rPr>
                  </w:pPr>
                </w:p>
              </w:tc>
              <w:tc>
                <w:tcPr>
                  <w:tcW w:w="1383" w:type="dxa"/>
                  <w:tcBorders>
                    <w:tl2br w:val="nil"/>
                    <w:tr2bl w:val="nil"/>
                  </w:tcBorders>
                  <w:vAlign w:val="center"/>
                </w:tcPr>
                <w:p>
                  <w:pPr>
                    <w:pStyle w:val="113"/>
                    <w:rPr>
                      <w:rFonts w:hint="default" w:ascii="Times New Roman" w:hAnsi="Times New Roman" w:eastAsia="宋体" w:cs="Times New Roman"/>
                      <w:color w:val="auto"/>
                      <w:highlight w:val="none"/>
                    </w:rPr>
                  </w:pPr>
                </w:p>
              </w:tc>
              <w:tc>
                <w:tcPr>
                  <w:tcW w:w="1465" w:type="dxa"/>
                  <w:tcBorders>
                    <w:tl2br w:val="nil"/>
                    <w:tr2bl w:val="nil"/>
                  </w:tcBorders>
                  <w:vAlign w:val="center"/>
                </w:tcPr>
                <w:p>
                  <w:pPr>
                    <w:pStyle w:val="113"/>
                    <w:rPr>
                      <w:rFonts w:hint="default" w:ascii="Times New Roman" w:hAnsi="Times New Roman" w:eastAsia="宋体" w:cs="Times New Roman"/>
                      <w:color w:val="auto"/>
                      <w:highlight w:val="none"/>
                    </w:rPr>
                  </w:pPr>
                </w:p>
              </w:tc>
              <w:tc>
                <w:tcPr>
                  <w:tcW w:w="914" w:type="dxa"/>
                  <w:tcBorders>
                    <w:tl2br w:val="nil"/>
                    <w:tr2bl w:val="nil"/>
                  </w:tcBorders>
                  <w:vAlign w:val="center"/>
                </w:tcPr>
                <w:p>
                  <w:pPr>
                    <w:pStyle w:val="113"/>
                    <w:rPr>
                      <w:rFonts w:hint="default" w:ascii="Times New Roman" w:hAnsi="Times New Roman" w:eastAsia="宋体" w:cs="Times New Roman"/>
                      <w:color w:val="auto"/>
                      <w:highlight w:val="none"/>
                    </w:rPr>
                  </w:pPr>
                </w:p>
              </w:tc>
              <w:tc>
                <w:tcPr>
                  <w:tcW w:w="1008" w:type="dxa"/>
                  <w:tcBorders>
                    <w:tl2br w:val="nil"/>
                    <w:tr2bl w:val="nil"/>
                  </w:tcBorders>
                  <w:vAlign w:val="center"/>
                </w:tcPr>
                <w:p>
                  <w:pPr>
                    <w:pStyle w:val="113"/>
                    <w:rPr>
                      <w:rFonts w:hint="default" w:ascii="Times New Roman" w:hAnsi="Times New Roman" w:eastAsia="宋体" w:cs="Times New Roman"/>
                      <w:color w:val="auto"/>
                      <w:highlight w:val="none"/>
                    </w:rPr>
                  </w:pPr>
                </w:p>
              </w:tc>
              <w:tc>
                <w:tcPr>
                  <w:tcW w:w="984" w:type="dxa"/>
                  <w:tcBorders>
                    <w:tl2br w:val="nil"/>
                    <w:tr2bl w:val="nil"/>
                  </w:tcBorders>
                  <w:vAlign w:val="center"/>
                </w:tcPr>
                <w:p>
                  <w:pPr>
                    <w:pStyle w:val="113"/>
                    <w:rPr>
                      <w:rFonts w:hint="default" w:ascii="Times New Roman" w:hAnsi="Times New Roman" w:eastAsia="宋体" w:cs="Times New Roman"/>
                      <w:color w:val="auto"/>
                      <w:highlight w:val="none"/>
                    </w:rPr>
                  </w:pPr>
                </w:p>
              </w:tc>
              <w:tc>
                <w:tcPr>
                  <w:tcW w:w="867" w:type="dxa"/>
                  <w:tcBorders>
                    <w:tl2br w:val="nil"/>
                    <w:tr2bl w:val="nil"/>
                  </w:tcBorders>
                  <w:vAlign w:val="center"/>
                </w:tcPr>
                <w:p>
                  <w:pPr>
                    <w:pStyle w:val="113"/>
                    <w:rPr>
                      <w:rFonts w:hint="default" w:ascii="Times New Roman" w:hAnsi="Times New Roman" w:eastAsia="宋体" w:cs="Times New Roman"/>
                      <w:color w:val="auto"/>
                      <w:highlight w:val="none"/>
                    </w:rPr>
                  </w:pPr>
                </w:p>
              </w:tc>
              <w:tc>
                <w:tcPr>
                  <w:tcW w:w="1243" w:type="dxa"/>
                  <w:tcBorders>
                    <w:tl2br w:val="nil"/>
                    <w:tr2bl w:val="nil"/>
                  </w:tcBorders>
                  <w:vAlign w:val="center"/>
                </w:tcPr>
                <w:p>
                  <w:pPr>
                    <w:pStyle w:val="113"/>
                    <w:rPr>
                      <w:rFonts w:hint="default" w:ascii="Times New Roman" w:hAnsi="Times New Roman" w:eastAsia="宋体" w:cs="Times New Roman"/>
                      <w:color w:val="auto"/>
                      <w:highlight w:val="none"/>
                    </w:rPr>
                  </w:pPr>
                </w:p>
              </w:tc>
              <w:tc>
                <w:tcPr>
                  <w:tcW w:w="1300" w:type="dxa"/>
                  <w:tcBorders>
                    <w:tl2br w:val="nil"/>
                    <w:tr2bl w:val="nil"/>
                  </w:tcBorders>
                  <w:vAlign w:val="center"/>
                </w:tcPr>
                <w:p>
                  <w:pPr>
                    <w:pStyle w:val="113"/>
                    <w:rPr>
                      <w:rFonts w:hint="default" w:ascii="Times New Roman" w:hAnsi="Times New Roman" w:eastAsia="宋体" w:cs="Times New Roman"/>
                      <w:color w:val="auto"/>
                      <w:highlight w:val="none"/>
                    </w:rPr>
                  </w:pPr>
                </w:p>
              </w:tc>
              <w:tc>
                <w:tcPr>
                  <w:tcW w:w="2154" w:type="dxa"/>
                  <w:tcBorders>
                    <w:tl2br w:val="nil"/>
                    <w:tr2bl w:val="nil"/>
                  </w:tcBorders>
                  <w:vAlign w:val="center"/>
                </w:tcPr>
                <w:p>
                  <w:pPr>
                    <w:pStyle w:val="113"/>
                    <w:jc w:val="both"/>
                    <w:rPr>
                      <w:rFonts w:hint="default" w:ascii="Times New Roman" w:hAnsi="Times New Roman" w:eastAsia="宋体" w:cs="Times New Roman"/>
                      <w:color w:val="auto"/>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62" w:type="dxa"/>
                  <w:tcBorders>
                    <w:tl2br w:val="nil"/>
                    <w:tr2bl w:val="nil"/>
                  </w:tcBorders>
                  <w:vAlign w:val="center"/>
                </w:tcPr>
                <w:p>
                  <w:pPr>
                    <w:pStyle w:val="113"/>
                    <w:rPr>
                      <w:rFonts w:hint="default" w:ascii="Times New Roman" w:hAnsi="Times New Roman" w:eastAsia="宋体" w:cs="Times New Roman"/>
                      <w:color w:val="auto"/>
                      <w:highlight w:val="none"/>
                    </w:rPr>
                  </w:pPr>
                </w:p>
              </w:tc>
              <w:tc>
                <w:tcPr>
                  <w:tcW w:w="1406" w:type="dxa"/>
                  <w:tcBorders>
                    <w:tl2br w:val="nil"/>
                    <w:tr2bl w:val="nil"/>
                  </w:tcBorders>
                  <w:vAlign w:val="center"/>
                </w:tcPr>
                <w:p>
                  <w:pPr>
                    <w:pStyle w:val="113"/>
                    <w:rPr>
                      <w:rFonts w:hint="default" w:ascii="Times New Roman" w:hAnsi="Times New Roman" w:eastAsia="宋体" w:cs="Times New Roman"/>
                      <w:color w:val="auto"/>
                      <w:highlight w:val="none"/>
                    </w:rPr>
                  </w:pPr>
                </w:p>
              </w:tc>
              <w:tc>
                <w:tcPr>
                  <w:tcW w:w="1383" w:type="dxa"/>
                  <w:tcBorders>
                    <w:tl2br w:val="nil"/>
                    <w:tr2bl w:val="nil"/>
                  </w:tcBorders>
                  <w:vAlign w:val="center"/>
                </w:tcPr>
                <w:p>
                  <w:pPr>
                    <w:pStyle w:val="113"/>
                    <w:rPr>
                      <w:rFonts w:hint="default" w:ascii="Times New Roman" w:hAnsi="Times New Roman" w:eastAsia="宋体" w:cs="Times New Roman"/>
                      <w:color w:val="auto"/>
                      <w:highlight w:val="none"/>
                    </w:rPr>
                  </w:pPr>
                </w:p>
              </w:tc>
              <w:tc>
                <w:tcPr>
                  <w:tcW w:w="1465" w:type="dxa"/>
                  <w:tcBorders>
                    <w:tl2br w:val="nil"/>
                    <w:tr2bl w:val="nil"/>
                  </w:tcBorders>
                  <w:vAlign w:val="center"/>
                </w:tcPr>
                <w:p>
                  <w:pPr>
                    <w:pStyle w:val="113"/>
                    <w:rPr>
                      <w:rFonts w:hint="default" w:ascii="Times New Roman" w:hAnsi="Times New Roman" w:eastAsia="宋体" w:cs="Times New Roman"/>
                      <w:color w:val="auto"/>
                      <w:highlight w:val="none"/>
                    </w:rPr>
                  </w:pPr>
                </w:p>
              </w:tc>
              <w:tc>
                <w:tcPr>
                  <w:tcW w:w="914" w:type="dxa"/>
                  <w:tcBorders>
                    <w:tl2br w:val="nil"/>
                    <w:tr2bl w:val="nil"/>
                  </w:tcBorders>
                  <w:vAlign w:val="center"/>
                </w:tcPr>
                <w:p>
                  <w:pPr>
                    <w:pStyle w:val="113"/>
                    <w:rPr>
                      <w:rFonts w:hint="default" w:ascii="Times New Roman" w:hAnsi="Times New Roman" w:eastAsia="宋体" w:cs="Times New Roman"/>
                      <w:color w:val="auto"/>
                      <w:highlight w:val="none"/>
                    </w:rPr>
                  </w:pPr>
                </w:p>
              </w:tc>
              <w:tc>
                <w:tcPr>
                  <w:tcW w:w="1008" w:type="dxa"/>
                  <w:tcBorders>
                    <w:tl2br w:val="nil"/>
                    <w:tr2bl w:val="nil"/>
                  </w:tcBorders>
                  <w:vAlign w:val="center"/>
                </w:tcPr>
                <w:p>
                  <w:pPr>
                    <w:pStyle w:val="113"/>
                    <w:rPr>
                      <w:rFonts w:hint="default" w:ascii="Times New Roman" w:hAnsi="Times New Roman" w:eastAsia="宋体" w:cs="Times New Roman"/>
                      <w:color w:val="auto"/>
                      <w:highlight w:val="none"/>
                    </w:rPr>
                  </w:pPr>
                </w:p>
              </w:tc>
              <w:tc>
                <w:tcPr>
                  <w:tcW w:w="984" w:type="dxa"/>
                  <w:tcBorders>
                    <w:tl2br w:val="nil"/>
                    <w:tr2bl w:val="nil"/>
                  </w:tcBorders>
                  <w:vAlign w:val="center"/>
                </w:tcPr>
                <w:p>
                  <w:pPr>
                    <w:pStyle w:val="113"/>
                    <w:rPr>
                      <w:rFonts w:hint="default" w:ascii="Times New Roman" w:hAnsi="Times New Roman" w:eastAsia="宋体" w:cs="Times New Roman"/>
                      <w:color w:val="auto"/>
                      <w:highlight w:val="none"/>
                    </w:rPr>
                  </w:pPr>
                </w:p>
              </w:tc>
              <w:tc>
                <w:tcPr>
                  <w:tcW w:w="867" w:type="dxa"/>
                  <w:tcBorders>
                    <w:tl2br w:val="nil"/>
                    <w:tr2bl w:val="nil"/>
                  </w:tcBorders>
                  <w:vAlign w:val="center"/>
                </w:tcPr>
                <w:p>
                  <w:pPr>
                    <w:pStyle w:val="113"/>
                    <w:rPr>
                      <w:rFonts w:hint="default" w:ascii="Times New Roman" w:hAnsi="Times New Roman" w:eastAsia="宋体" w:cs="Times New Roman"/>
                      <w:color w:val="auto"/>
                      <w:highlight w:val="none"/>
                    </w:rPr>
                  </w:pPr>
                </w:p>
              </w:tc>
              <w:tc>
                <w:tcPr>
                  <w:tcW w:w="1243" w:type="dxa"/>
                  <w:tcBorders>
                    <w:tl2br w:val="nil"/>
                    <w:tr2bl w:val="nil"/>
                  </w:tcBorders>
                  <w:vAlign w:val="center"/>
                </w:tcPr>
                <w:p>
                  <w:pPr>
                    <w:pStyle w:val="113"/>
                    <w:rPr>
                      <w:rFonts w:hint="default" w:ascii="Times New Roman" w:hAnsi="Times New Roman" w:eastAsia="宋体" w:cs="Times New Roman"/>
                      <w:color w:val="auto"/>
                      <w:highlight w:val="none"/>
                    </w:rPr>
                  </w:pPr>
                </w:p>
              </w:tc>
              <w:tc>
                <w:tcPr>
                  <w:tcW w:w="1300" w:type="dxa"/>
                  <w:tcBorders>
                    <w:tl2br w:val="nil"/>
                    <w:tr2bl w:val="nil"/>
                  </w:tcBorders>
                  <w:vAlign w:val="center"/>
                </w:tcPr>
                <w:p>
                  <w:pPr>
                    <w:pStyle w:val="113"/>
                    <w:rPr>
                      <w:rFonts w:hint="default" w:ascii="Times New Roman" w:hAnsi="Times New Roman" w:eastAsia="宋体" w:cs="Times New Roman"/>
                      <w:color w:val="auto"/>
                      <w:highlight w:val="none"/>
                    </w:rPr>
                  </w:pPr>
                </w:p>
              </w:tc>
              <w:tc>
                <w:tcPr>
                  <w:tcW w:w="2154" w:type="dxa"/>
                  <w:tcBorders>
                    <w:tl2br w:val="nil"/>
                    <w:tr2bl w:val="nil"/>
                  </w:tcBorders>
                  <w:vAlign w:val="center"/>
                </w:tcPr>
                <w:p>
                  <w:pPr>
                    <w:pStyle w:val="113"/>
                    <w:rPr>
                      <w:rFonts w:hint="default" w:ascii="Times New Roman" w:hAnsi="Times New Roman" w:eastAsia="宋体" w:cs="Times New Roman"/>
                      <w:color w:val="auto"/>
                      <w:highlight w:val="none"/>
                    </w:rPr>
                  </w:pPr>
                </w:p>
              </w:tc>
            </w:tr>
          </w:tbl>
          <w:p>
            <w:pPr>
              <w:ind w:firstLine="0" w:firstLineChars="0"/>
              <w:rPr>
                <w:rFonts w:hint="default" w:ascii="Times New Roman" w:hAnsi="Times New Roman" w:eastAsia="宋体" w:cs="Times New Roman"/>
                <w:color w:val="auto"/>
                <w:highlight w:val="none"/>
              </w:rPr>
            </w:pPr>
          </w:p>
          <w:p>
            <w:pPr>
              <w:pStyle w:val="6"/>
              <w:widowControl w:val="0"/>
              <w:jc w:val="both"/>
              <w:outlineLvl w:val="4"/>
              <w:rPr>
                <w:rFonts w:hint="default" w:ascii="Times New Roman" w:hAnsi="Times New Roman" w:eastAsia="宋体" w:cs="Times New Roman"/>
                <w:color w:val="auto"/>
                <w:highlight w:val="none"/>
              </w:rPr>
            </w:pPr>
          </w:p>
        </w:tc>
      </w:tr>
    </w:tbl>
    <w:p>
      <w:pPr>
        <w:ind w:firstLine="480"/>
        <w:rPr>
          <w:snapToGrid w:val="0"/>
          <w:color w:val="auto"/>
          <w:highlight w:val="none"/>
        </w:rPr>
        <w:sectPr>
          <w:pgSz w:w="16838" w:h="11906" w:orient="landscape"/>
          <w:pgMar w:top="1134" w:right="1418" w:bottom="1134" w:left="1418" w:header="851" w:footer="851" w:gutter="0"/>
          <w:pgBorders>
            <w:top w:val="none" w:sz="0" w:space="0"/>
            <w:left w:val="none" w:sz="0" w:space="0"/>
            <w:bottom w:val="none" w:sz="0" w:space="0"/>
            <w:right w:val="none" w:sz="0" w:space="0"/>
          </w:pgBorders>
          <w:cols w:space="720" w:num="1"/>
          <w:docGrid w:linePitch="326" w:charSpace="0"/>
        </w:sectPr>
      </w:pPr>
    </w:p>
    <w:tbl>
      <w:tblPr>
        <w:tblStyle w:val="50"/>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86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运营</w:t>
            </w:r>
          </w:p>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期环</w:t>
            </w:r>
          </w:p>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境影</w:t>
            </w:r>
          </w:p>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响和</w:t>
            </w:r>
          </w:p>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保护</w:t>
            </w:r>
          </w:p>
          <w:p>
            <w:pPr>
              <w:ind w:firstLine="0" w:firstLineChars="0"/>
              <w:jc w:val="center"/>
              <w:rPr>
                <w:rFonts w:hint="default" w:ascii="Times New Roman" w:hAnsi="Times New Roman" w:eastAsia="宋体" w:cs="Times New Roman"/>
                <w:snapToGrid w:val="0"/>
                <w:color w:val="auto"/>
                <w:highlight w:val="none"/>
              </w:rPr>
            </w:pPr>
            <w:r>
              <w:rPr>
                <w:rFonts w:hint="default" w:ascii="Times New Roman" w:hAnsi="Times New Roman" w:eastAsia="宋体" w:cs="Times New Roman"/>
                <w:color w:val="auto"/>
                <w:sz w:val="21"/>
                <w:szCs w:val="21"/>
                <w:highlight w:val="none"/>
              </w:rPr>
              <w:t>措施</w:t>
            </w:r>
          </w:p>
        </w:tc>
        <w:tc>
          <w:tcPr>
            <w:tcW w:w="8634" w:type="dxa"/>
          </w:tcPr>
          <w:p>
            <w:pPr>
              <w:pStyle w:val="3"/>
              <w:outlineLvl w:val="1"/>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4.4噪声</w:t>
            </w:r>
          </w:p>
          <w:p>
            <w:pPr>
              <w:pStyle w:val="4"/>
              <w:outlineLvl w:val="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4.4.1噪声源强</w:t>
            </w:r>
          </w:p>
          <w:p>
            <w:pPr>
              <w:bidi w:val="0"/>
              <w:rPr>
                <w:rStyle w:val="58"/>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本项目生产过程噪声主要来源于机械设备的运行噪声，机械设备噪声源强为85-11</w:t>
            </w:r>
            <w:r>
              <w:rPr>
                <w:rFonts w:hint="eastAsia" w:cs="Times New Roman"/>
                <w:color w:val="auto"/>
                <w:highlight w:val="none"/>
                <w:lang w:val="en-US" w:eastAsia="zh-CN"/>
              </w:rPr>
              <w:t>0</w:t>
            </w:r>
            <w:r>
              <w:rPr>
                <w:rFonts w:hint="default" w:ascii="Times New Roman" w:hAnsi="Times New Roman" w:eastAsia="宋体" w:cs="Times New Roman"/>
                <w:color w:val="auto"/>
                <w:highlight w:val="none"/>
              </w:rPr>
              <w:t>dB（A），运输车辆噪声源强为60～65dB（A），对运营期间的生产噪声采取隔声、设备基础减振等措施进行降噪。工业企业噪声源强调查清单（室内声源）见附表2。</w:t>
            </w:r>
          </w:p>
          <w:p>
            <w:pPr>
              <w:pStyle w:val="4"/>
              <w:outlineLvl w:val="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4.4.2噪声影响分析</w:t>
            </w:r>
          </w:p>
          <w:p>
            <w:pPr>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（1）预测模式</w:t>
            </w:r>
          </w:p>
          <w:p>
            <w:pPr>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根据《环境影响评价技术导则 声环境》（HJ2.4-2021）对建设项目运营期时所有设备产生的噪声对周边声环境进行预测。</w:t>
            </w:r>
          </w:p>
          <w:p>
            <w:pPr>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①室内声源等效室外声源声功率级计算方法</w:t>
            </w:r>
          </w:p>
          <w:p>
            <w:pPr>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计算某一室内声源靠近围护结构处产生的倍频带声压级或A声级：</w:t>
            </w:r>
          </w:p>
          <w:p>
            <w:pPr>
              <w:bidi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drawing>
                <wp:inline distT="0" distB="0" distL="114300" distR="114300">
                  <wp:extent cx="1533525" cy="400050"/>
                  <wp:effectExtent l="0" t="0" r="9525" b="0"/>
                  <wp:docPr id="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
                          <pic:cNvPicPr>
                            <a:picLocks noChangeAspect="1"/>
                          </pic:cNvPicPr>
                        </pic:nvPicPr>
                        <pic:blipFill>
                          <a:blip r:embed="rId27"/>
                          <a:stretch>
                            <a:fillRect/>
                          </a:stretch>
                        </pic:blipFill>
                        <pic:spPr>
                          <a:xfrm>
                            <a:off x="0" y="0"/>
                            <a:ext cx="1533525" cy="400050"/>
                          </a:xfrm>
                          <a:prstGeom prst="rect">
                            <a:avLst/>
                          </a:prstGeom>
                          <a:noFill/>
                          <a:ln>
                            <a:noFill/>
                          </a:ln>
                        </pic:spPr>
                      </pic:pic>
                    </a:graphicData>
                  </a:graphic>
                </wp:inline>
              </w:drawing>
            </w:r>
          </w:p>
          <w:p>
            <w:pPr>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式中：Lp1——靠近开口处（或窗户）室内某倍频带的声压级或A声级，dB；</w:t>
            </w:r>
          </w:p>
          <w:p>
            <w:pPr>
              <w:bidi w:val="0"/>
              <w:ind w:firstLine="1200" w:firstLineChars="5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Lw——点声源声功率级（A计权或倍频带），dB；</w:t>
            </w:r>
          </w:p>
          <w:p>
            <w:pPr>
              <w:bidi w:val="0"/>
              <w:ind w:firstLine="1200" w:firstLineChars="5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Q——指向性因数；</w:t>
            </w:r>
          </w:p>
          <w:p>
            <w:pPr>
              <w:bidi w:val="0"/>
              <w:ind w:firstLine="1200" w:firstLineChars="5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R——房间常数；</w:t>
            </w:r>
          </w:p>
          <w:p>
            <w:pPr>
              <w:bidi w:val="0"/>
              <w:ind w:firstLine="1200" w:firstLineChars="5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r——声源到靠近围护结构某点处的距离，m。</w:t>
            </w:r>
          </w:p>
          <w:p>
            <w:pPr>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计算出所有室内声源在围护结构处产生的i倍频带叠加声压级：</w:t>
            </w:r>
          </w:p>
          <w:p>
            <w:pPr>
              <w:bidi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drawing>
                <wp:inline distT="0" distB="0" distL="114300" distR="114300">
                  <wp:extent cx="1524000" cy="457200"/>
                  <wp:effectExtent l="0" t="0" r="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4"/>
                          <pic:cNvPicPr>
                            <a:picLocks noChangeAspect="1"/>
                          </pic:cNvPicPr>
                        </pic:nvPicPr>
                        <pic:blipFill>
                          <a:blip r:embed="rId28"/>
                          <a:stretch>
                            <a:fillRect/>
                          </a:stretch>
                        </pic:blipFill>
                        <pic:spPr>
                          <a:xfrm>
                            <a:off x="0" y="0"/>
                            <a:ext cx="1524000" cy="457200"/>
                          </a:xfrm>
                          <a:prstGeom prst="rect">
                            <a:avLst/>
                          </a:prstGeom>
                          <a:noFill/>
                          <a:ln>
                            <a:noFill/>
                          </a:ln>
                        </pic:spPr>
                      </pic:pic>
                    </a:graphicData>
                  </a:graphic>
                </wp:inline>
              </w:drawing>
            </w:r>
          </w:p>
          <w:p>
            <w:pPr>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式中：Lp1i (T)——靠近围护结构处室内N个声源i倍频带的叠加声压级，dB；</w:t>
            </w:r>
          </w:p>
          <w:p>
            <w:pPr>
              <w:bidi w:val="0"/>
              <w:ind w:firstLine="1200" w:firstLineChars="5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Lp1ij——室内j声源i倍频带的声压级，dB；</w:t>
            </w:r>
          </w:p>
          <w:p>
            <w:pPr>
              <w:pStyle w:val="14"/>
              <w:spacing w:line="360" w:lineRule="auto"/>
              <w:ind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N——室内声源总数。</w:t>
            </w:r>
          </w:p>
          <w:p>
            <w:pPr>
              <w:pStyle w:val="14"/>
              <w:spacing w:line="36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计算出靠近室外围护结构处的声压级：</w:t>
            </w:r>
          </w:p>
          <w:p>
            <w:pPr>
              <w:ind w:firstLine="48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4"/>
                <w:highlight w:val="none"/>
              </w:rPr>
              <w:t>L</w:t>
            </w:r>
            <w:r>
              <w:rPr>
                <w:rFonts w:hint="default" w:ascii="Times New Roman" w:hAnsi="Times New Roman" w:eastAsia="宋体" w:cs="Times New Roman"/>
                <w:color w:val="auto"/>
                <w:szCs w:val="24"/>
                <w:highlight w:val="none"/>
                <w:vertAlign w:val="subscript"/>
              </w:rPr>
              <w:t>p2i</w:t>
            </w:r>
            <w:r>
              <w:rPr>
                <w:rFonts w:hint="default" w:ascii="Times New Roman" w:hAnsi="Times New Roman" w:eastAsia="宋体" w:cs="Times New Roman"/>
                <w:color w:val="auto"/>
                <w:szCs w:val="24"/>
                <w:highlight w:val="none"/>
              </w:rPr>
              <w:t>(T)=L</w:t>
            </w:r>
            <w:r>
              <w:rPr>
                <w:rFonts w:hint="default" w:ascii="Times New Roman" w:hAnsi="Times New Roman" w:eastAsia="宋体" w:cs="Times New Roman"/>
                <w:color w:val="auto"/>
                <w:szCs w:val="24"/>
                <w:highlight w:val="none"/>
                <w:vertAlign w:val="subscript"/>
              </w:rPr>
              <w:t>p1i</w:t>
            </w:r>
            <w:r>
              <w:rPr>
                <w:rFonts w:hint="default" w:ascii="Times New Roman" w:hAnsi="Times New Roman" w:eastAsia="宋体" w:cs="Times New Roman"/>
                <w:color w:val="auto"/>
                <w:szCs w:val="24"/>
                <w:highlight w:val="none"/>
              </w:rPr>
              <w:t>(T)-(TL</w:t>
            </w:r>
            <w:r>
              <w:rPr>
                <w:rFonts w:hint="default" w:ascii="Times New Roman" w:hAnsi="Times New Roman" w:eastAsia="宋体" w:cs="Times New Roman"/>
                <w:color w:val="auto"/>
                <w:szCs w:val="24"/>
                <w:highlight w:val="none"/>
                <w:vertAlign w:val="subscript"/>
              </w:rPr>
              <w:t>i</w:t>
            </w:r>
            <w:r>
              <w:rPr>
                <w:rFonts w:hint="default" w:ascii="Times New Roman" w:hAnsi="Times New Roman" w:eastAsia="宋体" w:cs="Times New Roman"/>
                <w:color w:val="auto"/>
                <w:szCs w:val="24"/>
                <w:highlight w:val="none"/>
              </w:rPr>
              <w:t>+6)</w:t>
            </w:r>
          </w:p>
          <w:p>
            <w:pPr>
              <w:pStyle w:val="14"/>
              <w:spacing w:line="36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式中：L</w:t>
            </w:r>
            <w:r>
              <w:rPr>
                <w:rFonts w:hint="default" w:ascii="Times New Roman" w:hAnsi="Times New Roman" w:eastAsia="宋体" w:cs="Times New Roman"/>
                <w:color w:val="auto"/>
                <w:sz w:val="24"/>
                <w:highlight w:val="none"/>
                <w:vertAlign w:val="subscript"/>
              </w:rPr>
              <w:t>p2i</w:t>
            </w:r>
            <w:r>
              <w:rPr>
                <w:rFonts w:hint="default" w:ascii="Times New Roman" w:hAnsi="Times New Roman" w:eastAsia="宋体" w:cs="Times New Roman"/>
                <w:color w:val="auto"/>
                <w:sz w:val="24"/>
                <w:highlight w:val="none"/>
              </w:rPr>
              <w:t>(T)——靠近围护结构处室外N个声源i倍频带的叠加声压级，dB；</w:t>
            </w:r>
          </w:p>
          <w:p>
            <w:pPr>
              <w:pStyle w:val="14"/>
              <w:spacing w:line="36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 </w:t>
            </w:r>
            <w:r>
              <w:rPr>
                <w:rFonts w:hint="eastAsia" w:cs="Times New Roman"/>
                <w:color w:val="auto"/>
                <w:sz w:val="24"/>
                <w:highlight w:val="none"/>
                <w:lang w:val="en-US" w:eastAsia="zh-CN"/>
              </w:rPr>
              <w:t xml:space="preserve">  </w:t>
            </w:r>
            <w:r>
              <w:rPr>
                <w:rFonts w:hint="default" w:ascii="Times New Roman" w:hAnsi="Times New Roman" w:eastAsia="宋体" w:cs="Times New Roman"/>
                <w:color w:val="auto"/>
                <w:sz w:val="24"/>
                <w:highlight w:val="none"/>
              </w:rPr>
              <w:t>L</w:t>
            </w:r>
            <w:r>
              <w:rPr>
                <w:rFonts w:hint="default" w:ascii="Times New Roman" w:hAnsi="Times New Roman" w:eastAsia="宋体" w:cs="Times New Roman"/>
                <w:color w:val="auto"/>
                <w:sz w:val="24"/>
                <w:highlight w:val="none"/>
                <w:vertAlign w:val="subscript"/>
              </w:rPr>
              <w:t>p1i</w:t>
            </w:r>
            <w:r>
              <w:rPr>
                <w:rFonts w:hint="default" w:ascii="Times New Roman" w:hAnsi="Times New Roman" w:eastAsia="宋体" w:cs="Times New Roman"/>
                <w:color w:val="auto"/>
                <w:sz w:val="24"/>
                <w:highlight w:val="none"/>
              </w:rPr>
              <w:t>(T)——靠近围护结构处室内N个声源i倍频带的叠加声压级，dB；</w:t>
            </w:r>
          </w:p>
          <w:p>
            <w:pPr>
              <w:bidi w:val="0"/>
              <w:ind w:firstLine="1200" w:firstLineChars="5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TLi——围护结构i倍频带的隔声量，dB。</w:t>
            </w:r>
          </w:p>
          <w:p>
            <w:pPr>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②点源衰减</w:t>
            </w:r>
          </w:p>
          <w:p>
            <w:pPr>
              <w:pStyle w:val="14"/>
              <w:ind w:firstLine="48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L(r)=L(r</w:t>
            </w:r>
            <w:r>
              <w:rPr>
                <w:rFonts w:hint="default" w:ascii="Times New Roman" w:hAnsi="Times New Roman" w:eastAsia="宋体" w:cs="Times New Roman"/>
                <w:color w:val="auto"/>
                <w:sz w:val="24"/>
                <w:highlight w:val="none"/>
                <w:vertAlign w:val="subscript"/>
              </w:rPr>
              <w:t>0</w:t>
            </w:r>
            <w:r>
              <w:rPr>
                <w:rFonts w:hint="default" w:ascii="Times New Roman" w:hAnsi="Times New Roman" w:eastAsia="宋体" w:cs="Times New Roman"/>
                <w:color w:val="auto"/>
                <w:sz w:val="24"/>
                <w:highlight w:val="none"/>
              </w:rPr>
              <w:t>)-20lg(r/r</w:t>
            </w:r>
            <w:r>
              <w:rPr>
                <w:rFonts w:hint="default" w:ascii="Times New Roman" w:hAnsi="Times New Roman" w:eastAsia="宋体" w:cs="Times New Roman"/>
                <w:color w:val="auto"/>
                <w:sz w:val="24"/>
                <w:highlight w:val="none"/>
                <w:vertAlign w:val="subscript"/>
              </w:rPr>
              <w:t>0</w:t>
            </w:r>
            <w:r>
              <w:rPr>
                <w:rFonts w:hint="default" w:ascii="Times New Roman" w:hAnsi="Times New Roman" w:eastAsia="宋体" w:cs="Times New Roman"/>
                <w:color w:val="auto"/>
                <w:sz w:val="24"/>
                <w:highlight w:val="none"/>
              </w:rPr>
              <w:t>)</w:t>
            </w:r>
          </w:p>
          <w:p>
            <w:pPr>
              <w:ind w:firstLine="480"/>
              <w:rPr>
                <w:rFonts w:hint="default" w:ascii="Times New Roman" w:hAnsi="Times New Roman" w:eastAsia="宋体" w:cs="Times New Roman"/>
                <w:color w:val="auto"/>
                <w:highlight w:val="none"/>
              </w:rPr>
            </w:pPr>
          </w:p>
          <w:p>
            <w:pPr>
              <w:pStyle w:val="14"/>
              <w:spacing w:line="36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highlight w:val="none"/>
              </w:rPr>
              <w:t>式中：L(r)——预测点处的A声级，dB（A）</w:t>
            </w:r>
            <w:r>
              <w:rPr>
                <w:rFonts w:hint="default" w:ascii="Times New Roman" w:hAnsi="Times New Roman" w:eastAsia="宋体" w:cs="Times New Roman"/>
                <w:color w:val="auto"/>
                <w:sz w:val="24"/>
                <w:highlight w:val="none"/>
              </w:rPr>
              <w:t>；</w:t>
            </w:r>
          </w:p>
          <w:p>
            <w:pPr>
              <w:bidi w:val="0"/>
              <w:ind w:firstLine="1440" w:firstLineChars="6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L(r0)——参考位置r0处的A声级，dB（A）；</w:t>
            </w:r>
          </w:p>
          <w:p>
            <w:pPr>
              <w:bidi w:val="0"/>
              <w:ind w:firstLine="1440" w:firstLineChars="6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r——预测点距声源的距离；</w:t>
            </w:r>
          </w:p>
          <w:p>
            <w:pPr>
              <w:bidi w:val="0"/>
              <w:ind w:firstLine="1440" w:firstLineChars="6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r0——参考位置距声源的距离。</w:t>
            </w:r>
          </w:p>
          <w:p>
            <w:pPr>
              <w:ind w:firstLine="48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③噪声贡献值</w:t>
            </w:r>
          </w:p>
          <w:p>
            <w:pPr>
              <w:snapToGrid w:val="0"/>
              <w:ind w:firstLine="480"/>
              <w:jc w:val="center"/>
              <w:rPr>
                <w:rFonts w:hint="default" w:ascii="Times New Roman" w:hAnsi="Times New Roman" w:eastAsia="宋体" w:cs="Times New Roman"/>
                <w:color w:val="auto"/>
                <w:spacing w:val="-4"/>
                <w:position w:val="-44"/>
                <w:szCs w:val="24"/>
                <w:highlight w:val="none"/>
              </w:rPr>
            </w:pPr>
            <w:r>
              <w:rPr>
                <w:rFonts w:hint="default" w:ascii="Times New Roman" w:hAnsi="Times New Roman" w:eastAsia="宋体" w:cs="Times New Roman"/>
                <w:color w:val="auto"/>
                <w:spacing w:val="-4"/>
                <w:position w:val="-28"/>
                <w:szCs w:val="24"/>
                <w:highlight w:val="none"/>
              </w:rPr>
              <w:object>
                <v:shape id="_x0000_i1025" o:spt="75" type="#_x0000_t75" style="height:33.7pt;width:93.7pt;" o:ole="t" filled="f" o:preferrelative="t" stroked="f" coordsize="21600,21600">
                  <v:path/>
                  <v:fill on="f" focussize="0,0"/>
                  <v:stroke on="f" joinstyle="miter"/>
                  <v:imagedata r:id="rId30" o:title=""/>
                  <o:lock v:ext="edit" aspectratio="t"/>
                  <w10:wrap type="none"/>
                  <w10:anchorlock/>
                </v:shape>
                <o:OLEObject Type="Embed" ProgID="Equation.3" ShapeID="_x0000_i1025" DrawAspect="Content" ObjectID="_1468075725" r:id="rId29">
                  <o:LockedField>false</o:LockedField>
                </o:OLEObject>
              </w:object>
            </w:r>
          </w:p>
          <w:p>
            <w:pPr>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式中：L——n个噪声源的合成A声级，dB（A）；</w:t>
            </w:r>
          </w:p>
          <w:p>
            <w:pPr>
              <w:bidi w:val="0"/>
              <w:ind w:firstLine="1200" w:firstLineChars="5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Li——i声源在预测点产生的A声级，dB（A）；</w:t>
            </w:r>
          </w:p>
          <w:p>
            <w:pPr>
              <w:bidi w:val="0"/>
              <w:ind w:firstLine="1200" w:firstLineChars="5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n——噪声源的个数。</w:t>
            </w:r>
          </w:p>
          <w:p>
            <w:pPr>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④噪声预测值</w:t>
            </w:r>
          </w:p>
          <w:p>
            <w:pPr>
              <w:pStyle w:val="11"/>
              <w:spacing w:line="360" w:lineRule="auto"/>
              <w:ind w:left="0" w:firstLine="48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position w:val="-14"/>
                <w:sz w:val="24"/>
                <w:szCs w:val="24"/>
                <w:highlight w:val="none"/>
              </w:rPr>
              <w:object>
                <v:shape id="_x0000_i1026" o:spt="75" type="#_x0000_t75" style="height:20.75pt;width:137.1pt;" o:ole="t" filled="f" o:preferrelative="t" stroked="f" coordsize="21600,21600">
                  <v:path/>
                  <v:fill on="f" focussize="0,0"/>
                  <v:stroke on="f" joinstyle="miter"/>
                  <v:imagedata r:id="rId32" o:title=""/>
                  <o:lock v:ext="edit" aspectratio="t"/>
                  <w10:wrap type="none"/>
                  <w10:anchorlock/>
                </v:shape>
                <o:OLEObject Type="Embed" ProgID="Equation.3" ShapeID="_x0000_i1026" DrawAspect="Content" ObjectID="_1468075726" r:id="rId31">
                  <o:LockedField>false</o:LockedField>
                </o:OLEObject>
              </w:object>
            </w:r>
          </w:p>
          <w:p>
            <w:pPr>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式中：Leq——预测点的噪声预测值，dB(A)；</w:t>
            </w:r>
          </w:p>
          <w:p>
            <w:pPr>
              <w:bidi w:val="0"/>
              <w:ind w:firstLine="1200" w:firstLineChars="5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Leqq——预测点的噪声贡献值，dB(A)；</w:t>
            </w:r>
          </w:p>
          <w:p>
            <w:pPr>
              <w:bidi w:val="0"/>
              <w:ind w:firstLine="1200" w:firstLineChars="5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Leqb——预测点的噪声背景值，dB(A)。</w:t>
            </w:r>
          </w:p>
          <w:p>
            <w:pPr>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（2）预测结果</w:t>
            </w:r>
          </w:p>
          <w:p>
            <w:pPr>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厂界四周的噪声预测结果见下表。</w:t>
            </w:r>
          </w:p>
          <w:p>
            <w:pPr>
              <w:pStyle w:val="6"/>
              <w:widowControl w:val="0"/>
              <w:outlineLvl w:val="4"/>
              <w:rPr>
                <w:rFonts w:hint="eastAsia"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表4.4-</w:t>
            </w:r>
            <w:r>
              <w:rPr>
                <w:rFonts w:hint="eastAsia" w:cs="Times New Roman"/>
                <w:color w:val="auto"/>
                <w:highlight w:val="none"/>
                <w:lang w:val="en-US" w:eastAsia="zh-CN"/>
              </w:rPr>
              <w:t xml:space="preserve">1  </w:t>
            </w:r>
            <w:r>
              <w:rPr>
                <w:rFonts w:hint="default" w:ascii="Times New Roman" w:hAnsi="Times New Roman" w:eastAsia="宋体" w:cs="Times New Roman"/>
                <w:color w:val="auto"/>
                <w:highlight w:val="none"/>
              </w:rPr>
              <w:t>厂界噪声预测结果</w:t>
            </w:r>
            <w:r>
              <w:rPr>
                <w:rFonts w:hint="eastAsia" w:cs="Times New Roman"/>
                <w:color w:val="auto"/>
                <w:highlight w:val="none"/>
                <w:lang w:eastAsia="zh-CN"/>
              </w:rPr>
              <w:t>（</w:t>
            </w:r>
            <w:r>
              <w:rPr>
                <w:rFonts w:hint="eastAsia" w:cs="Times New Roman"/>
                <w:color w:val="auto"/>
                <w:highlight w:val="none"/>
                <w:lang w:val="en-US" w:eastAsia="zh-CN"/>
              </w:rPr>
              <w:t>地块三生产车间二</w:t>
            </w:r>
            <w:r>
              <w:rPr>
                <w:rFonts w:hint="eastAsia" w:cs="Times New Roman"/>
                <w:color w:val="auto"/>
                <w:highlight w:val="none"/>
                <w:lang w:eastAsia="zh-CN"/>
              </w:rPr>
              <w:t>）</w:t>
            </w:r>
          </w:p>
          <w:tbl>
            <w:tblPr>
              <w:tblStyle w:val="49"/>
              <w:tblW w:w="84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075"/>
              <w:gridCol w:w="793"/>
              <w:gridCol w:w="801"/>
              <w:gridCol w:w="791"/>
              <w:gridCol w:w="972"/>
              <w:gridCol w:w="1408"/>
              <w:gridCol w:w="1409"/>
              <w:gridCol w:w="1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90" w:hRule="exact"/>
                <w:jc w:val="center"/>
              </w:trPr>
              <w:tc>
                <w:tcPr>
                  <w:tcW w:w="1075" w:type="dxa"/>
                  <w:vMerge w:val="restart"/>
                  <w:tcBorders>
                    <w:top w:val="single" w:color="auto" w:sz="18" w:space="0"/>
                  </w:tcBorders>
                  <w:shd w:val="clear" w:color="auto" w:fill="auto"/>
                  <w:vAlign w:val="center"/>
                </w:tcPr>
                <w:p>
                  <w:pPr>
                    <w:pStyle w:val="113"/>
                    <w:rPr>
                      <w:color w:val="auto"/>
                      <w:highlight w:val="none"/>
                    </w:rPr>
                  </w:pPr>
                </w:p>
              </w:tc>
              <w:tc>
                <w:tcPr>
                  <w:tcW w:w="2385" w:type="dxa"/>
                  <w:gridSpan w:val="3"/>
                  <w:tcBorders>
                    <w:top w:val="single" w:color="auto" w:sz="18" w:space="0"/>
                  </w:tcBorders>
                  <w:shd w:val="clear" w:color="auto" w:fill="auto"/>
                  <w:vAlign w:val="center"/>
                </w:tcPr>
                <w:p>
                  <w:pPr>
                    <w:pStyle w:val="113"/>
                    <w:rPr>
                      <w:color w:val="auto"/>
                      <w:highlight w:val="none"/>
                    </w:rPr>
                  </w:pPr>
                </w:p>
              </w:tc>
              <w:tc>
                <w:tcPr>
                  <w:tcW w:w="972" w:type="dxa"/>
                  <w:vMerge w:val="restart"/>
                  <w:tcBorders>
                    <w:top w:val="single" w:color="auto" w:sz="18" w:space="0"/>
                  </w:tcBorders>
                  <w:shd w:val="clear" w:color="auto" w:fill="auto"/>
                  <w:vAlign w:val="center"/>
                </w:tcPr>
                <w:p>
                  <w:pPr>
                    <w:pStyle w:val="113"/>
                    <w:rPr>
                      <w:color w:val="auto"/>
                      <w:highlight w:val="none"/>
                    </w:rPr>
                  </w:pPr>
                </w:p>
              </w:tc>
              <w:tc>
                <w:tcPr>
                  <w:tcW w:w="1408" w:type="dxa"/>
                  <w:vMerge w:val="restart"/>
                  <w:tcBorders>
                    <w:top w:val="single" w:color="auto" w:sz="18" w:space="0"/>
                  </w:tcBorders>
                  <w:shd w:val="clear" w:color="auto" w:fill="auto"/>
                  <w:vAlign w:val="center"/>
                </w:tcPr>
                <w:p>
                  <w:pPr>
                    <w:pStyle w:val="113"/>
                    <w:rPr>
                      <w:color w:val="auto"/>
                      <w:highlight w:val="none"/>
                    </w:rPr>
                  </w:pPr>
                </w:p>
              </w:tc>
              <w:tc>
                <w:tcPr>
                  <w:tcW w:w="1409" w:type="dxa"/>
                  <w:vMerge w:val="restart"/>
                  <w:tcBorders>
                    <w:top w:val="single" w:color="auto" w:sz="18" w:space="0"/>
                  </w:tcBorders>
                  <w:shd w:val="clear" w:color="auto" w:fill="auto"/>
                  <w:vAlign w:val="center"/>
                </w:tcPr>
                <w:p>
                  <w:pPr>
                    <w:pStyle w:val="113"/>
                    <w:rPr>
                      <w:color w:val="auto"/>
                      <w:highlight w:val="none"/>
                    </w:rPr>
                  </w:pPr>
                </w:p>
              </w:tc>
              <w:tc>
                <w:tcPr>
                  <w:tcW w:w="1159" w:type="dxa"/>
                  <w:vMerge w:val="restart"/>
                  <w:tcBorders>
                    <w:top w:val="single" w:color="auto" w:sz="18" w:space="0"/>
                    <w:right w:val="nil"/>
                  </w:tcBorders>
                  <w:shd w:val="clear" w:color="auto" w:fill="auto"/>
                  <w:vAlign w:val="center"/>
                </w:tcPr>
                <w:p>
                  <w:pPr>
                    <w:pStyle w:val="113"/>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075" w:type="dxa"/>
                  <w:vMerge w:val="continue"/>
                  <w:tcBorders>
                    <w:left w:val="nil"/>
                  </w:tcBorders>
                  <w:shd w:val="clear" w:color="auto" w:fill="auto"/>
                  <w:vAlign w:val="center"/>
                </w:tcPr>
                <w:p>
                  <w:pPr>
                    <w:pStyle w:val="113"/>
                    <w:rPr>
                      <w:color w:val="auto"/>
                      <w:highlight w:val="none"/>
                    </w:rPr>
                  </w:pPr>
                </w:p>
              </w:tc>
              <w:tc>
                <w:tcPr>
                  <w:tcW w:w="793" w:type="dxa"/>
                  <w:shd w:val="clear" w:color="auto" w:fill="auto"/>
                  <w:vAlign w:val="center"/>
                </w:tcPr>
                <w:p>
                  <w:pPr>
                    <w:pStyle w:val="113"/>
                    <w:rPr>
                      <w:color w:val="auto"/>
                      <w:highlight w:val="none"/>
                    </w:rPr>
                  </w:pPr>
                </w:p>
              </w:tc>
              <w:tc>
                <w:tcPr>
                  <w:tcW w:w="801" w:type="dxa"/>
                  <w:shd w:val="clear" w:color="auto" w:fill="auto"/>
                  <w:vAlign w:val="center"/>
                </w:tcPr>
                <w:p>
                  <w:pPr>
                    <w:pStyle w:val="113"/>
                    <w:rPr>
                      <w:color w:val="auto"/>
                      <w:highlight w:val="none"/>
                    </w:rPr>
                  </w:pPr>
                </w:p>
              </w:tc>
              <w:tc>
                <w:tcPr>
                  <w:tcW w:w="791" w:type="dxa"/>
                  <w:shd w:val="clear" w:color="auto" w:fill="auto"/>
                  <w:vAlign w:val="center"/>
                </w:tcPr>
                <w:p>
                  <w:pPr>
                    <w:pStyle w:val="113"/>
                    <w:rPr>
                      <w:color w:val="auto"/>
                      <w:highlight w:val="none"/>
                    </w:rPr>
                  </w:pPr>
                </w:p>
              </w:tc>
              <w:tc>
                <w:tcPr>
                  <w:tcW w:w="972" w:type="dxa"/>
                  <w:vMerge w:val="continue"/>
                  <w:shd w:val="clear" w:color="auto" w:fill="auto"/>
                  <w:vAlign w:val="center"/>
                </w:tcPr>
                <w:p>
                  <w:pPr>
                    <w:pStyle w:val="113"/>
                    <w:rPr>
                      <w:color w:val="auto"/>
                      <w:highlight w:val="none"/>
                    </w:rPr>
                  </w:pPr>
                </w:p>
              </w:tc>
              <w:tc>
                <w:tcPr>
                  <w:tcW w:w="1408" w:type="dxa"/>
                  <w:vMerge w:val="continue"/>
                  <w:shd w:val="clear" w:color="auto" w:fill="auto"/>
                  <w:vAlign w:val="center"/>
                </w:tcPr>
                <w:p>
                  <w:pPr>
                    <w:pStyle w:val="113"/>
                    <w:rPr>
                      <w:color w:val="auto"/>
                      <w:highlight w:val="none"/>
                    </w:rPr>
                  </w:pPr>
                </w:p>
              </w:tc>
              <w:tc>
                <w:tcPr>
                  <w:tcW w:w="1409" w:type="dxa"/>
                  <w:vMerge w:val="continue"/>
                  <w:shd w:val="clear" w:color="auto" w:fill="auto"/>
                  <w:vAlign w:val="center"/>
                </w:tcPr>
                <w:p>
                  <w:pPr>
                    <w:pStyle w:val="113"/>
                    <w:rPr>
                      <w:color w:val="auto"/>
                      <w:highlight w:val="none"/>
                    </w:rPr>
                  </w:pPr>
                </w:p>
              </w:tc>
              <w:tc>
                <w:tcPr>
                  <w:tcW w:w="1159" w:type="dxa"/>
                  <w:vMerge w:val="continue"/>
                  <w:tcBorders>
                    <w:right w:val="nil"/>
                  </w:tcBorders>
                  <w:shd w:val="clear" w:color="auto" w:fill="auto"/>
                  <w:vAlign w:val="center"/>
                </w:tcPr>
                <w:p>
                  <w:pPr>
                    <w:pStyle w:val="113"/>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1075" w:type="dxa"/>
                  <w:vMerge w:val="restart"/>
                  <w:tcBorders>
                    <w:left w:val="nil"/>
                  </w:tcBorders>
                  <w:shd w:val="clear" w:color="auto" w:fill="auto"/>
                  <w:vAlign w:val="center"/>
                </w:tcPr>
                <w:p>
                  <w:pPr>
                    <w:pStyle w:val="113"/>
                    <w:rPr>
                      <w:color w:val="auto"/>
                      <w:highlight w:val="none"/>
                    </w:rPr>
                  </w:pPr>
                </w:p>
              </w:tc>
              <w:tc>
                <w:tcPr>
                  <w:tcW w:w="793" w:type="dxa"/>
                  <w:shd w:val="clear" w:color="auto" w:fill="auto"/>
                  <w:vAlign w:val="center"/>
                </w:tcPr>
                <w:p>
                  <w:pPr>
                    <w:pStyle w:val="113"/>
                    <w:rPr>
                      <w:color w:val="auto"/>
                      <w:highlight w:val="none"/>
                    </w:rPr>
                  </w:pPr>
                </w:p>
              </w:tc>
              <w:tc>
                <w:tcPr>
                  <w:tcW w:w="801" w:type="dxa"/>
                  <w:shd w:val="clear" w:color="auto" w:fill="auto"/>
                  <w:vAlign w:val="center"/>
                </w:tcPr>
                <w:p>
                  <w:pPr>
                    <w:pStyle w:val="113"/>
                    <w:rPr>
                      <w:color w:val="auto"/>
                      <w:highlight w:val="none"/>
                    </w:rPr>
                  </w:pPr>
                </w:p>
              </w:tc>
              <w:tc>
                <w:tcPr>
                  <w:tcW w:w="791" w:type="dxa"/>
                  <w:shd w:val="clear" w:color="auto" w:fill="auto"/>
                  <w:vAlign w:val="center"/>
                </w:tcPr>
                <w:p>
                  <w:pPr>
                    <w:pStyle w:val="113"/>
                    <w:rPr>
                      <w:color w:val="auto"/>
                      <w:highlight w:val="none"/>
                    </w:rPr>
                  </w:pPr>
                </w:p>
              </w:tc>
              <w:tc>
                <w:tcPr>
                  <w:tcW w:w="972" w:type="dxa"/>
                  <w:shd w:val="clear" w:color="auto" w:fill="auto"/>
                  <w:vAlign w:val="center"/>
                </w:tcPr>
                <w:p>
                  <w:pPr>
                    <w:pStyle w:val="113"/>
                    <w:rPr>
                      <w:color w:val="auto"/>
                      <w:highlight w:val="none"/>
                    </w:rPr>
                  </w:pPr>
                </w:p>
              </w:tc>
              <w:tc>
                <w:tcPr>
                  <w:tcW w:w="1408" w:type="dxa"/>
                  <w:shd w:val="clear" w:color="auto" w:fill="auto"/>
                  <w:vAlign w:val="center"/>
                </w:tcPr>
                <w:p>
                  <w:pPr>
                    <w:pStyle w:val="113"/>
                    <w:rPr>
                      <w:color w:val="auto"/>
                      <w:highlight w:val="none"/>
                    </w:rPr>
                  </w:pPr>
                </w:p>
              </w:tc>
              <w:tc>
                <w:tcPr>
                  <w:tcW w:w="1409" w:type="dxa"/>
                  <w:shd w:val="clear" w:color="auto" w:fill="auto"/>
                  <w:vAlign w:val="center"/>
                </w:tcPr>
                <w:p>
                  <w:pPr>
                    <w:pStyle w:val="113"/>
                    <w:rPr>
                      <w:color w:val="auto"/>
                      <w:highlight w:val="none"/>
                    </w:rPr>
                  </w:pPr>
                </w:p>
              </w:tc>
              <w:tc>
                <w:tcPr>
                  <w:tcW w:w="1159" w:type="dxa"/>
                  <w:tcBorders>
                    <w:right w:val="nil"/>
                  </w:tcBorders>
                  <w:shd w:val="clear" w:color="auto" w:fill="auto"/>
                  <w:vAlign w:val="center"/>
                </w:tcPr>
                <w:p>
                  <w:pPr>
                    <w:pStyle w:val="113"/>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1075" w:type="dxa"/>
                  <w:vMerge w:val="continue"/>
                  <w:tcBorders>
                    <w:left w:val="nil"/>
                  </w:tcBorders>
                  <w:shd w:val="clear" w:color="auto" w:fill="auto"/>
                  <w:vAlign w:val="center"/>
                </w:tcPr>
                <w:p>
                  <w:pPr>
                    <w:pStyle w:val="113"/>
                    <w:rPr>
                      <w:color w:val="auto"/>
                      <w:highlight w:val="none"/>
                    </w:rPr>
                  </w:pPr>
                </w:p>
              </w:tc>
              <w:tc>
                <w:tcPr>
                  <w:tcW w:w="793" w:type="dxa"/>
                  <w:shd w:val="clear" w:color="auto" w:fill="auto"/>
                  <w:vAlign w:val="center"/>
                </w:tcPr>
                <w:p>
                  <w:pPr>
                    <w:pStyle w:val="113"/>
                    <w:rPr>
                      <w:color w:val="auto"/>
                      <w:highlight w:val="none"/>
                    </w:rPr>
                  </w:pPr>
                </w:p>
              </w:tc>
              <w:tc>
                <w:tcPr>
                  <w:tcW w:w="801" w:type="dxa"/>
                  <w:shd w:val="clear" w:color="auto" w:fill="auto"/>
                  <w:vAlign w:val="center"/>
                </w:tcPr>
                <w:p>
                  <w:pPr>
                    <w:pStyle w:val="113"/>
                    <w:rPr>
                      <w:color w:val="auto"/>
                      <w:highlight w:val="none"/>
                    </w:rPr>
                  </w:pPr>
                </w:p>
              </w:tc>
              <w:tc>
                <w:tcPr>
                  <w:tcW w:w="791" w:type="dxa"/>
                  <w:shd w:val="clear" w:color="auto" w:fill="auto"/>
                  <w:vAlign w:val="center"/>
                </w:tcPr>
                <w:p>
                  <w:pPr>
                    <w:pStyle w:val="113"/>
                    <w:rPr>
                      <w:color w:val="auto"/>
                      <w:highlight w:val="none"/>
                    </w:rPr>
                  </w:pPr>
                </w:p>
              </w:tc>
              <w:tc>
                <w:tcPr>
                  <w:tcW w:w="972" w:type="dxa"/>
                  <w:shd w:val="clear" w:color="auto" w:fill="auto"/>
                  <w:vAlign w:val="center"/>
                </w:tcPr>
                <w:p>
                  <w:pPr>
                    <w:pStyle w:val="113"/>
                    <w:rPr>
                      <w:color w:val="auto"/>
                      <w:highlight w:val="none"/>
                    </w:rPr>
                  </w:pPr>
                </w:p>
              </w:tc>
              <w:tc>
                <w:tcPr>
                  <w:tcW w:w="1408" w:type="dxa"/>
                  <w:shd w:val="clear" w:color="auto" w:fill="auto"/>
                  <w:vAlign w:val="center"/>
                </w:tcPr>
                <w:p>
                  <w:pPr>
                    <w:pStyle w:val="113"/>
                    <w:rPr>
                      <w:color w:val="auto"/>
                      <w:highlight w:val="none"/>
                    </w:rPr>
                  </w:pPr>
                </w:p>
              </w:tc>
              <w:tc>
                <w:tcPr>
                  <w:tcW w:w="1409" w:type="dxa"/>
                  <w:shd w:val="clear" w:color="auto" w:fill="auto"/>
                  <w:vAlign w:val="center"/>
                </w:tcPr>
                <w:p>
                  <w:pPr>
                    <w:pStyle w:val="113"/>
                    <w:rPr>
                      <w:color w:val="auto"/>
                      <w:highlight w:val="none"/>
                    </w:rPr>
                  </w:pPr>
                </w:p>
              </w:tc>
              <w:tc>
                <w:tcPr>
                  <w:tcW w:w="1159" w:type="dxa"/>
                  <w:tcBorders>
                    <w:right w:val="nil"/>
                  </w:tcBorders>
                  <w:shd w:val="clear" w:color="auto" w:fill="auto"/>
                  <w:vAlign w:val="center"/>
                </w:tcPr>
                <w:p>
                  <w:pPr>
                    <w:pStyle w:val="113"/>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1075" w:type="dxa"/>
                  <w:vMerge w:val="restart"/>
                  <w:tcBorders>
                    <w:left w:val="nil"/>
                  </w:tcBorders>
                  <w:shd w:val="clear" w:color="auto" w:fill="auto"/>
                  <w:vAlign w:val="center"/>
                </w:tcPr>
                <w:p>
                  <w:pPr>
                    <w:pStyle w:val="113"/>
                    <w:rPr>
                      <w:color w:val="auto"/>
                      <w:highlight w:val="none"/>
                    </w:rPr>
                  </w:pPr>
                </w:p>
              </w:tc>
              <w:tc>
                <w:tcPr>
                  <w:tcW w:w="793" w:type="dxa"/>
                  <w:shd w:val="clear" w:color="auto" w:fill="auto"/>
                  <w:vAlign w:val="center"/>
                </w:tcPr>
                <w:p>
                  <w:pPr>
                    <w:pStyle w:val="113"/>
                    <w:rPr>
                      <w:color w:val="auto"/>
                      <w:highlight w:val="none"/>
                    </w:rPr>
                  </w:pPr>
                </w:p>
              </w:tc>
              <w:tc>
                <w:tcPr>
                  <w:tcW w:w="801" w:type="dxa"/>
                  <w:shd w:val="clear" w:color="auto" w:fill="auto"/>
                  <w:vAlign w:val="center"/>
                </w:tcPr>
                <w:p>
                  <w:pPr>
                    <w:pStyle w:val="113"/>
                    <w:rPr>
                      <w:color w:val="auto"/>
                      <w:highlight w:val="none"/>
                    </w:rPr>
                  </w:pPr>
                </w:p>
              </w:tc>
              <w:tc>
                <w:tcPr>
                  <w:tcW w:w="791" w:type="dxa"/>
                  <w:shd w:val="clear" w:color="auto" w:fill="auto"/>
                  <w:vAlign w:val="center"/>
                </w:tcPr>
                <w:p>
                  <w:pPr>
                    <w:pStyle w:val="113"/>
                    <w:rPr>
                      <w:color w:val="auto"/>
                      <w:highlight w:val="none"/>
                    </w:rPr>
                  </w:pPr>
                </w:p>
              </w:tc>
              <w:tc>
                <w:tcPr>
                  <w:tcW w:w="972" w:type="dxa"/>
                  <w:shd w:val="clear" w:color="auto" w:fill="auto"/>
                  <w:vAlign w:val="center"/>
                </w:tcPr>
                <w:p>
                  <w:pPr>
                    <w:pStyle w:val="113"/>
                    <w:rPr>
                      <w:color w:val="auto"/>
                      <w:highlight w:val="none"/>
                    </w:rPr>
                  </w:pPr>
                </w:p>
              </w:tc>
              <w:tc>
                <w:tcPr>
                  <w:tcW w:w="1408" w:type="dxa"/>
                  <w:shd w:val="clear" w:color="auto" w:fill="auto"/>
                  <w:vAlign w:val="center"/>
                </w:tcPr>
                <w:p>
                  <w:pPr>
                    <w:pStyle w:val="113"/>
                    <w:rPr>
                      <w:color w:val="auto"/>
                      <w:highlight w:val="none"/>
                    </w:rPr>
                  </w:pPr>
                </w:p>
              </w:tc>
              <w:tc>
                <w:tcPr>
                  <w:tcW w:w="1409" w:type="dxa"/>
                  <w:shd w:val="clear" w:color="auto" w:fill="auto"/>
                  <w:vAlign w:val="center"/>
                </w:tcPr>
                <w:p>
                  <w:pPr>
                    <w:pStyle w:val="113"/>
                    <w:rPr>
                      <w:color w:val="auto"/>
                      <w:highlight w:val="none"/>
                    </w:rPr>
                  </w:pPr>
                </w:p>
              </w:tc>
              <w:tc>
                <w:tcPr>
                  <w:tcW w:w="1159" w:type="dxa"/>
                  <w:tcBorders>
                    <w:right w:val="nil"/>
                  </w:tcBorders>
                  <w:shd w:val="clear" w:color="auto" w:fill="auto"/>
                  <w:vAlign w:val="center"/>
                </w:tcPr>
                <w:p>
                  <w:pPr>
                    <w:pStyle w:val="113"/>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1075" w:type="dxa"/>
                  <w:vMerge w:val="continue"/>
                  <w:tcBorders>
                    <w:left w:val="nil"/>
                  </w:tcBorders>
                  <w:shd w:val="clear" w:color="auto" w:fill="auto"/>
                  <w:vAlign w:val="center"/>
                </w:tcPr>
                <w:p>
                  <w:pPr>
                    <w:pStyle w:val="113"/>
                    <w:rPr>
                      <w:color w:val="auto"/>
                      <w:highlight w:val="none"/>
                    </w:rPr>
                  </w:pPr>
                </w:p>
              </w:tc>
              <w:tc>
                <w:tcPr>
                  <w:tcW w:w="793" w:type="dxa"/>
                  <w:shd w:val="clear" w:color="auto" w:fill="auto"/>
                  <w:vAlign w:val="center"/>
                </w:tcPr>
                <w:p>
                  <w:pPr>
                    <w:pStyle w:val="113"/>
                    <w:rPr>
                      <w:color w:val="auto"/>
                      <w:highlight w:val="none"/>
                    </w:rPr>
                  </w:pPr>
                </w:p>
              </w:tc>
              <w:tc>
                <w:tcPr>
                  <w:tcW w:w="801" w:type="dxa"/>
                  <w:shd w:val="clear" w:color="auto" w:fill="auto"/>
                  <w:vAlign w:val="center"/>
                </w:tcPr>
                <w:p>
                  <w:pPr>
                    <w:pStyle w:val="113"/>
                    <w:rPr>
                      <w:color w:val="auto"/>
                      <w:highlight w:val="none"/>
                    </w:rPr>
                  </w:pPr>
                </w:p>
              </w:tc>
              <w:tc>
                <w:tcPr>
                  <w:tcW w:w="791" w:type="dxa"/>
                  <w:shd w:val="clear" w:color="auto" w:fill="auto"/>
                  <w:vAlign w:val="center"/>
                </w:tcPr>
                <w:p>
                  <w:pPr>
                    <w:pStyle w:val="113"/>
                    <w:rPr>
                      <w:color w:val="auto"/>
                      <w:highlight w:val="none"/>
                    </w:rPr>
                  </w:pPr>
                </w:p>
              </w:tc>
              <w:tc>
                <w:tcPr>
                  <w:tcW w:w="972" w:type="dxa"/>
                  <w:shd w:val="clear" w:color="auto" w:fill="auto"/>
                  <w:vAlign w:val="center"/>
                </w:tcPr>
                <w:p>
                  <w:pPr>
                    <w:pStyle w:val="113"/>
                    <w:rPr>
                      <w:color w:val="auto"/>
                      <w:highlight w:val="none"/>
                    </w:rPr>
                  </w:pPr>
                </w:p>
              </w:tc>
              <w:tc>
                <w:tcPr>
                  <w:tcW w:w="1408" w:type="dxa"/>
                  <w:shd w:val="clear" w:color="auto" w:fill="auto"/>
                  <w:vAlign w:val="center"/>
                </w:tcPr>
                <w:p>
                  <w:pPr>
                    <w:pStyle w:val="113"/>
                    <w:rPr>
                      <w:color w:val="auto"/>
                      <w:highlight w:val="none"/>
                    </w:rPr>
                  </w:pPr>
                </w:p>
              </w:tc>
              <w:tc>
                <w:tcPr>
                  <w:tcW w:w="1409" w:type="dxa"/>
                  <w:shd w:val="clear" w:color="auto" w:fill="auto"/>
                  <w:vAlign w:val="center"/>
                </w:tcPr>
                <w:p>
                  <w:pPr>
                    <w:pStyle w:val="113"/>
                    <w:rPr>
                      <w:color w:val="auto"/>
                      <w:highlight w:val="none"/>
                    </w:rPr>
                  </w:pPr>
                </w:p>
              </w:tc>
              <w:tc>
                <w:tcPr>
                  <w:tcW w:w="1159" w:type="dxa"/>
                  <w:tcBorders>
                    <w:right w:val="nil"/>
                  </w:tcBorders>
                  <w:shd w:val="clear" w:color="auto" w:fill="auto"/>
                  <w:vAlign w:val="center"/>
                </w:tcPr>
                <w:p>
                  <w:pPr>
                    <w:pStyle w:val="113"/>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1075" w:type="dxa"/>
                  <w:vMerge w:val="restart"/>
                  <w:tcBorders>
                    <w:left w:val="nil"/>
                  </w:tcBorders>
                  <w:shd w:val="clear" w:color="auto" w:fill="auto"/>
                  <w:vAlign w:val="center"/>
                </w:tcPr>
                <w:p>
                  <w:pPr>
                    <w:pStyle w:val="113"/>
                    <w:rPr>
                      <w:color w:val="auto"/>
                      <w:highlight w:val="none"/>
                    </w:rPr>
                  </w:pPr>
                </w:p>
              </w:tc>
              <w:tc>
                <w:tcPr>
                  <w:tcW w:w="793" w:type="dxa"/>
                  <w:shd w:val="clear" w:color="auto" w:fill="auto"/>
                  <w:vAlign w:val="center"/>
                </w:tcPr>
                <w:p>
                  <w:pPr>
                    <w:pStyle w:val="113"/>
                    <w:rPr>
                      <w:color w:val="auto"/>
                      <w:highlight w:val="none"/>
                    </w:rPr>
                  </w:pPr>
                </w:p>
              </w:tc>
              <w:tc>
                <w:tcPr>
                  <w:tcW w:w="801" w:type="dxa"/>
                  <w:shd w:val="clear" w:color="auto" w:fill="auto"/>
                  <w:vAlign w:val="center"/>
                </w:tcPr>
                <w:p>
                  <w:pPr>
                    <w:pStyle w:val="113"/>
                    <w:rPr>
                      <w:color w:val="auto"/>
                      <w:highlight w:val="none"/>
                    </w:rPr>
                  </w:pPr>
                </w:p>
              </w:tc>
              <w:tc>
                <w:tcPr>
                  <w:tcW w:w="791" w:type="dxa"/>
                  <w:shd w:val="clear" w:color="auto" w:fill="auto"/>
                  <w:vAlign w:val="center"/>
                </w:tcPr>
                <w:p>
                  <w:pPr>
                    <w:pStyle w:val="113"/>
                    <w:rPr>
                      <w:color w:val="auto"/>
                      <w:highlight w:val="none"/>
                    </w:rPr>
                  </w:pPr>
                </w:p>
              </w:tc>
              <w:tc>
                <w:tcPr>
                  <w:tcW w:w="972" w:type="dxa"/>
                  <w:shd w:val="clear" w:color="auto" w:fill="auto"/>
                  <w:vAlign w:val="center"/>
                </w:tcPr>
                <w:p>
                  <w:pPr>
                    <w:pStyle w:val="113"/>
                    <w:rPr>
                      <w:color w:val="auto"/>
                      <w:highlight w:val="none"/>
                    </w:rPr>
                  </w:pPr>
                </w:p>
              </w:tc>
              <w:tc>
                <w:tcPr>
                  <w:tcW w:w="1408" w:type="dxa"/>
                  <w:shd w:val="clear" w:color="auto" w:fill="auto"/>
                  <w:vAlign w:val="center"/>
                </w:tcPr>
                <w:p>
                  <w:pPr>
                    <w:pStyle w:val="113"/>
                    <w:rPr>
                      <w:color w:val="auto"/>
                      <w:highlight w:val="none"/>
                    </w:rPr>
                  </w:pPr>
                </w:p>
              </w:tc>
              <w:tc>
                <w:tcPr>
                  <w:tcW w:w="1409" w:type="dxa"/>
                  <w:shd w:val="clear" w:color="auto" w:fill="auto"/>
                  <w:vAlign w:val="center"/>
                </w:tcPr>
                <w:p>
                  <w:pPr>
                    <w:pStyle w:val="113"/>
                    <w:rPr>
                      <w:color w:val="auto"/>
                      <w:highlight w:val="none"/>
                    </w:rPr>
                  </w:pPr>
                </w:p>
              </w:tc>
              <w:tc>
                <w:tcPr>
                  <w:tcW w:w="1159" w:type="dxa"/>
                  <w:tcBorders>
                    <w:right w:val="nil"/>
                  </w:tcBorders>
                  <w:shd w:val="clear" w:color="auto" w:fill="auto"/>
                  <w:vAlign w:val="center"/>
                </w:tcPr>
                <w:p>
                  <w:pPr>
                    <w:pStyle w:val="113"/>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1075" w:type="dxa"/>
                  <w:vMerge w:val="continue"/>
                  <w:tcBorders>
                    <w:left w:val="nil"/>
                  </w:tcBorders>
                  <w:shd w:val="clear" w:color="auto" w:fill="auto"/>
                  <w:vAlign w:val="center"/>
                </w:tcPr>
                <w:p>
                  <w:pPr>
                    <w:pStyle w:val="113"/>
                    <w:rPr>
                      <w:color w:val="auto"/>
                      <w:highlight w:val="none"/>
                    </w:rPr>
                  </w:pPr>
                </w:p>
              </w:tc>
              <w:tc>
                <w:tcPr>
                  <w:tcW w:w="793" w:type="dxa"/>
                  <w:shd w:val="clear" w:color="auto" w:fill="auto"/>
                  <w:vAlign w:val="center"/>
                </w:tcPr>
                <w:p>
                  <w:pPr>
                    <w:pStyle w:val="113"/>
                    <w:rPr>
                      <w:color w:val="auto"/>
                      <w:highlight w:val="none"/>
                    </w:rPr>
                  </w:pPr>
                </w:p>
              </w:tc>
              <w:tc>
                <w:tcPr>
                  <w:tcW w:w="801" w:type="dxa"/>
                  <w:shd w:val="clear" w:color="auto" w:fill="auto"/>
                  <w:vAlign w:val="center"/>
                </w:tcPr>
                <w:p>
                  <w:pPr>
                    <w:pStyle w:val="113"/>
                    <w:rPr>
                      <w:color w:val="auto"/>
                      <w:highlight w:val="none"/>
                    </w:rPr>
                  </w:pPr>
                </w:p>
              </w:tc>
              <w:tc>
                <w:tcPr>
                  <w:tcW w:w="791" w:type="dxa"/>
                  <w:shd w:val="clear" w:color="auto" w:fill="auto"/>
                  <w:vAlign w:val="center"/>
                </w:tcPr>
                <w:p>
                  <w:pPr>
                    <w:pStyle w:val="113"/>
                    <w:rPr>
                      <w:color w:val="auto"/>
                      <w:highlight w:val="none"/>
                    </w:rPr>
                  </w:pPr>
                </w:p>
              </w:tc>
              <w:tc>
                <w:tcPr>
                  <w:tcW w:w="972" w:type="dxa"/>
                  <w:shd w:val="clear" w:color="auto" w:fill="auto"/>
                  <w:vAlign w:val="center"/>
                </w:tcPr>
                <w:p>
                  <w:pPr>
                    <w:pStyle w:val="113"/>
                    <w:rPr>
                      <w:color w:val="auto"/>
                      <w:highlight w:val="none"/>
                    </w:rPr>
                  </w:pPr>
                </w:p>
              </w:tc>
              <w:tc>
                <w:tcPr>
                  <w:tcW w:w="1408" w:type="dxa"/>
                  <w:shd w:val="clear" w:color="auto" w:fill="auto"/>
                  <w:vAlign w:val="center"/>
                </w:tcPr>
                <w:p>
                  <w:pPr>
                    <w:pStyle w:val="113"/>
                    <w:rPr>
                      <w:color w:val="auto"/>
                      <w:highlight w:val="none"/>
                    </w:rPr>
                  </w:pPr>
                </w:p>
              </w:tc>
              <w:tc>
                <w:tcPr>
                  <w:tcW w:w="1409" w:type="dxa"/>
                  <w:shd w:val="clear" w:color="auto" w:fill="auto"/>
                  <w:vAlign w:val="center"/>
                </w:tcPr>
                <w:p>
                  <w:pPr>
                    <w:pStyle w:val="113"/>
                    <w:rPr>
                      <w:color w:val="auto"/>
                      <w:highlight w:val="none"/>
                    </w:rPr>
                  </w:pPr>
                </w:p>
              </w:tc>
              <w:tc>
                <w:tcPr>
                  <w:tcW w:w="1159" w:type="dxa"/>
                  <w:tcBorders>
                    <w:right w:val="nil"/>
                  </w:tcBorders>
                  <w:shd w:val="clear" w:color="auto" w:fill="auto"/>
                  <w:vAlign w:val="center"/>
                </w:tcPr>
                <w:p>
                  <w:pPr>
                    <w:pStyle w:val="113"/>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1075" w:type="dxa"/>
                  <w:vMerge w:val="restart"/>
                  <w:tcBorders>
                    <w:left w:val="nil"/>
                  </w:tcBorders>
                  <w:shd w:val="clear" w:color="auto" w:fill="auto"/>
                  <w:vAlign w:val="center"/>
                </w:tcPr>
                <w:p>
                  <w:pPr>
                    <w:pStyle w:val="113"/>
                    <w:rPr>
                      <w:color w:val="auto"/>
                      <w:highlight w:val="none"/>
                    </w:rPr>
                  </w:pPr>
                </w:p>
              </w:tc>
              <w:tc>
                <w:tcPr>
                  <w:tcW w:w="793" w:type="dxa"/>
                  <w:shd w:val="clear" w:color="auto" w:fill="auto"/>
                  <w:vAlign w:val="center"/>
                </w:tcPr>
                <w:p>
                  <w:pPr>
                    <w:pStyle w:val="113"/>
                    <w:rPr>
                      <w:color w:val="auto"/>
                      <w:highlight w:val="none"/>
                    </w:rPr>
                  </w:pPr>
                </w:p>
              </w:tc>
              <w:tc>
                <w:tcPr>
                  <w:tcW w:w="801" w:type="dxa"/>
                  <w:shd w:val="clear" w:color="auto" w:fill="auto"/>
                  <w:vAlign w:val="center"/>
                </w:tcPr>
                <w:p>
                  <w:pPr>
                    <w:pStyle w:val="113"/>
                    <w:rPr>
                      <w:color w:val="auto"/>
                      <w:highlight w:val="none"/>
                    </w:rPr>
                  </w:pPr>
                </w:p>
              </w:tc>
              <w:tc>
                <w:tcPr>
                  <w:tcW w:w="791" w:type="dxa"/>
                  <w:shd w:val="clear" w:color="auto" w:fill="auto"/>
                  <w:vAlign w:val="center"/>
                </w:tcPr>
                <w:p>
                  <w:pPr>
                    <w:pStyle w:val="113"/>
                    <w:rPr>
                      <w:color w:val="auto"/>
                      <w:highlight w:val="none"/>
                    </w:rPr>
                  </w:pPr>
                </w:p>
              </w:tc>
              <w:tc>
                <w:tcPr>
                  <w:tcW w:w="972" w:type="dxa"/>
                  <w:shd w:val="clear" w:color="auto" w:fill="auto"/>
                  <w:vAlign w:val="center"/>
                </w:tcPr>
                <w:p>
                  <w:pPr>
                    <w:pStyle w:val="113"/>
                    <w:rPr>
                      <w:color w:val="auto"/>
                      <w:highlight w:val="none"/>
                    </w:rPr>
                  </w:pPr>
                </w:p>
              </w:tc>
              <w:tc>
                <w:tcPr>
                  <w:tcW w:w="1408" w:type="dxa"/>
                  <w:shd w:val="clear" w:color="auto" w:fill="auto"/>
                  <w:vAlign w:val="center"/>
                </w:tcPr>
                <w:p>
                  <w:pPr>
                    <w:pStyle w:val="113"/>
                    <w:rPr>
                      <w:color w:val="auto"/>
                      <w:highlight w:val="none"/>
                    </w:rPr>
                  </w:pPr>
                </w:p>
              </w:tc>
              <w:tc>
                <w:tcPr>
                  <w:tcW w:w="1409" w:type="dxa"/>
                  <w:shd w:val="clear" w:color="auto" w:fill="auto"/>
                  <w:vAlign w:val="center"/>
                </w:tcPr>
                <w:p>
                  <w:pPr>
                    <w:pStyle w:val="113"/>
                    <w:rPr>
                      <w:color w:val="auto"/>
                      <w:highlight w:val="none"/>
                    </w:rPr>
                  </w:pPr>
                </w:p>
              </w:tc>
              <w:tc>
                <w:tcPr>
                  <w:tcW w:w="1159" w:type="dxa"/>
                  <w:tcBorders>
                    <w:right w:val="nil"/>
                  </w:tcBorders>
                  <w:shd w:val="clear" w:color="auto" w:fill="auto"/>
                  <w:vAlign w:val="center"/>
                </w:tcPr>
                <w:p>
                  <w:pPr>
                    <w:pStyle w:val="113"/>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1075" w:type="dxa"/>
                  <w:vMerge w:val="continue"/>
                  <w:tcBorders>
                    <w:left w:val="nil"/>
                    <w:bottom w:val="single" w:color="auto" w:sz="18" w:space="0"/>
                  </w:tcBorders>
                  <w:shd w:val="clear" w:color="auto" w:fill="auto"/>
                  <w:vAlign w:val="center"/>
                </w:tcPr>
                <w:p>
                  <w:pPr>
                    <w:pStyle w:val="113"/>
                    <w:rPr>
                      <w:color w:val="auto"/>
                      <w:highlight w:val="none"/>
                    </w:rPr>
                  </w:pPr>
                </w:p>
              </w:tc>
              <w:tc>
                <w:tcPr>
                  <w:tcW w:w="793" w:type="dxa"/>
                  <w:tcBorders>
                    <w:bottom w:val="single" w:color="auto" w:sz="18" w:space="0"/>
                  </w:tcBorders>
                  <w:shd w:val="clear" w:color="auto" w:fill="auto"/>
                  <w:vAlign w:val="center"/>
                </w:tcPr>
                <w:p>
                  <w:pPr>
                    <w:pStyle w:val="113"/>
                    <w:rPr>
                      <w:color w:val="auto"/>
                      <w:highlight w:val="none"/>
                    </w:rPr>
                  </w:pPr>
                </w:p>
              </w:tc>
              <w:tc>
                <w:tcPr>
                  <w:tcW w:w="801" w:type="dxa"/>
                  <w:tcBorders>
                    <w:bottom w:val="single" w:color="auto" w:sz="18" w:space="0"/>
                  </w:tcBorders>
                  <w:shd w:val="clear" w:color="auto" w:fill="auto"/>
                  <w:vAlign w:val="center"/>
                </w:tcPr>
                <w:p>
                  <w:pPr>
                    <w:pStyle w:val="113"/>
                    <w:rPr>
                      <w:color w:val="auto"/>
                      <w:highlight w:val="none"/>
                    </w:rPr>
                  </w:pPr>
                </w:p>
              </w:tc>
              <w:tc>
                <w:tcPr>
                  <w:tcW w:w="791" w:type="dxa"/>
                  <w:tcBorders>
                    <w:bottom w:val="single" w:color="auto" w:sz="18" w:space="0"/>
                  </w:tcBorders>
                  <w:shd w:val="clear" w:color="auto" w:fill="auto"/>
                  <w:vAlign w:val="center"/>
                </w:tcPr>
                <w:p>
                  <w:pPr>
                    <w:pStyle w:val="113"/>
                    <w:rPr>
                      <w:color w:val="auto"/>
                      <w:highlight w:val="none"/>
                    </w:rPr>
                  </w:pPr>
                </w:p>
              </w:tc>
              <w:tc>
                <w:tcPr>
                  <w:tcW w:w="972" w:type="dxa"/>
                  <w:tcBorders>
                    <w:bottom w:val="single" w:color="auto" w:sz="18" w:space="0"/>
                  </w:tcBorders>
                  <w:shd w:val="clear" w:color="auto" w:fill="auto"/>
                  <w:vAlign w:val="center"/>
                </w:tcPr>
                <w:p>
                  <w:pPr>
                    <w:pStyle w:val="113"/>
                    <w:rPr>
                      <w:color w:val="auto"/>
                      <w:highlight w:val="none"/>
                    </w:rPr>
                  </w:pPr>
                </w:p>
              </w:tc>
              <w:tc>
                <w:tcPr>
                  <w:tcW w:w="1408" w:type="dxa"/>
                  <w:tcBorders>
                    <w:bottom w:val="single" w:color="auto" w:sz="18" w:space="0"/>
                  </w:tcBorders>
                  <w:shd w:val="clear" w:color="auto" w:fill="auto"/>
                  <w:vAlign w:val="center"/>
                </w:tcPr>
                <w:p>
                  <w:pPr>
                    <w:pStyle w:val="113"/>
                    <w:rPr>
                      <w:color w:val="auto"/>
                      <w:highlight w:val="none"/>
                    </w:rPr>
                  </w:pPr>
                </w:p>
              </w:tc>
              <w:tc>
                <w:tcPr>
                  <w:tcW w:w="1409" w:type="dxa"/>
                  <w:tcBorders>
                    <w:bottom w:val="single" w:color="auto" w:sz="18" w:space="0"/>
                  </w:tcBorders>
                  <w:shd w:val="clear" w:color="auto" w:fill="auto"/>
                  <w:vAlign w:val="center"/>
                </w:tcPr>
                <w:p>
                  <w:pPr>
                    <w:pStyle w:val="113"/>
                    <w:rPr>
                      <w:color w:val="auto"/>
                      <w:highlight w:val="none"/>
                    </w:rPr>
                  </w:pPr>
                </w:p>
              </w:tc>
              <w:tc>
                <w:tcPr>
                  <w:tcW w:w="1159" w:type="dxa"/>
                  <w:tcBorders>
                    <w:bottom w:val="single" w:color="auto" w:sz="18" w:space="0"/>
                    <w:right w:val="nil"/>
                  </w:tcBorders>
                  <w:shd w:val="clear" w:color="auto" w:fill="auto"/>
                  <w:vAlign w:val="center"/>
                </w:tcPr>
                <w:p>
                  <w:pPr>
                    <w:pStyle w:val="113"/>
                    <w:rPr>
                      <w:color w:val="auto"/>
                      <w:highlight w:val="none"/>
                    </w:rPr>
                  </w:pPr>
                </w:p>
              </w:tc>
            </w:tr>
          </w:tbl>
          <w:p>
            <w:pPr>
              <w:pStyle w:val="6"/>
              <w:widowControl w:val="0"/>
              <w:outlineLvl w:val="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表4.4-</w:t>
            </w:r>
            <w:r>
              <w:rPr>
                <w:rFonts w:hint="eastAsia" w:cs="Times New Roman"/>
                <w:color w:val="auto"/>
                <w:highlight w:val="none"/>
                <w:lang w:val="en-US" w:eastAsia="zh-CN"/>
              </w:rPr>
              <w:t xml:space="preserve">2  </w:t>
            </w:r>
            <w:r>
              <w:rPr>
                <w:rFonts w:hint="default" w:ascii="Times New Roman" w:hAnsi="Times New Roman" w:eastAsia="宋体" w:cs="Times New Roman"/>
                <w:color w:val="auto"/>
                <w:highlight w:val="none"/>
              </w:rPr>
              <w:t>厂界噪声预测结果</w:t>
            </w:r>
            <w:r>
              <w:rPr>
                <w:rFonts w:hint="eastAsia" w:ascii="Times New Roman" w:hAnsi="Times New Roman" w:eastAsia="宋体" w:cs="Times New Roman"/>
                <w:color w:val="auto"/>
                <w:highlight w:val="none"/>
                <w:lang w:eastAsia="zh-CN"/>
              </w:rPr>
              <w:t>（</w:t>
            </w:r>
            <w:r>
              <w:rPr>
                <w:rFonts w:hint="eastAsia" w:cs="Times New Roman"/>
                <w:color w:val="auto"/>
                <w:highlight w:val="none"/>
                <w:lang w:val="en-US" w:eastAsia="zh-CN"/>
              </w:rPr>
              <w:t>地块二、生产车间一</w:t>
            </w:r>
            <w:r>
              <w:rPr>
                <w:rFonts w:hint="eastAsia" w:ascii="Times New Roman" w:hAnsi="Times New Roman" w:eastAsia="宋体" w:cs="Times New Roman"/>
                <w:color w:val="auto"/>
                <w:highlight w:val="none"/>
                <w:lang w:eastAsia="zh-CN"/>
              </w:rPr>
              <w:t>）</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01"/>
              <w:gridCol w:w="803"/>
              <w:gridCol w:w="803"/>
              <w:gridCol w:w="803"/>
              <w:gridCol w:w="993"/>
              <w:gridCol w:w="1417"/>
              <w:gridCol w:w="1418"/>
              <w:gridCol w:w="1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90" w:hRule="exact"/>
                <w:jc w:val="center"/>
              </w:trPr>
              <w:tc>
                <w:tcPr>
                  <w:tcW w:w="1101" w:type="dxa"/>
                  <w:vMerge w:val="restart"/>
                  <w:tcBorders>
                    <w:top w:val="single" w:color="auto" w:sz="18" w:space="0"/>
                  </w:tcBorders>
                  <w:shd w:val="clear" w:color="auto" w:fill="auto"/>
                  <w:vAlign w:val="center"/>
                </w:tcPr>
                <w:p>
                  <w:pPr>
                    <w:pStyle w:val="113"/>
                    <w:rPr>
                      <w:color w:val="auto"/>
                      <w:highlight w:val="none"/>
                    </w:rPr>
                  </w:pPr>
                </w:p>
              </w:tc>
              <w:tc>
                <w:tcPr>
                  <w:tcW w:w="2409" w:type="dxa"/>
                  <w:gridSpan w:val="3"/>
                  <w:tcBorders>
                    <w:top w:val="single" w:color="auto" w:sz="18" w:space="0"/>
                  </w:tcBorders>
                  <w:shd w:val="clear" w:color="auto" w:fill="auto"/>
                  <w:vAlign w:val="center"/>
                </w:tcPr>
                <w:p>
                  <w:pPr>
                    <w:pStyle w:val="113"/>
                    <w:rPr>
                      <w:color w:val="auto"/>
                      <w:highlight w:val="none"/>
                    </w:rPr>
                  </w:pPr>
                </w:p>
              </w:tc>
              <w:tc>
                <w:tcPr>
                  <w:tcW w:w="993" w:type="dxa"/>
                  <w:vMerge w:val="restart"/>
                  <w:tcBorders>
                    <w:top w:val="single" w:color="auto" w:sz="18" w:space="0"/>
                  </w:tcBorders>
                  <w:shd w:val="clear" w:color="auto" w:fill="auto"/>
                  <w:vAlign w:val="center"/>
                </w:tcPr>
                <w:p>
                  <w:pPr>
                    <w:pStyle w:val="113"/>
                    <w:rPr>
                      <w:color w:val="auto"/>
                      <w:highlight w:val="none"/>
                    </w:rPr>
                  </w:pPr>
                </w:p>
              </w:tc>
              <w:tc>
                <w:tcPr>
                  <w:tcW w:w="1417" w:type="dxa"/>
                  <w:vMerge w:val="restart"/>
                  <w:tcBorders>
                    <w:top w:val="single" w:color="auto" w:sz="18" w:space="0"/>
                  </w:tcBorders>
                  <w:shd w:val="clear" w:color="auto" w:fill="auto"/>
                  <w:vAlign w:val="center"/>
                </w:tcPr>
                <w:p>
                  <w:pPr>
                    <w:pStyle w:val="113"/>
                    <w:rPr>
                      <w:color w:val="auto"/>
                      <w:highlight w:val="none"/>
                    </w:rPr>
                  </w:pPr>
                </w:p>
              </w:tc>
              <w:tc>
                <w:tcPr>
                  <w:tcW w:w="1418" w:type="dxa"/>
                  <w:vMerge w:val="restart"/>
                  <w:tcBorders>
                    <w:top w:val="single" w:color="auto" w:sz="18" w:space="0"/>
                  </w:tcBorders>
                  <w:shd w:val="clear" w:color="auto" w:fill="auto"/>
                  <w:vAlign w:val="center"/>
                </w:tcPr>
                <w:p>
                  <w:pPr>
                    <w:pStyle w:val="113"/>
                    <w:rPr>
                      <w:color w:val="auto"/>
                      <w:highlight w:val="none"/>
                    </w:rPr>
                  </w:pPr>
                </w:p>
              </w:tc>
              <w:tc>
                <w:tcPr>
                  <w:tcW w:w="1188" w:type="dxa"/>
                  <w:vMerge w:val="restart"/>
                  <w:tcBorders>
                    <w:top w:val="single" w:color="auto" w:sz="18" w:space="0"/>
                    <w:right w:val="nil"/>
                  </w:tcBorders>
                  <w:shd w:val="clear" w:color="auto" w:fill="auto"/>
                  <w:vAlign w:val="center"/>
                </w:tcPr>
                <w:p>
                  <w:pPr>
                    <w:pStyle w:val="113"/>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101" w:type="dxa"/>
                  <w:vMerge w:val="continue"/>
                  <w:tcBorders>
                    <w:left w:val="nil"/>
                  </w:tcBorders>
                  <w:shd w:val="clear" w:color="auto" w:fill="auto"/>
                  <w:vAlign w:val="center"/>
                </w:tcPr>
                <w:p>
                  <w:pPr>
                    <w:pStyle w:val="113"/>
                    <w:rPr>
                      <w:color w:val="auto"/>
                      <w:highlight w:val="none"/>
                    </w:rPr>
                  </w:pPr>
                </w:p>
              </w:tc>
              <w:tc>
                <w:tcPr>
                  <w:tcW w:w="803" w:type="dxa"/>
                  <w:shd w:val="clear" w:color="auto" w:fill="auto"/>
                  <w:vAlign w:val="center"/>
                </w:tcPr>
                <w:p>
                  <w:pPr>
                    <w:pStyle w:val="113"/>
                    <w:rPr>
                      <w:color w:val="auto"/>
                      <w:highlight w:val="none"/>
                    </w:rPr>
                  </w:pPr>
                </w:p>
              </w:tc>
              <w:tc>
                <w:tcPr>
                  <w:tcW w:w="803" w:type="dxa"/>
                  <w:shd w:val="clear" w:color="auto" w:fill="auto"/>
                  <w:vAlign w:val="center"/>
                </w:tcPr>
                <w:p>
                  <w:pPr>
                    <w:pStyle w:val="113"/>
                    <w:rPr>
                      <w:color w:val="auto"/>
                      <w:highlight w:val="none"/>
                    </w:rPr>
                  </w:pPr>
                </w:p>
              </w:tc>
              <w:tc>
                <w:tcPr>
                  <w:tcW w:w="803" w:type="dxa"/>
                  <w:shd w:val="clear" w:color="auto" w:fill="auto"/>
                  <w:vAlign w:val="center"/>
                </w:tcPr>
                <w:p>
                  <w:pPr>
                    <w:pStyle w:val="113"/>
                    <w:rPr>
                      <w:color w:val="auto"/>
                      <w:highlight w:val="none"/>
                    </w:rPr>
                  </w:pPr>
                </w:p>
              </w:tc>
              <w:tc>
                <w:tcPr>
                  <w:tcW w:w="993" w:type="dxa"/>
                  <w:vMerge w:val="continue"/>
                  <w:shd w:val="clear" w:color="auto" w:fill="auto"/>
                  <w:vAlign w:val="center"/>
                </w:tcPr>
                <w:p>
                  <w:pPr>
                    <w:pStyle w:val="113"/>
                    <w:rPr>
                      <w:color w:val="auto"/>
                      <w:highlight w:val="none"/>
                    </w:rPr>
                  </w:pPr>
                </w:p>
              </w:tc>
              <w:tc>
                <w:tcPr>
                  <w:tcW w:w="1417" w:type="dxa"/>
                  <w:vMerge w:val="continue"/>
                  <w:shd w:val="clear" w:color="auto" w:fill="auto"/>
                  <w:vAlign w:val="center"/>
                </w:tcPr>
                <w:p>
                  <w:pPr>
                    <w:pStyle w:val="113"/>
                    <w:rPr>
                      <w:color w:val="auto"/>
                      <w:highlight w:val="none"/>
                    </w:rPr>
                  </w:pPr>
                </w:p>
              </w:tc>
              <w:tc>
                <w:tcPr>
                  <w:tcW w:w="1418" w:type="dxa"/>
                  <w:vMerge w:val="continue"/>
                  <w:shd w:val="clear" w:color="auto" w:fill="auto"/>
                  <w:vAlign w:val="center"/>
                </w:tcPr>
                <w:p>
                  <w:pPr>
                    <w:pStyle w:val="113"/>
                    <w:rPr>
                      <w:color w:val="auto"/>
                      <w:highlight w:val="none"/>
                    </w:rPr>
                  </w:pPr>
                </w:p>
              </w:tc>
              <w:tc>
                <w:tcPr>
                  <w:tcW w:w="1188" w:type="dxa"/>
                  <w:vMerge w:val="continue"/>
                  <w:tcBorders>
                    <w:right w:val="nil"/>
                  </w:tcBorders>
                  <w:shd w:val="clear" w:color="auto" w:fill="auto"/>
                  <w:vAlign w:val="center"/>
                </w:tcPr>
                <w:p>
                  <w:pPr>
                    <w:pStyle w:val="113"/>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1101" w:type="dxa"/>
                  <w:vMerge w:val="restart"/>
                  <w:tcBorders>
                    <w:left w:val="nil"/>
                  </w:tcBorders>
                  <w:shd w:val="clear" w:color="auto" w:fill="auto"/>
                  <w:vAlign w:val="center"/>
                </w:tcPr>
                <w:p>
                  <w:pPr>
                    <w:pStyle w:val="113"/>
                    <w:rPr>
                      <w:color w:val="auto"/>
                      <w:highlight w:val="none"/>
                    </w:rPr>
                  </w:pPr>
                </w:p>
              </w:tc>
              <w:tc>
                <w:tcPr>
                  <w:tcW w:w="803" w:type="dxa"/>
                  <w:shd w:val="clear" w:color="auto" w:fill="auto"/>
                  <w:vAlign w:val="center"/>
                </w:tcPr>
                <w:p>
                  <w:pPr>
                    <w:pStyle w:val="113"/>
                    <w:rPr>
                      <w:color w:val="auto"/>
                      <w:highlight w:val="none"/>
                    </w:rPr>
                  </w:pPr>
                </w:p>
              </w:tc>
              <w:tc>
                <w:tcPr>
                  <w:tcW w:w="803" w:type="dxa"/>
                  <w:shd w:val="clear" w:color="auto" w:fill="auto"/>
                  <w:vAlign w:val="center"/>
                </w:tcPr>
                <w:p>
                  <w:pPr>
                    <w:pStyle w:val="113"/>
                    <w:rPr>
                      <w:color w:val="auto"/>
                      <w:highlight w:val="none"/>
                    </w:rPr>
                  </w:pPr>
                </w:p>
              </w:tc>
              <w:tc>
                <w:tcPr>
                  <w:tcW w:w="803" w:type="dxa"/>
                  <w:shd w:val="clear" w:color="auto" w:fill="auto"/>
                  <w:vAlign w:val="center"/>
                </w:tcPr>
                <w:p>
                  <w:pPr>
                    <w:pStyle w:val="113"/>
                    <w:rPr>
                      <w:color w:val="auto"/>
                      <w:highlight w:val="none"/>
                    </w:rPr>
                  </w:pPr>
                </w:p>
              </w:tc>
              <w:tc>
                <w:tcPr>
                  <w:tcW w:w="993" w:type="dxa"/>
                  <w:shd w:val="clear" w:color="auto" w:fill="auto"/>
                  <w:vAlign w:val="center"/>
                </w:tcPr>
                <w:p>
                  <w:pPr>
                    <w:pStyle w:val="113"/>
                    <w:rPr>
                      <w:color w:val="auto"/>
                      <w:highlight w:val="none"/>
                    </w:rPr>
                  </w:pPr>
                </w:p>
              </w:tc>
              <w:tc>
                <w:tcPr>
                  <w:tcW w:w="1417" w:type="dxa"/>
                  <w:shd w:val="clear" w:color="auto" w:fill="auto"/>
                  <w:vAlign w:val="center"/>
                </w:tcPr>
                <w:p>
                  <w:pPr>
                    <w:pStyle w:val="113"/>
                    <w:rPr>
                      <w:color w:val="auto"/>
                      <w:highlight w:val="none"/>
                    </w:rPr>
                  </w:pPr>
                </w:p>
              </w:tc>
              <w:tc>
                <w:tcPr>
                  <w:tcW w:w="1418" w:type="dxa"/>
                  <w:shd w:val="clear" w:color="auto" w:fill="auto"/>
                  <w:vAlign w:val="center"/>
                </w:tcPr>
                <w:p>
                  <w:pPr>
                    <w:pStyle w:val="113"/>
                    <w:rPr>
                      <w:color w:val="auto"/>
                      <w:highlight w:val="none"/>
                    </w:rPr>
                  </w:pPr>
                </w:p>
              </w:tc>
              <w:tc>
                <w:tcPr>
                  <w:tcW w:w="1188" w:type="dxa"/>
                  <w:tcBorders>
                    <w:right w:val="nil"/>
                  </w:tcBorders>
                  <w:shd w:val="clear" w:color="auto" w:fill="auto"/>
                  <w:vAlign w:val="center"/>
                </w:tcPr>
                <w:p>
                  <w:pPr>
                    <w:pStyle w:val="113"/>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1101" w:type="dxa"/>
                  <w:vMerge w:val="continue"/>
                  <w:tcBorders>
                    <w:left w:val="nil"/>
                  </w:tcBorders>
                  <w:shd w:val="clear" w:color="auto" w:fill="auto"/>
                  <w:vAlign w:val="center"/>
                </w:tcPr>
                <w:p>
                  <w:pPr>
                    <w:pStyle w:val="113"/>
                    <w:rPr>
                      <w:color w:val="auto"/>
                      <w:highlight w:val="none"/>
                    </w:rPr>
                  </w:pPr>
                </w:p>
              </w:tc>
              <w:tc>
                <w:tcPr>
                  <w:tcW w:w="803" w:type="dxa"/>
                  <w:shd w:val="clear" w:color="auto" w:fill="auto"/>
                  <w:vAlign w:val="center"/>
                </w:tcPr>
                <w:p>
                  <w:pPr>
                    <w:pStyle w:val="113"/>
                    <w:rPr>
                      <w:color w:val="auto"/>
                      <w:highlight w:val="none"/>
                    </w:rPr>
                  </w:pPr>
                </w:p>
              </w:tc>
              <w:tc>
                <w:tcPr>
                  <w:tcW w:w="803" w:type="dxa"/>
                  <w:shd w:val="clear" w:color="auto" w:fill="auto"/>
                  <w:vAlign w:val="center"/>
                </w:tcPr>
                <w:p>
                  <w:pPr>
                    <w:pStyle w:val="113"/>
                    <w:rPr>
                      <w:color w:val="auto"/>
                      <w:highlight w:val="none"/>
                    </w:rPr>
                  </w:pPr>
                </w:p>
              </w:tc>
              <w:tc>
                <w:tcPr>
                  <w:tcW w:w="803" w:type="dxa"/>
                  <w:shd w:val="clear" w:color="auto" w:fill="auto"/>
                  <w:vAlign w:val="center"/>
                </w:tcPr>
                <w:p>
                  <w:pPr>
                    <w:pStyle w:val="113"/>
                    <w:rPr>
                      <w:color w:val="auto"/>
                      <w:highlight w:val="none"/>
                    </w:rPr>
                  </w:pPr>
                </w:p>
              </w:tc>
              <w:tc>
                <w:tcPr>
                  <w:tcW w:w="993" w:type="dxa"/>
                  <w:shd w:val="clear" w:color="auto" w:fill="auto"/>
                  <w:vAlign w:val="center"/>
                </w:tcPr>
                <w:p>
                  <w:pPr>
                    <w:pStyle w:val="113"/>
                    <w:rPr>
                      <w:color w:val="auto"/>
                      <w:highlight w:val="none"/>
                    </w:rPr>
                  </w:pPr>
                </w:p>
              </w:tc>
              <w:tc>
                <w:tcPr>
                  <w:tcW w:w="1417" w:type="dxa"/>
                  <w:shd w:val="clear" w:color="auto" w:fill="auto"/>
                  <w:vAlign w:val="center"/>
                </w:tcPr>
                <w:p>
                  <w:pPr>
                    <w:pStyle w:val="113"/>
                    <w:rPr>
                      <w:color w:val="auto"/>
                      <w:highlight w:val="none"/>
                    </w:rPr>
                  </w:pPr>
                </w:p>
              </w:tc>
              <w:tc>
                <w:tcPr>
                  <w:tcW w:w="1418" w:type="dxa"/>
                  <w:shd w:val="clear" w:color="auto" w:fill="auto"/>
                  <w:vAlign w:val="center"/>
                </w:tcPr>
                <w:p>
                  <w:pPr>
                    <w:pStyle w:val="113"/>
                    <w:rPr>
                      <w:color w:val="auto"/>
                      <w:highlight w:val="none"/>
                    </w:rPr>
                  </w:pPr>
                </w:p>
              </w:tc>
              <w:tc>
                <w:tcPr>
                  <w:tcW w:w="1188" w:type="dxa"/>
                  <w:tcBorders>
                    <w:right w:val="nil"/>
                  </w:tcBorders>
                  <w:shd w:val="clear" w:color="auto" w:fill="auto"/>
                  <w:vAlign w:val="center"/>
                </w:tcPr>
                <w:p>
                  <w:pPr>
                    <w:pStyle w:val="113"/>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1101" w:type="dxa"/>
                  <w:vMerge w:val="restart"/>
                  <w:tcBorders>
                    <w:left w:val="nil"/>
                  </w:tcBorders>
                  <w:shd w:val="clear" w:color="auto" w:fill="auto"/>
                  <w:vAlign w:val="center"/>
                </w:tcPr>
                <w:p>
                  <w:pPr>
                    <w:pStyle w:val="113"/>
                    <w:rPr>
                      <w:color w:val="auto"/>
                      <w:highlight w:val="none"/>
                    </w:rPr>
                  </w:pPr>
                </w:p>
              </w:tc>
              <w:tc>
                <w:tcPr>
                  <w:tcW w:w="803" w:type="dxa"/>
                  <w:shd w:val="clear" w:color="auto" w:fill="auto"/>
                  <w:vAlign w:val="center"/>
                </w:tcPr>
                <w:p>
                  <w:pPr>
                    <w:pStyle w:val="113"/>
                    <w:rPr>
                      <w:color w:val="auto"/>
                      <w:highlight w:val="none"/>
                    </w:rPr>
                  </w:pPr>
                </w:p>
              </w:tc>
              <w:tc>
                <w:tcPr>
                  <w:tcW w:w="803" w:type="dxa"/>
                  <w:shd w:val="clear" w:color="auto" w:fill="auto"/>
                  <w:vAlign w:val="center"/>
                </w:tcPr>
                <w:p>
                  <w:pPr>
                    <w:pStyle w:val="113"/>
                    <w:rPr>
                      <w:color w:val="auto"/>
                      <w:highlight w:val="none"/>
                    </w:rPr>
                  </w:pPr>
                </w:p>
              </w:tc>
              <w:tc>
                <w:tcPr>
                  <w:tcW w:w="803" w:type="dxa"/>
                  <w:shd w:val="clear" w:color="auto" w:fill="auto"/>
                  <w:vAlign w:val="center"/>
                </w:tcPr>
                <w:p>
                  <w:pPr>
                    <w:pStyle w:val="113"/>
                    <w:rPr>
                      <w:color w:val="auto"/>
                      <w:highlight w:val="none"/>
                    </w:rPr>
                  </w:pPr>
                </w:p>
              </w:tc>
              <w:tc>
                <w:tcPr>
                  <w:tcW w:w="993" w:type="dxa"/>
                  <w:shd w:val="clear" w:color="auto" w:fill="auto"/>
                  <w:vAlign w:val="center"/>
                </w:tcPr>
                <w:p>
                  <w:pPr>
                    <w:pStyle w:val="113"/>
                    <w:rPr>
                      <w:color w:val="auto"/>
                      <w:highlight w:val="none"/>
                    </w:rPr>
                  </w:pPr>
                </w:p>
              </w:tc>
              <w:tc>
                <w:tcPr>
                  <w:tcW w:w="1417" w:type="dxa"/>
                  <w:shd w:val="clear" w:color="auto" w:fill="auto"/>
                  <w:vAlign w:val="center"/>
                </w:tcPr>
                <w:p>
                  <w:pPr>
                    <w:pStyle w:val="113"/>
                    <w:rPr>
                      <w:color w:val="auto"/>
                      <w:highlight w:val="none"/>
                    </w:rPr>
                  </w:pPr>
                </w:p>
              </w:tc>
              <w:tc>
                <w:tcPr>
                  <w:tcW w:w="1418" w:type="dxa"/>
                  <w:shd w:val="clear" w:color="auto" w:fill="auto"/>
                  <w:vAlign w:val="center"/>
                </w:tcPr>
                <w:p>
                  <w:pPr>
                    <w:pStyle w:val="113"/>
                    <w:rPr>
                      <w:color w:val="auto"/>
                      <w:highlight w:val="none"/>
                    </w:rPr>
                  </w:pPr>
                </w:p>
              </w:tc>
              <w:tc>
                <w:tcPr>
                  <w:tcW w:w="1188" w:type="dxa"/>
                  <w:tcBorders>
                    <w:right w:val="nil"/>
                  </w:tcBorders>
                  <w:shd w:val="clear" w:color="auto" w:fill="auto"/>
                  <w:vAlign w:val="center"/>
                </w:tcPr>
                <w:p>
                  <w:pPr>
                    <w:pStyle w:val="113"/>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1101" w:type="dxa"/>
                  <w:vMerge w:val="continue"/>
                  <w:tcBorders>
                    <w:left w:val="nil"/>
                  </w:tcBorders>
                  <w:shd w:val="clear" w:color="auto" w:fill="auto"/>
                  <w:vAlign w:val="center"/>
                </w:tcPr>
                <w:p>
                  <w:pPr>
                    <w:pStyle w:val="113"/>
                    <w:rPr>
                      <w:color w:val="auto"/>
                      <w:highlight w:val="none"/>
                    </w:rPr>
                  </w:pPr>
                </w:p>
              </w:tc>
              <w:tc>
                <w:tcPr>
                  <w:tcW w:w="803" w:type="dxa"/>
                  <w:shd w:val="clear" w:color="auto" w:fill="auto"/>
                  <w:vAlign w:val="center"/>
                </w:tcPr>
                <w:p>
                  <w:pPr>
                    <w:pStyle w:val="113"/>
                    <w:rPr>
                      <w:color w:val="auto"/>
                      <w:highlight w:val="none"/>
                    </w:rPr>
                  </w:pPr>
                </w:p>
              </w:tc>
              <w:tc>
                <w:tcPr>
                  <w:tcW w:w="803" w:type="dxa"/>
                  <w:shd w:val="clear" w:color="auto" w:fill="auto"/>
                  <w:vAlign w:val="center"/>
                </w:tcPr>
                <w:p>
                  <w:pPr>
                    <w:pStyle w:val="113"/>
                    <w:rPr>
                      <w:color w:val="auto"/>
                      <w:highlight w:val="none"/>
                    </w:rPr>
                  </w:pPr>
                </w:p>
              </w:tc>
              <w:tc>
                <w:tcPr>
                  <w:tcW w:w="803" w:type="dxa"/>
                  <w:shd w:val="clear" w:color="auto" w:fill="auto"/>
                  <w:vAlign w:val="center"/>
                </w:tcPr>
                <w:p>
                  <w:pPr>
                    <w:pStyle w:val="113"/>
                    <w:rPr>
                      <w:color w:val="auto"/>
                      <w:highlight w:val="none"/>
                    </w:rPr>
                  </w:pPr>
                </w:p>
              </w:tc>
              <w:tc>
                <w:tcPr>
                  <w:tcW w:w="993" w:type="dxa"/>
                  <w:shd w:val="clear" w:color="auto" w:fill="auto"/>
                  <w:vAlign w:val="center"/>
                </w:tcPr>
                <w:p>
                  <w:pPr>
                    <w:pStyle w:val="113"/>
                    <w:rPr>
                      <w:color w:val="auto"/>
                      <w:highlight w:val="none"/>
                    </w:rPr>
                  </w:pPr>
                </w:p>
              </w:tc>
              <w:tc>
                <w:tcPr>
                  <w:tcW w:w="1417" w:type="dxa"/>
                  <w:shd w:val="clear" w:color="auto" w:fill="auto"/>
                  <w:vAlign w:val="center"/>
                </w:tcPr>
                <w:p>
                  <w:pPr>
                    <w:pStyle w:val="113"/>
                    <w:rPr>
                      <w:color w:val="auto"/>
                      <w:highlight w:val="none"/>
                    </w:rPr>
                  </w:pPr>
                </w:p>
              </w:tc>
              <w:tc>
                <w:tcPr>
                  <w:tcW w:w="1418" w:type="dxa"/>
                  <w:shd w:val="clear" w:color="auto" w:fill="auto"/>
                  <w:vAlign w:val="center"/>
                </w:tcPr>
                <w:p>
                  <w:pPr>
                    <w:pStyle w:val="113"/>
                    <w:rPr>
                      <w:color w:val="auto"/>
                      <w:highlight w:val="none"/>
                    </w:rPr>
                  </w:pPr>
                </w:p>
              </w:tc>
              <w:tc>
                <w:tcPr>
                  <w:tcW w:w="1188" w:type="dxa"/>
                  <w:tcBorders>
                    <w:right w:val="nil"/>
                  </w:tcBorders>
                  <w:shd w:val="clear" w:color="auto" w:fill="auto"/>
                  <w:vAlign w:val="center"/>
                </w:tcPr>
                <w:p>
                  <w:pPr>
                    <w:pStyle w:val="113"/>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1101" w:type="dxa"/>
                  <w:vMerge w:val="restart"/>
                  <w:tcBorders>
                    <w:left w:val="nil"/>
                  </w:tcBorders>
                  <w:shd w:val="clear" w:color="auto" w:fill="auto"/>
                  <w:vAlign w:val="center"/>
                </w:tcPr>
                <w:p>
                  <w:pPr>
                    <w:pStyle w:val="113"/>
                    <w:rPr>
                      <w:color w:val="auto"/>
                      <w:highlight w:val="none"/>
                    </w:rPr>
                  </w:pPr>
                </w:p>
              </w:tc>
              <w:tc>
                <w:tcPr>
                  <w:tcW w:w="803" w:type="dxa"/>
                  <w:shd w:val="clear" w:color="auto" w:fill="auto"/>
                  <w:vAlign w:val="center"/>
                </w:tcPr>
                <w:p>
                  <w:pPr>
                    <w:pStyle w:val="113"/>
                    <w:rPr>
                      <w:color w:val="auto"/>
                      <w:highlight w:val="none"/>
                    </w:rPr>
                  </w:pPr>
                </w:p>
              </w:tc>
              <w:tc>
                <w:tcPr>
                  <w:tcW w:w="803" w:type="dxa"/>
                  <w:shd w:val="clear" w:color="auto" w:fill="auto"/>
                  <w:vAlign w:val="center"/>
                </w:tcPr>
                <w:p>
                  <w:pPr>
                    <w:pStyle w:val="113"/>
                    <w:rPr>
                      <w:color w:val="auto"/>
                      <w:highlight w:val="none"/>
                    </w:rPr>
                  </w:pPr>
                </w:p>
              </w:tc>
              <w:tc>
                <w:tcPr>
                  <w:tcW w:w="803" w:type="dxa"/>
                  <w:shd w:val="clear" w:color="auto" w:fill="auto"/>
                  <w:vAlign w:val="center"/>
                </w:tcPr>
                <w:p>
                  <w:pPr>
                    <w:pStyle w:val="113"/>
                    <w:rPr>
                      <w:color w:val="auto"/>
                      <w:highlight w:val="none"/>
                    </w:rPr>
                  </w:pPr>
                </w:p>
              </w:tc>
              <w:tc>
                <w:tcPr>
                  <w:tcW w:w="993" w:type="dxa"/>
                  <w:shd w:val="clear" w:color="auto" w:fill="auto"/>
                  <w:vAlign w:val="center"/>
                </w:tcPr>
                <w:p>
                  <w:pPr>
                    <w:pStyle w:val="113"/>
                    <w:rPr>
                      <w:color w:val="auto"/>
                      <w:highlight w:val="none"/>
                    </w:rPr>
                  </w:pPr>
                </w:p>
              </w:tc>
              <w:tc>
                <w:tcPr>
                  <w:tcW w:w="1417" w:type="dxa"/>
                  <w:shd w:val="clear" w:color="auto" w:fill="auto"/>
                  <w:vAlign w:val="center"/>
                </w:tcPr>
                <w:p>
                  <w:pPr>
                    <w:pStyle w:val="113"/>
                    <w:rPr>
                      <w:color w:val="auto"/>
                      <w:highlight w:val="none"/>
                    </w:rPr>
                  </w:pPr>
                </w:p>
              </w:tc>
              <w:tc>
                <w:tcPr>
                  <w:tcW w:w="1418" w:type="dxa"/>
                  <w:shd w:val="clear" w:color="auto" w:fill="auto"/>
                  <w:vAlign w:val="center"/>
                </w:tcPr>
                <w:p>
                  <w:pPr>
                    <w:pStyle w:val="113"/>
                    <w:rPr>
                      <w:color w:val="auto"/>
                      <w:highlight w:val="none"/>
                    </w:rPr>
                  </w:pPr>
                </w:p>
              </w:tc>
              <w:tc>
                <w:tcPr>
                  <w:tcW w:w="1188" w:type="dxa"/>
                  <w:tcBorders>
                    <w:right w:val="nil"/>
                  </w:tcBorders>
                  <w:shd w:val="clear" w:color="auto" w:fill="auto"/>
                  <w:vAlign w:val="center"/>
                </w:tcPr>
                <w:p>
                  <w:pPr>
                    <w:pStyle w:val="113"/>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1101" w:type="dxa"/>
                  <w:vMerge w:val="continue"/>
                  <w:tcBorders>
                    <w:left w:val="nil"/>
                  </w:tcBorders>
                  <w:shd w:val="clear" w:color="auto" w:fill="auto"/>
                  <w:vAlign w:val="center"/>
                </w:tcPr>
                <w:p>
                  <w:pPr>
                    <w:pStyle w:val="113"/>
                    <w:rPr>
                      <w:color w:val="auto"/>
                      <w:highlight w:val="none"/>
                    </w:rPr>
                  </w:pPr>
                </w:p>
              </w:tc>
              <w:tc>
                <w:tcPr>
                  <w:tcW w:w="803" w:type="dxa"/>
                  <w:shd w:val="clear" w:color="auto" w:fill="auto"/>
                  <w:vAlign w:val="center"/>
                </w:tcPr>
                <w:p>
                  <w:pPr>
                    <w:pStyle w:val="113"/>
                    <w:rPr>
                      <w:color w:val="auto"/>
                      <w:highlight w:val="none"/>
                    </w:rPr>
                  </w:pPr>
                </w:p>
              </w:tc>
              <w:tc>
                <w:tcPr>
                  <w:tcW w:w="803" w:type="dxa"/>
                  <w:shd w:val="clear" w:color="auto" w:fill="auto"/>
                  <w:vAlign w:val="center"/>
                </w:tcPr>
                <w:p>
                  <w:pPr>
                    <w:pStyle w:val="113"/>
                    <w:rPr>
                      <w:color w:val="auto"/>
                      <w:highlight w:val="none"/>
                    </w:rPr>
                  </w:pPr>
                </w:p>
              </w:tc>
              <w:tc>
                <w:tcPr>
                  <w:tcW w:w="803" w:type="dxa"/>
                  <w:shd w:val="clear" w:color="auto" w:fill="auto"/>
                  <w:vAlign w:val="center"/>
                </w:tcPr>
                <w:p>
                  <w:pPr>
                    <w:pStyle w:val="113"/>
                    <w:rPr>
                      <w:color w:val="auto"/>
                      <w:highlight w:val="none"/>
                    </w:rPr>
                  </w:pPr>
                </w:p>
              </w:tc>
              <w:tc>
                <w:tcPr>
                  <w:tcW w:w="993" w:type="dxa"/>
                  <w:shd w:val="clear" w:color="auto" w:fill="auto"/>
                  <w:vAlign w:val="center"/>
                </w:tcPr>
                <w:p>
                  <w:pPr>
                    <w:pStyle w:val="113"/>
                    <w:rPr>
                      <w:color w:val="auto"/>
                      <w:highlight w:val="none"/>
                    </w:rPr>
                  </w:pPr>
                </w:p>
              </w:tc>
              <w:tc>
                <w:tcPr>
                  <w:tcW w:w="1417" w:type="dxa"/>
                  <w:shd w:val="clear" w:color="auto" w:fill="auto"/>
                  <w:vAlign w:val="center"/>
                </w:tcPr>
                <w:p>
                  <w:pPr>
                    <w:pStyle w:val="113"/>
                    <w:rPr>
                      <w:color w:val="auto"/>
                      <w:highlight w:val="none"/>
                    </w:rPr>
                  </w:pPr>
                </w:p>
              </w:tc>
              <w:tc>
                <w:tcPr>
                  <w:tcW w:w="1418" w:type="dxa"/>
                  <w:shd w:val="clear" w:color="auto" w:fill="auto"/>
                  <w:vAlign w:val="center"/>
                </w:tcPr>
                <w:p>
                  <w:pPr>
                    <w:pStyle w:val="113"/>
                    <w:rPr>
                      <w:color w:val="auto"/>
                      <w:highlight w:val="none"/>
                    </w:rPr>
                  </w:pPr>
                </w:p>
              </w:tc>
              <w:tc>
                <w:tcPr>
                  <w:tcW w:w="1188" w:type="dxa"/>
                  <w:tcBorders>
                    <w:right w:val="nil"/>
                  </w:tcBorders>
                  <w:shd w:val="clear" w:color="auto" w:fill="auto"/>
                  <w:vAlign w:val="center"/>
                </w:tcPr>
                <w:p>
                  <w:pPr>
                    <w:pStyle w:val="113"/>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1101" w:type="dxa"/>
                  <w:vMerge w:val="restart"/>
                  <w:tcBorders>
                    <w:left w:val="nil"/>
                  </w:tcBorders>
                  <w:shd w:val="clear" w:color="auto" w:fill="auto"/>
                  <w:vAlign w:val="center"/>
                </w:tcPr>
                <w:p>
                  <w:pPr>
                    <w:pStyle w:val="113"/>
                    <w:rPr>
                      <w:color w:val="auto"/>
                      <w:highlight w:val="none"/>
                    </w:rPr>
                  </w:pPr>
                </w:p>
              </w:tc>
              <w:tc>
                <w:tcPr>
                  <w:tcW w:w="803" w:type="dxa"/>
                  <w:shd w:val="clear" w:color="auto" w:fill="auto"/>
                  <w:vAlign w:val="center"/>
                </w:tcPr>
                <w:p>
                  <w:pPr>
                    <w:pStyle w:val="113"/>
                    <w:rPr>
                      <w:color w:val="auto"/>
                      <w:highlight w:val="none"/>
                    </w:rPr>
                  </w:pPr>
                </w:p>
              </w:tc>
              <w:tc>
                <w:tcPr>
                  <w:tcW w:w="803" w:type="dxa"/>
                  <w:shd w:val="clear" w:color="auto" w:fill="auto"/>
                  <w:vAlign w:val="center"/>
                </w:tcPr>
                <w:p>
                  <w:pPr>
                    <w:pStyle w:val="113"/>
                    <w:rPr>
                      <w:color w:val="auto"/>
                      <w:highlight w:val="none"/>
                    </w:rPr>
                  </w:pPr>
                </w:p>
              </w:tc>
              <w:tc>
                <w:tcPr>
                  <w:tcW w:w="803" w:type="dxa"/>
                  <w:shd w:val="clear" w:color="auto" w:fill="auto"/>
                  <w:vAlign w:val="center"/>
                </w:tcPr>
                <w:p>
                  <w:pPr>
                    <w:pStyle w:val="113"/>
                    <w:rPr>
                      <w:color w:val="auto"/>
                      <w:highlight w:val="none"/>
                    </w:rPr>
                  </w:pPr>
                </w:p>
              </w:tc>
              <w:tc>
                <w:tcPr>
                  <w:tcW w:w="993" w:type="dxa"/>
                  <w:shd w:val="clear" w:color="auto" w:fill="auto"/>
                  <w:vAlign w:val="center"/>
                </w:tcPr>
                <w:p>
                  <w:pPr>
                    <w:pStyle w:val="113"/>
                    <w:rPr>
                      <w:color w:val="auto"/>
                      <w:highlight w:val="none"/>
                    </w:rPr>
                  </w:pPr>
                </w:p>
              </w:tc>
              <w:tc>
                <w:tcPr>
                  <w:tcW w:w="1417" w:type="dxa"/>
                  <w:shd w:val="clear" w:color="auto" w:fill="auto"/>
                  <w:vAlign w:val="center"/>
                </w:tcPr>
                <w:p>
                  <w:pPr>
                    <w:pStyle w:val="113"/>
                    <w:rPr>
                      <w:color w:val="auto"/>
                      <w:highlight w:val="none"/>
                    </w:rPr>
                  </w:pPr>
                </w:p>
              </w:tc>
              <w:tc>
                <w:tcPr>
                  <w:tcW w:w="1418" w:type="dxa"/>
                  <w:shd w:val="clear" w:color="auto" w:fill="auto"/>
                  <w:vAlign w:val="center"/>
                </w:tcPr>
                <w:p>
                  <w:pPr>
                    <w:pStyle w:val="113"/>
                    <w:rPr>
                      <w:color w:val="auto"/>
                      <w:highlight w:val="none"/>
                    </w:rPr>
                  </w:pPr>
                </w:p>
              </w:tc>
              <w:tc>
                <w:tcPr>
                  <w:tcW w:w="1188" w:type="dxa"/>
                  <w:tcBorders>
                    <w:right w:val="nil"/>
                  </w:tcBorders>
                  <w:shd w:val="clear" w:color="auto" w:fill="auto"/>
                  <w:vAlign w:val="center"/>
                </w:tcPr>
                <w:p>
                  <w:pPr>
                    <w:pStyle w:val="113"/>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1101" w:type="dxa"/>
                  <w:vMerge w:val="continue"/>
                  <w:tcBorders>
                    <w:left w:val="nil"/>
                    <w:bottom w:val="single" w:color="auto" w:sz="18" w:space="0"/>
                  </w:tcBorders>
                  <w:shd w:val="clear" w:color="auto" w:fill="auto"/>
                  <w:vAlign w:val="center"/>
                </w:tcPr>
                <w:p>
                  <w:pPr>
                    <w:pStyle w:val="113"/>
                    <w:rPr>
                      <w:color w:val="auto"/>
                      <w:highlight w:val="none"/>
                    </w:rPr>
                  </w:pPr>
                </w:p>
              </w:tc>
              <w:tc>
                <w:tcPr>
                  <w:tcW w:w="803" w:type="dxa"/>
                  <w:tcBorders>
                    <w:bottom w:val="single" w:color="auto" w:sz="18" w:space="0"/>
                  </w:tcBorders>
                  <w:shd w:val="clear" w:color="auto" w:fill="auto"/>
                  <w:vAlign w:val="center"/>
                </w:tcPr>
                <w:p>
                  <w:pPr>
                    <w:pStyle w:val="113"/>
                    <w:rPr>
                      <w:color w:val="auto"/>
                      <w:highlight w:val="none"/>
                    </w:rPr>
                  </w:pPr>
                </w:p>
              </w:tc>
              <w:tc>
                <w:tcPr>
                  <w:tcW w:w="803" w:type="dxa"/>
                  <w:tcBorders>
                    <w:bottom w:val="single" w:color="auto" w:sz="18" w:space="0"/>
                  </w:tcBorders>
                  <w:shd w:val="clear" w:color="auto" w:fill="auto"/>
                  <w:vAlign w:val="center"/>
                </w:tcPr>
                <w:p>
                  <w:pPr>
                    <w:pStyle w:val="113"/>
                    <w:rPr>
                      <w:color w:val="auto"/>
                      <w:highlight w:val="none"/>
                    </w:rPr>
                  </w:pPr>
                </w:p>
              </w:tc>
              <w:tc>
                <w:tcPr>
                  <w:tcW w:w="803" w:type="dxa"/>
                  <w:tcBorders>
                    <w:bottom w:val="single" w:color="auto" w:sz="18" w:space="0"/>
                  </w:tcBorders>
                  <w:shd w:val="clear" w:color="auto" w:fill="auto"/>
                  <w:vAlign w:val="center"/>
                </w:tcPr>
                <w:p>
                  <w:pPr>
                    <w:pStyle w:val="113"/>
                    <w:rPr>
                      <w:color w:val="auto"/>
                      <w:highlight w:val="none"/>
                    </w:rPr>
                  </w:pPr>
                </w:p>
              </w:tc>
              <w:tc>
                <w:tcPr>
                  <w:tcW w:w="993" w:type="dxa"/>
                  <w:tcBorders>
                    <w:bottom w:val="single" w:color="auto" w:sz="18" w:space="0"/>
                  </w:tcBorders>
                  <w:shd w:val="clear" w:color="auto" w:fill="auto"/>
                  <w:vAlign w:val="center"/>
                </w:tcPr>
                <w:p>
                  <w:pPr>
                    <w:pStyle w:val="113"/>
                    <w:rPr>
                      <w:color w:val="auto"/>
                      <w:highlight w:val="none"/>
                    </w:rPr>
                  </w:pPr>
                </w:p>
              </w:tc>
              <w:tc>
                <w:tcPr>
                  <w:tcW w:w="1417" w:type="dxa"/>
                  <w:tcBorders>
                    <w:bottom w:val="single" w:color="auto" w:sz="18" w:space="0"/>
                  </w:tcBorders>
                  <w:shd w:val="clear" w:color="auto" w:fill="auto"/>
                  <w:vAlign w:val="center"/>
                </w:tcPr>
                <w:p>
                  <w:pPr>
                    <w:pStyle w:val="113"/>
                    <w:rPr>
                      <w:color w:val="auto"/>
                      <w:highlight w:val="none"/>
                    </w:rPr>
                  </w:pPr>
                </w:p>
              </w:tc>
              <w:tc>
                <w:tcPr>
                  <w:tcW w:w="1418" w:type="dxa"/>
                  <w:tcBorders>
                    <w:bottom w:val="single" w:color="auto" w:sz="18" w:space="0"/>
                  </w:tcBorders>
                  <w:shd w:val="clear" w:color="auto" w:fill="auto"/>
                  <w:vAlign w:val="center"/>
                </w:tcPr>
                <w:p>
                  <w:pPr>
                    <w:pStyle w:val="113"/>
                    <w:rPr>
                      <w:color w:val="auto"/>
                      <w:highlight w:val="none"/>
                    </w:rPr>
                  </w:pPr>
                </w:p>
              </w:tc>
              <w:tc>
                <w:tcPr>
                  <w:tcW w:w="1188" w:type="dxa"/>
                  <w:tcBorders>
                    <w:bottom w:val="single" w:color="auto" w:sz="18" w:space="0"/>
                    <w:right w:val="nil"/>
                  </w:tcBorders>
                  <w:shd w:val="clear" w:color="auto" w:fill="auto"/>
                  <w:vAlign w:val="center"/>
                </w:tcPr>
                <w:p>
                  <w:pPr>
                    <w:pStyle w:val="113"/>
                    <w:rPr>
                      <w:color w:val="auto"/>
                      <w:highlight w:val="none"/>
                    </w:rPr>
                  </w:pPr>
                </w:p>
              </w:tc>
            </w:tr>
          </w:tbl>
          <w:p>
            <w:pPr>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由预测结果可以看出，厂界噪声</w:t>
            </w:r>
            <w:r>
              <w:rPr>
                <w:rFonts w:hint="eastAsia" w:cs="Times New Roman"/>
                <w:color w:val="auto"/>
                <w:highlight w:val="none"/>
                <w:lang w:val="en-US" w:eastAsia="zh-CN"/>
              </w:rPr>
              <w:t>均可</w:t>
            </w:r>
            <w:r>
              <w:rPr>
                <w:rFonts w:hint="default" w:ascii="Times New Roman" w:hAnsi="Times New Roman" w:eastAsia="宋体" w:cs="Times New Roman"/>
                <w:color w:val="auto"/>
                <w:highlight w:val="none"/>
              </w:rPr>
              <w:t>满足《工业企业厂界环境噪声排放标准》(GB12348-2008)中3类标准，因此，项目生产机械设备噪声对周边声环境影响较小。</w:t>
            </w:r>
          </w:p>
          <w:p>
            <w:pPr>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（3）运输车辆噪声影响分析</w:t>
            </w:r>
          </w:p>
          <w:p>
            <w:pPr>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运输车辆噪声与车辆的类型、构造、行驶速度、车流量以及道路的结构、宽度、坡度等密切相关，其中又以行驶速度为关键因素。根据调查，各种车辆在其设计时速下行驶时噪声最小，正常工况下的噪声大约在60～65dB(A)之间。运营期间对运输车辆加强管理和日常保养，维护运输道路路况良好等，可减少运输车辆噪声对周边</w:t>
            </w:r>
            <w:r>
              <w:rPr>
                <w:rFonts w:hint="default" w:ascii="Times New Roman" w:hAnsi="Times New Roman" w:eastAsia="宋体" w:cs="Times New Roman"/>
                <w:color w:val="auto"/>
                <w:highlight w:val="none"/>
                <w:lang w:val="en-US" w:eastAsia="zh-CN"/>
              </w:rPr>
              <w:t>声环境</w:t>
            </w:r>
            <w:r>
              <w:rPr>
                <w:rFonts w:hint="default" w:ascii="Times New Roman" w:hAnsi="Times New Roman" w:eastAsia="宋体" w:cs="Times New Roman"/>
                <w:color w:val="auto"/>
                <w:highlight w:val="none"/>
              </w:rPr>
              <w:t>的影响。</w:t>
            </w:r>
          </w:p>
          <w:p>
            <w:pPr>
              <w:pStyle w:val="4"/>
              <w:outlineLvl w:val="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4.4.3噪声污染防治措施</w:t>
            </w:r>
          </w:p>
          <w:p>
            <w:pPr>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为了进一步减少噪声对周围环境的影响，提出以下几点降噪措施：</w:t>
            </w:r>
          </w:p>
          <w:p>
            <w:pPr>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1</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在设备选型时尽可能选择低噪声设备；</w:t>
            </w:r>
          </w:p>
          <w:p>
            <w:pPr>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主要噪声设备应定期检查、维修，不符合要求的及时更换，确保设备处于良好的运转状态，杜绝因设备不正常运转时产生的高噪声现象；</w:t>
            </w:r>
          </w:p>
          <w:p>
            <w:pPr>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对设备基础采取隔振及减振措施，在生产时尽量执行关门、窗作业；</w:t>
            </w:r>
          </w:p>
          <w:p>
            <w:pPr>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4</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定期对车间内设备进行检修，防止不良工况的故障噪声产生；</w:t>
            </w:r>
          </w:p>
          <w:p>
            <w:pPr>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定时组织车间内工作人员工作指导教育，宣传降低噪声对自身影响的措施，做好职工上岗前培训。</w:t>
            </w:r>
          </w:p>
          <w:p>
            <w:pPr>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通过以上降噪措施，有效减小噪声对周边环境的影响，厂界噪声满足《工业企业厂界环境噪声排放标准》(GB12348-2008)中</w:t>
            </w:r>
            <w:r>
              <w:rPr>
                <w:rFonts w:hint="eastAsia" w:cs="Times New Roman"/>
                <w:color w:val="auto"/>
                <w:highlight w:val="none"/>
                <w:lang w:val="en-US" w:eastAsia="zh-CN"/>
              </w:rPr>
              <w:t>3</w:t>
            </w:r>
            <w:r>
              <w:rPr>
                <w:rFonts w:hint="default" w:ascii="Times New Roman" w:hAnsi="Times New Roman" w:eastAsia="宋体" w:cs="Times New Roman"/>
                <w:color w:val="auto"/>
                <w:highlight w:val="none"/>
              </w:rPr>
              <w:t>类标准，措施可行。</w:t>
            </w:r>
          </w:p>
          <w:p>
            <w:pPr>
              <w:pStyle w:val="4"/>
              <w:outlineLvl w:val="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4.4.4监测计划</w:t>
            </w:r>
          </w:p>
          <w:p>
            <w:pPr>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建设单位应该根据《排污单位自行监测技术指南总则（HJ819-2017）、《排污许可证申请与核发技术规范 废弃资源加工工业》（HJ1034-2019）和《排污许可证申请与核发技术规范 工业噪声》（HJ1301-2023），噪声监测计划见下表。</w:t>
            </w:r>
          </w:p>
          <w:p>
            <w:pPr>
              <w:pStyle w:val="6"/>
              <w:widowControl w:val="0"/>
              <w:outlineLvl w:val="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表4.4-</w:t>
            </w:r>
            <w:r>
              <w:rPr>
                <w:rFonts w:hint="eastAsia" w:cs="Times New Roman"/>
                <w:color w:val="auto"/>
                <w:highlight w:val="none"/>
                <w:lang w:val="en-US" w:eastAsia="zh-CN"/>
              </w:rPr>
              <w:t>3</w:t>
            </w:r>
            <w:r>
              <w:rPr>
                <w:rFonts w:hint="default" w:ascii="Times New Roman" w:hAnsi="Times New Roman" w:eastAsia="宋体" w:cs="Times New Roman"/>
                <w:color w:val="auto"/>
                <w:highlight w:val="none"/>
              </w:rPr>
              <w:t xml:space="preserve">  监测计划一览表</w:t>
            </w:r>
          </w:p>
          <w:tbl>
            <w:tblPr>
              <w:tblStyle w:val="49"/>
              <w:tblW w:w="841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41"/>
              <w:gridCol w:w="2276"/>
              <w:gridCol w:w="519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1"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227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监测对象</w:t>
                  </w:r>
                </w:p>
              </w:tc>
              <w:tc>
                <w:tcPr>
                  <w:tcW w:w="5198"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主要技术要求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1"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227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厂界四周</w:t>
                  </w:r>
                </w:p>
              </w:tc>
              <w:tc>
                <w:tcPr>
                  <w:tcW w:w="5198" w:type="dxa"/>
                  <w:tcBorders>
                    <w:tl2br w:val="nil"/>
                    <w:tr2bl w:val="nil"/>
                  </w:tcBorders>
                  <w:vAlign w:val="center"/>
                </w:tcPr>
                <w:p>
                  <w:pPr>
                    <w:spacing w:line="240" w:lineRule="auto"/>
                    <w:ind w:firstLine="0" w:firstLineChar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监测指标：L</w:t>
                  </w:r>
                  <w:r>
                    <w:rPr>
                      <w:rFonts w:hint="default" w:ascii="Times New Roman" w:hAnsi="Times New Roman" w:eastAsia="宋体" w:cs="Times New Roman"/>
                      <w:color w:val="auto"/>
                      <w:sz w:val="21"/>
                      <w:szCs w:val="21"/>
                      <w:highlight w:val="none"/>
                      <w:vertAlign w:val="subscript"/>
                    </w:rPr>
                    <w:t>eq</w:t>
                  </w:r>
                  <w:r>
                    <w:rPr>
                      <w:rFonts w:hint="default" w:ascii="Times New Roman" w:hAnsi="Times New Roman" w:eastAsia="宋体" w:cs="Times New Roman"/>
                      <w:color w:val="auto"/>
                      <w:sz w:val="21"/>
                      <w:szCs w:val="21"/>
                      <w:highlight w:val="none"/>
                    </w:rPr>
                    <w:t>；</w:t>
                  </w:r>
                </w:p>
                <w:p>
                  <w:pPr>
                    <w:spacing w:line="240" w:lineRule="auto"/>
                    <w:ind w:firstLine="0" w:firstLineChar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监测频次：1次/季度；</w:t>
                  </w:r>
                </w:p>
                <w:p>
                  <w:pPr>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监测点位：厂界四周</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地块二厂界四周、地块三厂界四周）</w:t>
                  </w:r>
                </w:p>
              </w:tc>
            </w:tr>
          </w:tbl>
          <w:p>
            <w:pPr>
              <w:pStyle w:val="3"/>
              <w:outlineLvl w:val="1"/>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4.5固体废物</w:t>
            </w:r>
          </w:p>
          <w:p>
            <w:pPr>
              <w:pStyle w:val="4"/>
              <w:outlineLvl w:val="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4.5.1固体废物源强</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（1）员工生活垃圾</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技改项目新增员工6人（均不住厂），</w:t>
            </w:r>
            <w:r>
              <w:rPr>
                <w:rFonts w:hint="eastAsia" w:cs="Times New Roman"/>
                <w:color w:val="auto"/>
                <w:highlight w:val="none"/>
                <w:lang w:val="en-US" w:eastAsia="zh-CN"/>
              </w:rPr>
              <w:t>技改后</w:t>
            </w:r>
            <w:r>
              <w:rPr>
                <w:rFonts w:hint="default" w:ascii="Times New Roman" w:hAnsi="Times New Roman" w:eastAsia="宋体" w:cs="Times New Roman"/>
                <w:color w:val="auto"/>
                <w:highlight w:val="none"/>
              </w:rPr>
              <w:t>二期工程总人数86人，均不住厂，依照我国不住厂职工生活污染物排放系数0.5kg/人/天，则</w:t>
            </w:r>
            <w:r>
              <w:rPr>
                <w:rFonts w:hint="eastAsia" w:cs="Times New Roman"/>
                <w:color w:val="auto"/>
                <w:highlight w:val="none"/>
                <w:lang w:val="en-US" w:eastAsia="zh-CN"/>
              </w:rPr>
              <w:t>新增</w:t>
            </w:r>
            <w:r>
              <w:rPr>
                <w:rFonts w:hint="default" w:ascii="Times New Roman" w:hAnsi="Times New Roman" w:eastAsia="宋体" w:cs="Times New Roman"/>
                <w:color w:val="auto"/>
                <w:highlight w:val="none"/>
              </w:rPr>
              <w:t>生活垃圾产生量为3kg/d（1.02t/a）</w:t>
            </w:r>
            <w:r>
              <w:rPr>
                <w:rFonts w:hint="eastAsia" w:cs="Times New Roman"/>
                <w:color w:val="auto"/>
                <w:highlight w:val="none"/>
                <w:lang w:eastAsia="zh-CN"/>
              </w:rPr>
              <w:t>、</w:t>
            </w:r>
            <w:r>
              <w:rPr>
                <w:rFonts w:hint="eastAsia" w:cs="Times New Roman"/>
                <w:color w:val="auto"/>
                <w:highlight w:val="none"/>
                <w:lang w:val="en-US" w:eastAsia="zh-CN"/>
              </w:rPr>
              <w:t>二期工程总产生量为4</w:t>
            </w:r>
            <w:r>
              <w:rPr>
                <w:rFonts w:hint="default" w:ascii="Times New Roman" w:hAnsi="Times New Roman" w:eastAsia="宋体" w:cs="Times New Roman"/>
                <w:color w:val="auto"/>
                <w:highlight w:val="none"/>
              </w:rPr>
              <w:t>3kg/d（</w:t>
            </w:r>
            <w:r>
              <w:rPr>
                <w:rFonts w:hint="eastAsia" w:cs="Times New Roman"/>
                <w:color w:val="auto"/>
                <w:highlight w:val="none"/>
                <w:lang w:val="en-US" w:eastAsia="zh-CN"/>
              </w:rPr>
              <w:t>14.6</w:t>
            </w:r>
            <w:r>
              <w:rPr>
                <w:rFonts w:hint="default" w:ascii="Times New Roman" w:hAnsi="Times New Roman" w:eastAsia="宋体" w:cs="Times New Roman"/>
                <w:color w:val="auto"/>
                <w:highlight w:val="none"/>
              </w:rPr>
              <w:t>2t/a），委托环卫部门清运处置。</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（2）一般工业固体废物</w:t>
            </w:r>
          </w:p>
          <w:p>
            <w:pPr>
              <w:pStyle w:val="561"/>
              <w:ind w:firstLine="476"/>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spacing w:val="-1"/>
                <w:highlight w:val="none"/>
                <w:lang w:eastAsia="zh-CN"/>
              </w:rPr>
              <w:t>根据物料平衡，</w:t>
            </w:r>
            <w:r>
              <w:rPr>
                <w:rFonts w:hint="default" w:ascii="Times New Roman" w:hAnsi="Times New Roman" w:eastAsia="宋体" w:cs="Times New Roman"/>
                <w:color w:val="auto"/>
                <w:kern w:val="2"/>
                <w:sz w:val="24"/>
                <w:szCs w:val="20"/>
                <w:highlight w:val="none"/>
                <w:lang w:val="en-US" w:eastAsia="zh-CN" w:bidi="ar-SA"/>
              </w:rPr>
              <w:t>污泥产生量为</w:t>
            </w:r>
            <w:r>
              <w:rPr>
                <w:rFonts w:hint="eastAsia" w:ascii="Times New Roman" w:hAnsi="Times New Roman" w:cs="Times New Roman"/>
                <w:color w:val="auto"/>
                <w:kern w:val="2"/>
                <w:sz w:val="24"/>
                <w:szCs w:val="20"/>
                <w:highlight w:val="none"/>
                <w:lang w:val="en-US" w:eastAsia="zh-CN" w:bidi="ar-SA"/>
              </w:rPr>
              <w:t>430</w:t>
            </w:r>
            <w:r>
              <w:rPr>
                <w:rFonts w:hint="default" w:ascii="Times New Roman" w:hAnsi="Times New Roman" w:eastAsia="宋体" w:cs="Times New Roman"/>
                <w:color w:val="auto"/>
                <w:kern w:val="2"/>
                <w:sz w:val="24"/>
                <w:szCs w:val="20"/>
                <w:highlight w:val="none"/>
                <w:lang w:val="en-US" w:eastAsia="zh-CN" w:bidi="ar-SA"/>
              </w:rPr>
              <w:t>t/a（含水率为</w:t>
            </w:r>
            <w:r>
              <w:rPr>
                <w:rFonts w:hint="eastAsia" w:ascii="Times New Roman" w:hAnsi="Times New Roman" w:cs="Times New Roman"/>
                <w:color w:val="auto"/>
                <w:kern w:val="2"/>
                <w:sz w:val="24"/>
                <w:szCs w:val="20"/>
                <w:highlight w:val="none"/>
                <w:lang w:val="en-US" w:eastAsia="zh-CN" w:bidi="ar-SA"/>
              </w:rPr>
              <w:t>8</w:t>
            </w:r>
            <w:r>
              <w:rPr>
                <w:rFonts w:hint="default" w:ascii="Times New Roman" w:hAnsi="Times New Roman" w:eastAsia="宋体" w:cs="Times New Roman"/>
                <w:color w:val="auto"/>
                <w:kern w:val="2"/>
                <w:sz w:val="24"/>
                <w:szCs w:val="20"/>
                <w:highlight w:val="none"/>
                <w:lang w:val="en-US" w:eastAsia="zh-CN" w:bidi="ar-SA"/>
              </w:rPr>
              <w:t>0%）、</w:t>
            </w:r>
            <w:r>
              <w:rPr>
                <w:rFonts w:hint="default" w:ascii="Times New Roman" w:hAnsi="Times New Roman" w:eastAsia="宋体" w:cs="Times New Roman"/>
                <w:color w:val="auto"/>
                <w:szCs w:val="20"/>
                <w:highlight w:val="none"/>
                <w:lang w:eastAsia="zh-CN"/>
              </w:rPr>
              <w:t>分选废料599</w:t>
            </w:r>
            <w:r>
              <w:rPr>
                <w:rFonts w:hint="eastAsia" w:ascii="Times New Roman" w:hAnsi="Times New Roman" w:cs="Times New Roman"/>
                <w:color w:val="auto"/>
                <w:szCs w:val="20"/>
                <w:highlight w:val="none"/>
                <w:lang w:eastAsia="zh-CN"/>
              </w:rPr>
              <w:t>2</w:t>
            </w:r>
            <w:r>
              <w:rPr>
                <w:rFonts w:hint="eastAsia" w:ascii="Times New Roman" w:hAnsi="Times New Roman" w:cs="Times New Roman"/>
                <w:color w:val="auto"/>
                <w:szCs w:val="20"/>
                <w:highlight w:val="none"/>
                <w:lang w:val="en-US" w:eastAsia="zh-CN"/>
              </w:rPr>
              <w:t>.2461</w:t>
            </w:r>
            <w:r>
              <w:rPr>
                <w:rFonts w:hint="default" w:ascii="Times New Roman" w:hAnsi="Times New Roman" w:eastAsia="宋体" w:cs="Times New Roman"/>
                <w:color w:val="auto"/>
                <w:szCs w:val="20"/>
                <w:highlight w:val="none"/>
                <w:lang w:eastAsia="zh-CN"/>
              </w:rPr>
              <w:t>t/a</w:t>
            </w:r>
            <w:r>
              <w:rPr>
                <w:rFonts w:hint="default" w:ascii="Times New Roman" w:hAnsi="Times New Roman" w:eastAsia="宋体" w:cs="Times New Roman"/>
                <w:color w:val="auto"/>
                <w:spacing w:val="-3"/>
                <w:highlight w:val="none"/>
                <w:lang w:eastAsia="zh-CN"/>
              </w:rPr>
              <w:t>，</w:t>
            </w:r>
            <w:r>
              <w:rPr>
                <w:rFonts w:hint="default" w:ascii="Times New Roman" w:hAnsi="Times New Roman" w:eastAsia="宋体" w:cs="Times New Roman"/>
                <w:color w:val="auto"/>
                <w:spacing w:val="-1"/>
                <w:highlight w:val="none"/>
                <w:lang w:eastAsia="zh-CN"/>
              </w:rPr>
              <w:t>暂存于一般工业固废区，定期外售有处理能力的企业回收再利用。</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（3）危险废物</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项目运营期设备检修、维护会产生的废液压油和废润滑油，根据建设单位提供资料，废液压油和</w:t>
            </w:r>
            <w:r>
              <w:rPr>
                <w:rFonts w:hint="eastAsia" w:cs="Times New Roman"/>
                <w:color w:val="auto"/>
                <w:highlight w:val="none"/>
                <w:lang w:val="en-US" w:eastAsia="zh-CN"/>
              </w:rPr>
              <w:t>废</w:t>
            </w:r>
            <w:r>
              <w:rPr>
                <w:rFonts w:hint="default" w:ascii="Times New Roman" w:hAnsi="Times New Roman" w:eastAsia="宋体" w:cs="Times New Roman"/>
                <w:color w:val="auto"/>
                <w:highlight w:val="none"/>
              </w:rPr>
              <w:t>润滑油约为0.</w:t>
            </w:r>
            <w:r>
              <w:rPr>
                <w:rFonts w:hint="eastAsia"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rPr>
              <w:t>t/a，根据《国家危险废物名录》（2025年版）废液压油和</w:t>
            </w:r>
            <w:r>
              <w:rPr>
                <w:rFonts w:hint="eastAsia" w:cs="Times New Roman"/>
                <w:color w:val="auto"/>
                <w:highlight w:val="none"/>
                <w:lang w:val="en-US" w:eastAsia="zh-CN"/>
              </w:rPr>
              <w:t>废</w:t>
            </w:r>
            <w:r>
              <w:rPr>
                <w:rFonts w:hint="default" w:ascii="Times New Roman" w:hAnsi="Times New Roman" w:eastAsia="宋体" w:cs="Times New Roman"/>
                <w:color w:val="auto"/>
                <w:highlight w:val="none"/>
              </w:rPr>
              <w:t>润滑油属于危险废物，废物类别为HW08废矿物油与含矿物油废物（900-249-08），收集后暂存于</w:t>
            </w:r>
            <w:r>
              <w:rPr>
                <w:rFonts w:hint="eastAsia" w:cs="Times New Roman"/>
                <w:color w:val="auto"/>
                <w:highlight w:val="none"/>
                <w:lang w:val="en-US" w:eastAsia="zh-CN"/>
              </w:rPr>
              <w:t>现有一期工程</w:t>
            </w:r>
            <w:r>
              <w:rPr>
                <w:rFonts w:hint="default" w:ascii="Times New Roman" w:hAnsi="Times New Roman" w:eastAsia="宋体" w:cs="Times New Roman"/>
                <w:color w:val="auto"/>
                <w:highlight w:val="none"/>
              </w:rPr>
              <w:t>危险废物贮存库，委托有资质的单位进行处置。</w:t>
            </w:r>
          </w:p>
          <w:p>
            <w:pPr>
              <w:ind w:firstLine="480"/>
              <w:rPr>
                <w:rFonts w:hint="eastAsia" w:cs="Times New Roman"/>
                <w:color w:val="auto"/>
                <w:highlight w:val="none"/>
                <w:lang w:val="en-US" w:eastAsia="zh-CN"/>
              </w:rPr>
            </w:pPr>
            <w:r>
              <w:rPr>
                <w:rFonts w:hint="eastAsia" w:ascii="Times New Roman" w:hAnsi="Times New Roman" w:eastAsia="宋体" w:cs="Times New Roman"/>
                <w:color w:val="auto"/>
                <w:highlight w:val="none"/>
              </w:rPr>
              <w:t>本次</w:t>
            </w:r>
            <w:r>
              <w:rPr>
                <w:rFonts w:hint="eastAsia" w:cs="Times New Roman"/>
                <w:color w:val="auto"/>
                <w:highlight w:val="none"/>
                <w:lang w:val="en-US" w:eastAsia="zh-CN"/>
              </w:rPr>
              <w:t>技改</w:t>
            </w:r>
            <w:r>
              <w:rPr>
                <w:rFonts w:hint="eastAsia" w:ascii="Times New Roman" w:hAnsi="Times New Roman" w:eastAsia="宋体" w:cs="Times New Roman"/>
                <w:color w:val="auto"/>
                <w:highlight w:val="none"/>
              </w:rPr>
              <w:t>工程新增的固废种类和产生量</w:t>
            </w:r>
            <w:r>
              <w:rPr>
                <w:rFonts w:hint="eastAsia" w:cs="Times New Roman"/>
                <w:color w:val="auto"/>
                <w:highlight w:val="none"/>
                <w:lang w:val="en-US" w:eastAsia="zh-CN"/>
              </w:rPr>
              <w:t>技改</w:t>
            </w:r>
            <w:r>
              <w:rPr>
                <w:rFonts w:hint="eastAsia" w:ascii="Times New Roman" w:hAnsi="Times New Roman" w:eastAsia="宋体" w:cs="Times New Roman"/>
                <w:color w:val="auto"/>
                <w:highlight w:val="none"/>
              </w:rPr>
              <w:t>后全厂固废的产生、处置情况详见表</w:t>
            </w:r>
            <w:r>
              <w:rPr>
                <w:rFonts w:hint="eastAsia" w:cs="Times New Roman"/>
                <w:color w:val="auto"/>
                <w:highlight w:val="none"/>
                <w:lang w:val="en-US" w:eastAsia="zh-CN"/>
              </w:rPr>
              <w:t>4.5-1。</w:t>
            </w:r>
          </w:p>
          <w:p>
            <w:pPr>
              <w:pStyle w:val="6"/>
              <w:widowControl w:val="0"/>
              <w:outlineLvl w:val="4"/>
              <w:rPr>
                <w:rFonts w:hint="default" w:cs="Times New Roman"/>
                <w:color w:val="auto"/>
                <w:highlight w:val="none"/>
                <w:lang w:val="en-US" w:eastAsia="zh-CN"/>
              </w:rPr>
            </w:pPr>
            <w:r>
              <w:rPr>
                <w:rFonts w:hint="default" w:cs="Times New Roman"/>
                <w:color w:val="auto"/>
                <w:highlight w:val="none"/>
                <w:lang w:val="en-US" w:eastAsia="zh-CN"/>
              </w:rPr>
              <w:t>表4.5-1固体废物源强核算及处置</w:t>
            </w:r>
          </w:p>
          <w:tbl>
            <w:tblPr>
              <w:tblStyle w:val="49"/>
              <w:tblW w:w="8504" w:type="dxa"/>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61"/>
              <w:gridCol w:w="971"/>
              <w:gridCol w:w="362"/>
              <w:gridCol w:w="623"/>
              <w:gridCol w:w="1406"/>
              <w:gridCol w:w="710"/>
              <w:gridCol w:w="489"/>
              <w:gridCol w:w="583"/>
              <w:gridCol w:w="721"/>
              <w:gridCol w:w="683"/>
              <w:gridCol w:w="1595"/>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7" w:type="dxa"/>
                  <w:vMerge w:val="restart"/>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b/>
                      <w:bCs/>
                      <w:color w:val="auto"/>
                      <w:kern w:val="0"/>
                      <w:sz w:val="21"/>
                      <w:szCs w:val="21"/>
                      <w:highlight w:val="none"/>
                      <w:lang w:val="en-US" w:eastAsia="zh-CN" w:bidi="ar-SA"/>
                    </w:rPr>
                  </w:pPr>
                </w:p>
              </w:tc>
              <w:tc>
                <w:tcPr>
                  <w:tcW w:w="1560" w:type="dxa"/>
                  <w:vMerge w:val="restart"/>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b/>
                      <w:bCs/>
                      <w:color w:val="auto"/>
                      <w:kern w:val="0"/>
                      <w:sz w:val="21"/>
                      <w:szCs w:val="21"/>
                      <w:highlight w:val="none"/>
                      <w:lang w:val="en-US" w:eastAsia="zh-CN" w:bidi="ar-SA"/>
                    </w:rPr>
                  </w:pPr>
                </w:p>
              </w:tc>
              <w:tc>
                <w:tcPr>
                  <w:tcW w:w="567" w:type="dxa"/>
                  <w:vMerge w:val="restart"/>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b/>
                      <w:bCs/>
                      <w:color w:val="auto"/>
                      <w:kern w:val="0"/>
                      <w:sz w:val="21"/>
                      <w:szCs w:val="21"/>
                      <w:highlight w:val="none"/>
                      <w:lang w:val="en-US" w:eastAsia="zh-CN" w:bidi="ar-SA"/>
                    </w:rPr>
                  </w:pPr>
                </w:p>
              </w:tc>
              <w:tc>
                <w:tcPr>
                  <w:tcW w:w="992" w:type="dxa"/>
                  <w:vMerge w:val="restart"/>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b/>
                      <w:bCs/>
                      <w:color w:val="auto"/>
                      <w:kern w:val="0"/>
                      <w:sz w:val="21"/>
                      <w:szCs w:val="21"/>
                      <w:highlight w:val="none"/>
                      <w:lang w:val="en-US" w:eastAsia="zh-CN" w:bidi="ar-SA"/>
                    </w:rPr>
                  </w:pPr>
                </w:p>
              </w:tc>
              <w:tc>
                <w:tcPr>
                  <w:tcW w:w="2268" w:type="dxa"/>
                  <w:vMerge w:val="restart"/>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b/>
                      <w:bCs/>
                      <w:color w:val="auto"/>
                      <w:kern w:val="0"/>
                      <w:sz w:val="21"/>
                      <w:szCs w:val="21"/>
                      <w:highlight w:val="none"/>
                      <w:lang w:val="en-US" w:eastAsia="zh-CN" w:bidi="ar-SA"/>
                    </w:rPr>
                  </w:pPr>
                </w:p>
              </w:tc>
              <w:tc>
                <w:tcPr>
                  <w:tcW w:w="1134" w:type="dxa"/>
                  <w:vMerge w:val="restart"/>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b/>
                      <w:bCs/>
                      <w:color w:val="auto"/>
                      <w:kern w:val="0"/>
                      <w:sz w:val="21"/>
                      <w:szCs w:val="21"/>
                      <w:highlight w:val="none"/>
                      <w:lang w:val="en-US" w:eastAsia="zh-CN" w:bidi="ar-SA"/>
                    </w:rPr>
                  </w:pPr>
                </w:p>
              </w:tc>
              <w:tc>
                <w:tcPr>
                  <w:tcW w:w="3944" w:type="dxa"/>
                  <w:gridSpan w:val="4"/>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b/>
                      <w:bCs/>
                      <w:color w:val="auto"/>
                      <w:kern w:val="0"/>
                      <w:sz w:val="21"/>
                      <w:szCs w:val="21"/>
                      <w:highlight w:val="none"/>
                      <w:lang w:val="en-US" w:eastAsia="zh-CN" w:bidi="ar-SA"/>
                    </w:rPr>
                  </w:pPr>
                </w:p>
              </w:tc>
              <w:tc>
                <w:tcPr>
                  <w:tcW w:w="2576" w:type="dxa"/>
                  <w:vMerge w:val="restart"/>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b/>
                      <w:bCs/>
                      <w:color w:val="auto"/>
                      <w:kern w:val="0"/>
                      <w:sz w:val="21"/>
                      <w:szCs w:val="21"/>
                      <w:highlight w:val="none"/>
                      <w:lang w:val="en-US" w:eastAsia="zh-CN" w:bidi="ar-SA"/>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7" w:type="dxa"/>
                  <w:vMerge w:val="continue"/>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1560" w:type="dxa"/>
                  <w:vMerge w:val="continue"/>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567" w:type="dxa"/>
                  <w:vMerge w:val="continue"/>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992" w:type="dxa"/>
                  <w:vMerge w:val="continue"/>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2268" w:type="dxa"/>
                  <w:vMerge w:val="continue"/>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1134" w:type="dxa"/>
                  <w:vMerge w:val="continue"/>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774"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b/>
                      <w:bCs/>
                      <w:color w:val="auto"/>
                      <w:kern w:val="0"/>
                      <w:sz w:val="21"/>
                      <w:szCs w:val="21"/>
                      <w:highlight w:val="none"/>
                      <w:lang w:val="en-US" w:eastAsia="zh-CN" w:bidi="ar-SA"/>
                    </w:rPr>
                  </w:pPr>
                </w:p>
              </w:tc>
              <w:tc>
                <w:tcPr>
                  <w:tcW w:w="927"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b/>
                      <w:bCs/>
                      <w:color w:val="auto"/>
                      <w:kern w:val="0"/>
                      <w:sz w:val="21"/>
                      <w:szCs w:val="21"/>
                      <w:highlight w:val="none"/>
                      <w:lang w:val="en-US" w:eastAsia="zh-CN" w:bidi="ar-SA"/>
                    </w:rPr>
                  </w:pPr>
                </w:p>
              </w:tc>
              <w:tc>
                <w:tcPr>
                  <w:tcW w:w="1153"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b/>
                      <w:bCs/>
                      <w:color w:val="auto"/>
                      <w:kern w:val="0"/>
                      <w:sz w:val="21"/>
                      <w:szCs w:val="21"/>
                      <w:highlight w:val="none"/>
                      <w:lang w:val="en-US" w:eastAsia="zh-CN" w:bidi="ar-SA"/>
                    </w:rPr>
                  </w:pPr>
                </w:p>
              </w:tc>
              <w:tc>
                <w:tcPr>
                  <w:tcW w:w="1090"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b/>
                      <w:bCs/>
                      <w:color w:val="auto"/>
                      <w:kern w:val="0"/>
                      <w:sz w:val="21"/>
                      <w:szCs w:val="21"/>
                      <w:highlight w:val="none"/>
                      <w:lang w:val="en-US" w:eastAsia="zh-CN" w:bidi="ar-SA"/>
                    </w:rPr>
                  </w:pPr>
                </w:p>
              </w:tc>
              <w:tc>
                <w:tcPr>
                  <w:tcW w:w="2576" w:type="dxa"/>
                  <w:vMerge w:val="continue"/>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7"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1560"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567" w:type="dxa"/>
                  <w:shd w:val="clear" w:color="auto" w:fill="auto"/>
                  <w:tcMar>
                    <w:top w:w="15" w:type="dxa"/>
                    <w:left w:w="15" w:type="dxa"/>
                    <w:bottom w:w="0" w:type="dxa"/>
                    <w:right w:w="15" w:type="dxa"/>
                  </w:tcMar>
                  <w:vAlign w:val="center"/>
                </w:tcPr>
                <w:p>
                  <w:pPr>
                    <w:pStyle w:val="113"/>
                    <w:rPr>
                      <w:rFonts w:hint="default" w:ascii="Times New Roman" w:hAnsi="Times New Roman" w:eastAsia="宋体" w:cs="Times New Roman"/>
                      <w:color w:val="auto"/>
                      <w:kern w:val="0"/>
                      <w:sz w:val="21"/>
                      <w:szCs w:val="21"/>
                      <w:highlight w:val="none"/>
                      <w:lang w:val="en-US" w:eastAsia="zh-CN" w:bidi="ar-SA"/>
                    </w:rPr>
                  </w:pPr>
                </w:p>
              </w:tc>
              <w:tc>
                <w:tcPr>
                  <w:tcW w:w="992" w:type="dxa"/>
                  <w:shd w:val="clear" w:color="auto" w:fill="auto"/>
                  <w:tcMar>
                    <w:top w:w="15" w:type="dxa"/>
                    <w:left w:w="15" w:type="dxa"/>
                    <w:bottom w:w="0" w:type="dxa"/>
                    <w:right w:w="15" w:type="dxa"/>
                  </w:tcMar>
                  <w:vAlign w:val="center"/>
                </w:tcPr>
                <w:p>
                  <w:pPr>
                    <w:pStyle w:val="113"/>
                    <w:rPr>
                      <w:rFonts w:hint="default" w:ascii="Times New Roman" w:hAnsi="Times New Roman" w:eastAsia="宋体" w:cs="Times New Roman"/>
                      <w:color w:val="auto"/>
                      <w:kern w:val="0"/>
                      <w:sz w:val="21"/>
                      <w:szCs w:val="21"/>
                      <w:highlight w:val="none"/>
                      <w:lang w:val="en-US" w:eastAsia="zh-CN" w:bidi="ar-SA"/>
                    </w:rPr>
                  </w:pPr>
                </w:p>
              </w:tc>
              <w:tc>
                <w:tcPr>
                  <w:tcW w:w="2268" w:type="dxa"/>
                  <w:shd w:val="clear" w:color="auto" w:fill="auto"/>
                  <w:tcMar>
                    <w:top w:w="15" w:type="dxa"/>
                    <w:left w:w="15" w:type="dxa"/>
                    <w:bottom w:w="0" w:type="dxa"/>
                    <w:right w:w="15" w:type="dxa"/>
                  </w:tcMar>
                  <w:vAlign w:val="center"/>
                </w:tcPr>
                <w:p>
                  <w:pPr>
                    <w:pStyle w:val="113"/>
                    <w:rPr>
                      <w:rFonts w:hint="default" w:ascii="Times New Roman" w:hAnsi="Times New Roman" w:eastAsia="宋体" w:cs="Times New Roman"/>
                      <w:color w:val="auto"/>
                      <w:kern w:val="0"/>
                      <w:sz w:val="21"/>
                      <w:szCs w:val="21"/>
                      <w:highlight w:val="none"/>
                      <w:lang w:val="en-US" w:eastAsia="zh-CN" w:bidi="ar-SA"/>
                    </w:rPr>
                  </w:pPr>
                </w:p>
              </w:tc>
              <w:tc>
                <w:tcPr>
                  <w:tcW w:w="1134"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774"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927"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1153"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1090"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2576"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7"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1560"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567"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992" w:type="dxa"/>
                  <w:shd w:val="clear" w:color="auto" w:fill="auto"/>
                  <w:tcMar>
                    <w:top w:w="15" w:type="dxa"/>
                    <w:left w:w="15" w:type="dxa"/>
                    <w:bottom w:w="0" w:type="dxa"/>
                    <w:right w:w="15" w:type="dxa"/>
                  </w:tcMar>
                  <w:vAlign w:val="center"/>
                </w:tcPr>
                <w:p>
                  <w:pPr>
                    <w:pStyle w:val="113"/>
                    <w:rPr>
                      <w:rFonts w:hint="default" w:ascii="Times New Roman" w:hAnsi="Times New Roman" w:eastAsia="宋体" w:cs="Times New Roman"/>
                      <w:color w:val="auto"/>
                      <w:kern w:val="0"/>
                      <w:sz w:val="21"/>
                      <w:szCs w:val="21"/>
                      <w:highlight w:val="none"/>
                      <w:lang w:val="en-US" w:eastAsia="zh-CN" w:bidi="ar-SA"/>
                    </w:rPr>
                  </w:pPr>
                </w:p>
              </w:tc>
              <w:tc>
                <w:tcPr>
                  <w:tcW w:w="2268" w:type="dxa"/>
                  <w:shd w:val="clear" w:color="auto" w:fill="auto"/>
                  <w:tcMar>
                    <w:top w:w="15" w:type="dxa"/>
                    <w:left w:w="15" w:type="dxa"/>
                    <w:bottom w:w="0" w:type="dxa"/>
                    <w:right w:w="15" w:type="dxa"/>
                  </w:tcMar>
                  <w:vAlign w:val="center"/>
                </w:tcPr>
                <w:p>
                  <w:pPr>
                    <w:pStyle w:val="113"/>
                    <w:rPr>
                      <w:rFonts w:hint="default" w:ascii="Times New Roman" w:hAnsi="Times New Roman" w:eastAsia="宋体" w:cs="Times New Roman"/>
                      <w:color w:val="auto"/>
                      <w:kern w:val="0"/>
                      <w:sz w:val="21"/>
                      <w:szCs w:val="21"/>
                      <w:highlight w:val="none"/>
                      <w:lang w:val="en-US" w:eastAsia="zh-CN" w:bidi="ar-SA"/>
                    </w:rPr>
                  </w:pPr>
                </w:p>
              </w:tc>
              <w:tc>
                <w:tcPr>
                  <w:tcW w:w="1134"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774"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927"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1153"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090"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2576"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7"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1560"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567"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992"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2268"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1134"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774"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927"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1153"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1090"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2576" w:type="dxa"/>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7"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1560"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567"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992"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2268"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1134"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774"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927"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1153"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1090"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2576" w:type="dxa"/>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7"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1560"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567"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992"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2268"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1134"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774"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927"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1153"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1090"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2576"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67"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1560"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567"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992"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2268"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1134"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774"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927"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1153"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1090"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c>
                <w:tcPr>
                  <w:tcW w:w="2576" w:type="dxa"/>
                  <w:shd w:val="clear" w:color="auto" w:fill="auto"/>
                  <w:tcMar>
                    <w:top w:w="15" w:type="dxa"/>
                    <w:left w:w="15" w:type="dxa"/>
                    <w:bottom w:w="0" w:type="dxa"/>
                    <w:right w:w="15" w:type="dxa"/>
                  </w:tcMar>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bidi="ar-SA"/>
                    </w:rPr>
                  </w:pPr>
                </w:p>
              </w:tc>
            </w:tr>
          </w:tbl>
          <w:p>
            <w:pPr>
              <w:pStyle w:val="4"/>
              <w:outlineLvl w:val="2"/>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4.5.2固体废物</w:t>
            </w:r>
            <w:r>
              <w:rPr>
                <w:rFonts w:hint="eastAsia" w:cs="Times New Roman"/>
                <w:color w:val="auto"/>
                <w:highlight w:val="none"/>
                <w:lang w:val="en-US" w:eastAsia="zh-CN"/>
              </w:rPr>
              <w:t>的处置</w:t>
            </w:r>
          </w:p>
          <w:p>
            <w:pPr>
              <w:ind w:firstLine="48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（1）一般工业固体废物</w:t>
            </w:r>
          </w:p>
          <w:p>
            <w:pPr>
              <w:autoSpaceDE w:val="0"/>
              <w:autoSpaceDN w:val="0"/>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4"/>
                <w:highlight w:val="none"/>
              </w:rPr>
              <w:t>①一般工业固废区</w:t>
            </w:r>
            <w:r>
              <w:rPr>
                <w:rFonts w:hint="default" w:ascii="Times New Roman" w:hAnsi="Times New Roman" w:eastAsia="宋体" w:cs="Times New Roman"/>
                <w:color w:val="auto"/>
                <w:kern w:val="0"/>
                <w:szCs w:val="24"/>
                <w:highlight w:val="none"/>
              </w:rPr>
              <w:t>的</w:t>
            </w:r>
            <w:r>
              <w:rPr>
                <w:rFonts w:hint="default" w:ascii="Times New Roman" w:hAnsi="Times New Roman" w:eastAsia="宋体" w:cs="Times New Roman"/>
                <w:color w:val="auto"/>
                <w:highlight w:val="none"/>
              </w:rPr>
              <w:t>建设要求和建设计划</w:t>
            </w:r>
          </w:p>
          <w:p>
            <w:pPr>
              <w:autoSpaceDE w:val="0"/>
              <w:autoSpaceDN w:val="0"/>
              <w:ind w:firstLine="480"/>
              <w:rPr>
                <w:rFonts w:hint="default" w:ascii="Times New Roman" w:hAnsi="Times New Roman" w:eastAsia="宋体" w:cs="Times New Roman"/>
                <w:color w:val="auto"/>
                <w:highlight w:val="none"/>
              </w:rPr>
            </w:pPr>
            <w:r>
              <w:rPr>
                <w:rFonts w:hint="eastAsia" w:cs="Times New Roman"/>
                <w:color w:val="auto"/>
                <w:highlight w:val="none"/>
                <w:lang w:val="en-US" w:eastAsia="zh-CN"/>
              </w:rPr>
              <w:t>生产车间一一般固废区位于车间东北侧，占地约100m</w:t>
            </w:r>
            <w:r>
              <w:rPr>
                <w:rFonts w:hint="eastAsia" w:cs="Times New Roman"/>
                <w:color w:val="auto"/>
                <w:highlight w:val="none"/>
                <w:vertAlign w:val="superscript"/>
                <w:lang w:val="en-US" w:eastAsia="zh-CN"/>
              </w:rPr>
              <w:t>2</w:t>
            </w:r>
            <w:r>
              <w:rPr>
                <w:rFonts w:hint="eastAsia" w:cs="Times New Roman"/>
                <w:color w:val="auto"/>
                <w:highlight w:val="none"/>
                <w:lang w:val="en-US" w:eastAsia="zh-CN"/>
              </w:rPr>
              <w:t>；新增生产车间二</w:t>
            </w:r>
            <w:r>
              <w:rPr>
                <w:rFonts w:hint="default" w:ascii="Times New Roman" w:hAnsi="Times New Roman" w:eastAsia="宋体" w:cs="Times New Roman"/>
                <w:color w:val="auto"/>
                <w:highlight w:val="none"/>
              </w:rPr>
              <w:t>拟在</w:t>
            </w:r>
            <w:r>
              <w:rPr>
                <w:rFonts w:hint="eastAsia" w:cs="Times New Roman"/>
                <w:color w:val="auto"/>
                <w:highlight w:val="none"/>
                <w:lang w:val="en-US" w:eastAsia="zh-CN"/>
              </w:rPr>
              <w:t>车间</w:t>
            </w:r>
            <w:r>
              <w:rPr>
                <w:rFonts w:hint="default" w:ascii="Times New Roman" w:hAnsi="Times New Roman" w:eastAsia="宋体" w:cs="Times New Roman"/>
                <w:color w:val="auto"/>
                <w:highlight w:val="none"/>
                <w:lang w:val="en-US" w:eastAsia="zh-CN"/>
              </w:rPr>
              <w:t>南</w:t>
            </w:r>
            <w:r>
              <w:rPr>
                <w:rFonts w:hint="default" w:ascii="Times New Roman" w:hAnsi="Times New Roman" w:eastAsia="宋体" w:cs="Times New Roman"/>
                <w:color w:val="auto"/>
                <w:highlight w:val="none"/>
              </w:rPr>
              <w:t>侧设1个固废池，占地面积为20m</w:t>
            </w:r>
            <w:r>
              <w:rPr>
                <w:rFonts w:hint="default" w:ascii="Times New Roman" w:hAnsi="Times New Roman" w:eastAsia="宋体" w:cs="Times New Roman"/>
                <w:color w:val="auto"/>
                <w:highlight w:val="none"/>
                <w:vertAlign w:val="superscript"/>
              </w:rPr>
              <w:t>2</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szCs w:val="24"/>
                <w:highlight w:val="none"/>
              </w:rPr>
              <w:t>采用</w:t>
            </w:r>
            <w:r>
              <w:rPr>
                <w:rFonts w:hint="default" w:ascii="Times New Roman" w:hAnsi="Times New Roman" w:eastAsia="宋体" w:cs="Times New Roman"/>
                <w:color w:val="auto"/>
                <w:highlight w:val="none"/>
              </w:rPr>
              <w:t>抗渗混凝土</w:t>
            </w:r>
            <w:r>
              <w:rPr>
                <w:rFonts w:hint="default" w:ascii="Times New Roman" w:hAnsi="Times New Roman" w:eastAsia="宋体" w:cs="Times New Roman"/>
                <w:color w:val="auto"/>
                <w:szCs w:val="24"/>
                <w:highlight w:val="none"/>
              </w:rPr>
              <w:t>进行防渗处理。</w:t>
            </w:r>
          </w:p>
          <w:p>
            <w:pPr>
              <w:ind w:firstLine="48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一般工业固废区执行《一般工业固体废物贮存和填埋污染控制标准》（GB18599-2020），其贮存过程应满足相应防渗漏、防雨淋、防扬尘等环境保护要求。应采取以下措施：</w:t>
            </w:r>
          </w:p>
          <w:p>
            <w:pPr>
              <w:ind w:firstLine="48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A.加强企业内部对固体废物的管理，对固体废物实行从产生、收集、运输、贮存直至最终处理实行全过程管理，加强固体废物运输过程的事故风险防范，建立固体废物产生、外运、处置及最终去向的详细台账。</w:t>
            </w:r>
          </w:p>
          <w:p>
            <w:pPr>
              <w:ind w:firstLine="48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B.加强固体废物规范化管理，建立全厂统一的固废分类收集、统一堆放场地制度，堆放场所远离办公区和周围环境敏感点。临时储存地点必须建有雨棚，不允许露天堆放，以防止雨水冲刷，雨水应通过场地四周导流渠流向雨水排放管；临时堆放场地为水泥铺设地面，以防渗漏。</w:t>
            </w:r>
          </w:p>
          <w:p>
            <w:pPr>
              <w:ind w:firstLine="48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C.不允许将危险废物和生活垃圾混入。</w:t>
            </w:r>
          </w:p>
          <w:p>
            <w:pPr>
              <w:ind w:firstLine="48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D.为加强管理监督，贮存场所应按《环境保护图形标志－固体废物贮存（处置）场所》（GB15562.2-1995）设置环境保护图形标志。</w:t>
            </w:r>
          </w:p>
          <w:p>
            <w:pPr>
              <w:ind w:firstLine="48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采取以上措施后一般固体废物对周边环境影响小，因此措施可行。</w:t>
            </w:r>
          </w:p>
          <w:p>
            <w:pPr>
              <w:ind w:firstLine="48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highlight w:val="none"/>
              </w:rPr>
              <w:t>②</w:t>
            </w:r>
            <w:r>
              <w:rPr>
                <w:rFonts w:hint="default" w:ascii="Times New Roman" w:hAnsi="Times New Roman" w:eastAsia="宋体" w:cs="Times New Roman"/>
                <w:color w:val="auto"/>
                <w:szCs w:val="24"/>
                <w:highlight w:val="none"/>
              </w:rPr>
              <w:t>一般工业固废区环境管理要求</w:t>
            </w:r>
          </w:p>
          <w:p>
            <w:pPr>
              <w:ind w:firstLine="48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A.加强企业内部对固体废物的管理，对固体废物实行从产生、收集、运输、贮存直至最终处理实行全过程管理，加强固体废物运输过程的事故风险防范，建立固体废物产生、外运、处置及最终去向的详细台账。</w:t>
            </w:r>
          </w:p>
          <w:p>
            <w:pPr>
              <w:ind w:firstLine="48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B.加强固体废物规范化管理，建立全厂统一的固废分类收集、统一堆放场地制度，堆放场所远离办公区和周围环境敏感点。临时储存地点必须建有雨棚，不允许露天堆放，以防止雨水冲刷，雨水应通过场地四周导流渠流向雨水排放管；临时堆放场地为水泥铺设地面，以防渗漏。</w:t>
            </w:r>
          </w:p>
          <w:p>
            <w:pPr>
              <w:ind w:firstLine="48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C.不允许将危险废物和生活垃圾混入。</w:t>
            </w:r>
          </w:p>
          <w:p>
            <w:pPr>
              <w:ind w:firstLine="48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D.为加强管理监督，贮存场所应按《环境保护图形标志－固体废物贮存（处置）场所》（GB15562.2-1995）设置环境保护图形标志。</w:t>
            </w:r>
          </w:p>
          <w:p>
            <w:pPr>
              <w:ind w:firstLine="48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采取以上措施后一般固体废物对周边环境影响小，因此措施可行。</w:t>
            </w:r>
          </w:p>
          <w:p>
            <w:pPr>
              <w:ind w:firstLine="480"/>
              <w:rPr>
                <w:rFonts w:hint="default" w:ascii="Times New Roman" w:hAnsi="Times New Roman" w:eastAsia="宋体" w:cs="Times New Roman"/>
                <w:color w:val="auto"/>
                <w:szCs w:val="24"/>
                <w:highlight w:val="none"/>
              </w:rPr>
            </w:pPr>
            <w:r>
              <w:rPr>
                <w:rFonts w:hint="eastAsia"/>
                <w:color w:val="auto"/>
                <w:highlight w:val="none"/>
                <w:lang w:val="en-US" w:eastAsia="zh-CN"/>
              </w:rPr>
              <w:t>涉密删除！</w:t>
            </w:r>
          </w:p>
          <w:p>
            <w:pPr>
              <w:pStyle w:val="3"/>
              <w:outlineLvl w:val="1"/>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4.6地下水、土壤环境影响分析</w:t>
            </w:r>
          </w:p>
          <w:p>
            <w:pPr>
              <w:pStyle w:val="562"/>
              <w:spacing w:before="0" w:line="360" w:lineRule="auto"/>
              <w:ind w:firstLine="480"/>
              <w:outlineLvl w:val="9"/>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b w:val="0"/>
                <w:bCs/>
                <w:color w:val="auto"/>
                <w:sz w:val="24"/>
                <w:szCs w:val="24"/>
                <w:highlight w:val="none"/>
              </w:rPr>
              <w:t>项目属于废旧资源综合利用，生产过程不排放重点重金属或持久性有机污染物，严格按照要求进行分区防渗防控，采取有效的防渗措施后，项目对地下水、土壤环境影响小。</w:t>
            </w:r>
          </w:p>
          <w:p>
            <w:pPr>
              <w:pStyle w:val="562"/>
              <w:spacing w:before="0" w:line="360" w:lineRule="auto"/>
              <w:ind w:firstLine="480"/>
              <w:outlineLvl w:val="9"/>
              <w:rPr>
                <w:rFonts w:hint="default" w:ascii="Times New Roman" w:hAnsi="Times New Roman" w:eastAsia="宋体" w:cs="Times New Roman"/>
                <w:b w:val="0"/>
                <w:bCs/>
                <w:color w:val="auto"/>
                <w:sz w:val="24"/>
                <w:szCs w:val="24"/>
                <w:highlight w:val="none"/>
              </w:rPr>
            </w:pPr>
            <w:r>
              <w:rPr>
                <w:rFonts w:hint="default" w:ascii="Times New Roman" w:hAnsi="Times New Roman" w:eastAsia="宋体" w:cs="Times New Roman"/>
                <w:b w:val="0"/>
                <w:bCs/>
                <w:color w:val="auto"/>
                <w:sz w:val="24"/>
                <w:szCs w:val="24"/>
                <w:highlight w:val="none"/>
              </w:rPr>
              <w:t>根据《环境影响评价技术导则 地下水环境》（HJ610-2016）中“表7地下水污染防渗分区参照表”，项目不涉及重金属和持久性有机污染物，污染物类型为其他类型，因此，危险废物贮存库为重点防渗区，防渗要求参照执行《危险废物贮存污染控制标准》（GB18597-2023）要求，其他区域为简单防渗区，防渗要求参照执行《环境影响评价技术导则 地下水环境》（HJ610-2016）中的简单防渗区。</w:t>
            </w:r>
          </w:p>
          <w:p>
            <w:pPr>
              <w:pStyle w:val="6"/>
              <w:widowControl w:val="0"/>
              <w:outlineLvl w:val="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表4.6-1 地下水污染防渗分区参照表</w:t>
            </w:r>
          </w:p>
          <w:tbl>
            <w:tblPr>
              <w:tblStyle w:val="49"/>
              <w:tblW w:w="8415"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162"/>
              <w:gridCol w:w="1264"/>
              <w:gridCol w:w="1776"/>
              <w:gridCol w:w="1776"/>
              <w:gridCol w:w="24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6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防治区分区</w:t>
                  </w:r>
                </w:p>
              </w:tc>
              <w:tc>
                <w:tcPr>
                  <w:tcW w:w="1264"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天然包气带防污性能</w:t>
                  </w:r>
                </w:p>
              </w:tc>
              <w:tc>
                <w:tcPr>
                  <w:tcW w:w="177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污染控制难易程度</w:t>
                  </w:r>
                </w:p>
              </w:tc>
              <w:tc>
                <w:tcPr>
                  <w:tcW w:w="177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污染物类型</w:t>
                  </w:r>
                </w:p>
              </w:tc>
              <w:tc>
                <w:tcPr>
                  <w:tcW w:w="243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防渗技术要求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62" w:type="dxa"/>
                  <w:vMerge w:val="restar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重点防渗区</w:t>
                  </w:r>
                </w:p>
              </w:tc>
              <w:tc>
                <w:tcPr>
                  <w:tcW w:w="1264"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弱</w:t>
                  </w:r>
                </w:p>
              </w:tc>
              <w:tc>
                <w:tcPr>
                  <w:tcW w:w="177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易-难</w:t>
                  </w:r>
                </w:p>
              </w:tc>
              <w:tc>
                <w:tcPr>
                  <w:tcW w:w="1776" w:type="dxa"/>
                  <w:vMerge w:val="restar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重金属和持久性有机污染物</w:t>
                  </w:r>
                </w:p>
              </w:tc>
              <w:tc>
                <w:tcPr>
                  <w:tcW w:w="2437" w:type="dxa"/>
                  <w:vMerge w:val="restar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等效黏土防渗层厚度不小于6m，渗透系数≤10</w:t>
                  </w:r>
                  <w:r>
                    <w:rPr>
                      <w:rFonts w:hint="default" w:ascii="Times New Roman" w:hAnsi="Times New Roman" w:eastAsia="宋体" w:cs="Times New Roman"/>
                      <w:color w:val="auto"/>
                      <w:sz w:val="21"/>
                      <w:szCs w:val="21"/>
                      <w:highlight w:val="none"/>
                      <w:vertAlign w:val="superscript"/>
                    </w:rPr>
                    <w:t>-7</w:t>
                  </w:r>
                  <w:r>
                    <w:rPr>
                      <w:rFonts w:hint="default" w:ascii="Times New Roman" w:hAnsi="Times New Roman" w:eastAsia="宋体" w:cs="Times New Roman"/>
                      <w:color w:val="auto"/>
                      <w:sz w:val="21"/>
                      <w:szCs w:val="21"/>
                      <w:highlight w:val="none"/>
                    </w:rPr>
                    <w:t>cm/s；或参照GB18598执行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62"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264"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中-强</w:t>
                  </w:r>
                </w:p>
              </w:tc>
              <w:tc>
                <w:tcPr>
                  <w:tcW w:w="177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难</w:t>
                  </w:r>
                </w:p>
              </w:tc>
              <w:tc>
                <w:tcPr>
                  <w:tcW w:w="1776"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rPr>
                  </w:pPr>
                </w:p>
              </w:tc>
              <w:tc>
                <w:tcPr>
                  <w:tcW w:w="2437"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62" w:type="dxa"/>
                  <w:vMerge w:val="restar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一般防渗区</w:t>
                  </w:r>
                </w:p>
              </w:tc>
              <w:tc>
                <w:tcPr>
                  <w:tcW w:w="1264"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中-强</w:t>
                  </w:r>
                </w:p>
              </w:tc>
              <w:tc>
                <w:tcPr>
                  <w:tcW w:w="177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易</w:t>
                  </w:r>
                </w:p>
              </w:tc>
              <w:tc>
                <w:tcPr>
                  <w:tcW w:w="177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重金属和持久性有机污染物</w:t>
                  </w:r>
                </w:p>
              </w:tc>
              <w:tc>
                <w:tcPr>
                  <w:tcW w:w="2437" w:type="dxa"/>
                  <w:vMerge w:val="restar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等效黏土防渗层厚度不小于1.5m，渗透系数≤10</w:t>
                  </w:r>
                  <w:r>
                    <w:rPr>
                      <w:rFonts w:hint="default" w:ascii="Times New Roman" w:hAnsi="Times New Roman" w:eastAsia="宋体" w:cs="Times New Roman"/>
                      <w:color w:val="auto"/>
                      <w:sz w:val="21"/>
                      <w:szCs w:val="21"/>
                      <w:highlight w:val="none"/>
                      <w:vertAlign w:val="superscript"/>
                    </w:rPr>
                    <w:t>-7</w:t>
                  </w:r>
                  <w:r>
                    <w:rPr>
                      <w:rFonts w:hint="default" w:ascii="Times New Roman" w:hAnsi="Times New Roman" w:eastAsia="宋体" w:cs="Times New Roman"/>
                      <w:color w:val="auto"/>
                      <w:sz w:val="21"/>
                      <w:szCs w:val="21"/>
                      <w:highlight w:val="none"/>
                    </w:rPr>
                    <w:t>cm/s；或参照GB16889执行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62"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264"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弱</w:t>
                  </w:r>
                </w:p>
              </w:tc>
              <w:tc>
                <w:tcPr>
                  <w:tcW w:w="177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rPr>
                    <w:t>易-难</w:t>
                  </w:r>
                </w:p>
              </w:tc>
              <w:tc>
                <w:tcPr>
                  <w:tcW w:w="1776" w:type="dxa"/>
                  <w:vMerge w:val="restart"/>
                  <w:tcBorders>
                    <w:tl2br w:val="nil"/>
                    <w:tr2bl w:val="nil"/>
                  </w:tcBorders>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其他类型</w:t>
                  </w:r>
                </w:p>
              </w:tc>
              <w:tc>
                <w:tcPr>
                  <w:tcW w:w="2437"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62"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264"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中-强</w:t>
                  </w:r>
                </w:p>
              </w:tc>
              <w:tc>
                <w:tcPr>
                  <w:tcW w:w="177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难</w:t>
                  </w:r>
                </w:p>
              </w:tc>
              <w:tc>
                <w:tcPr>
                  <w:tcW w:w="1776"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rPr>
                  </w:pPr>
                </w:p>
              </w:tc>
              <w:tc>
                <w:tcPr>
                  <w:tcW w:w="2437"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116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简单防渗区</w:t>
                  </w:r>
                </w:p>
              </w:tc>
              <w:tc>
                <w:tcPr>
                  <w:tcW w:w="1264"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中-强</w:t>
                  </w:r>
                </w:p>
              </w:tc>
              <w:tc>
                <w:tcPr>
                  <w:tcW w:w="177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易</w:t>
                  </w:r>
                </w:p>
              </w:tc>
              <w:tc>
                <w:tcPr>
                  <w:tcW w:w="177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其他类型</w:t>
                  </w:r>
                </w:p>
              </w:tc>
              <w:tc>
                <w:tcPr>
                  <w:tcW w:w="2437"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一般地面硬化</w:t>
                  </w:r>
                </w:p>
              </w:tc>
            </w:tr>
          </w:tbl>
          <w:p>
            <w:pPr>
              <w:pStyle w:val="6"/>
              <w:widowControl w:val="0"/>
              <w:outlineLvl w:val="4"/>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表4.6-2 分区防渗措施情况一览表</w:t>
            </w:r>
          </w:p>
          <w:tbl>
            <w:tblPr>
              <w:tblStyle w:val="49"/>
              <w:tblW w:w="8415"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785"/>
              <w:gridCol w:w="984"/>
              <w:gridCol w:w="1045"/>
              <w:gridCol w:w="1515"/>
              <w:gridCol w:w="408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785"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防治区分区</w:t>
                  </w:r>
                </w:p>
              </w:tc>
              <w:tc>
                <w:tcPr>
                  <w:tcW w:w="984"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装置名称</w:t>
                  </w:r>
                </w:p>
              </w:tc>
              <w:tc>
                <w:tcPr>
                  <w:tcW w:w="1045"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防渗区域</w:t>
                  </w:r>
                </w:p>
              </w:tc>
              <w:tc>
                <w:tcPr>
                  <w:tcW w:w="5601" w:type="dxa"/>
                  <w:gridSpan w:val="2"/>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防渗技术要求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785"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重点防渗区</w:t>
                  </w:r>
                </w:p>
              </w:tc>
              <w:tc>
                <w:tcPr>
                  <w:tcW w:w="984"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危险废物贮存库</w:t>
                  </w:r>
                </w:p>
              </w:tc>
              <w:tc>
                <w:tcPr>
                  <w:tcW w:w="1045"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地面与裙脚</w:t>
                  </w:r>
                </w:p>
              </w:tc>
              <w:tc>
                <w:tcPr>
                  <w:tcW w:w="1515"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(GB18597-2023)《危险废物贮存污染控制标准》</w:t>
                  </w:r>
                </w:p>
              </w:tc>
              <w:tc>
                <w:tcPr>
                  <w:tcW w:w="408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采取表面防渗措施，表面防渗材料应与所接触的物料或污染物相容，可采用抗渗混凝土、高密度聚乙烯膜、钠基膨润土防水毯或其他防渗性能等效的材料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rPr>
              <w:tc>
                <w:tcPr>
                  <w:tcW w:w="785"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简单防渗区</w:t>
                  </w:r>
                </w:p>
              </w:tc>
              <w:tc>
                <w:tcPr>
                  <w:tcW w:w="984"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其他区域</w:t>
                  </w:r>
                </w:p>
              </w:tc>
              <w:tc>
                <w:tcPr>
                  <w:tcW w:w="1045"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地面</w:t>
                  </w:r>
                </w:p>
              </w:tc>
              <w:tc>
                <w:tcPr>
                  <w:tcW w:w="1515"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《环境影响评价技术导则 地下水环境》（HJ610-2016）防渗要求</w:t>
                  </w:r>
                </w:p>
              </w:tc>
              <w:tc>
                <w:tcPr>
                  <w:tcW w:w="4086"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地面硬化</w:t>
                  </w:r>
                </w:p>
              </w:tc>
            </w:tr>
          </w:tbl>
          <w:p>
            <w:pPr>
              <w:pStyle w:val="3"/>
              <w:outlineLvl w:val="1"/>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4.7环境风险</w:t>
            </w:r>
          </w:p>
          <w:p>
            <w:pPr>
              <w:pStyle w:val="4"/>
              <w:outlineLvl w:val="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4.7.1风险物质调查</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厂区内不设柴油储罐，主要原辅材料为柴油</w:t>
            </w:r>
            <w:r>
              <w:rPr>
                <w:rFonts w:hint="eastAsia" w:cs="Times New Roman"/>
                <w:color w:val="auto"/>
                <w:highlight w:val="none"/>
                <w:lang w:eastAsia="zh-CN"/>
              </w:rPr>
              <w:t>、</w:t>
            </w:r>
            <w:r>
              <w:rPr>
                <w:rFonts w:hint="default" w:ascii="Times New Roman" w:hAnsi="Times New Roman" w:eastAsia="宋体" w:cs="Times New Roman"/>
                <w:color w:val="auto"/>
                <w:highlight w:val="none"/>
              </w:rPr>
              <w:t>液压油和润滑油，根据《建设项目环境风险评价技术导则》</w:t>
            </w:r>
            <w:r>
              <w:rPr>
                <w:rFonts w:hint="eastAsia" w:cs="Times New Roman"/>
                <w:color w:val="auto"/>
                <w:highlight w:val="none"/>
                <w:lang w:val="en-US" w:eastAsia="zh-CN"/>
              </w:rPr>
              <w:t>(</w:t>
            </w:r>
            <w:r>
              <w:rPr>
                <w:rFonts w:hint="default" w:ascii="Times New Roman" w:hAnsi="Times New Roman" w:eastAsia="宋体" w:cs="Times New Roman"/>
                <w:color w:val="auto"/>
                <w:highlight w:val="none"/>
              </w:rPr>
              <w:t>HJ169-2018</w:t>
            </w:r>
            <w:r>
              <w:rPr>
                <w:rFonts w:hint="eastAsia" w:cs="Times New Roman"/>
                <w:color w:val="auto"/>
                <w:highlight w:val="none"/>
                <w:lang w:val="en-US" w:eastAsia="zh-CN"/>
              </w:rPr>
              <w:t>)</w:t>
            </w:r>
            <w:r>
              <w:rPr>
                <w:rFonts w:hint="default" w:ascii="Times New Roman" w:hAnsi="Times New Roman" w:eastAsia="宋体" w:cs="Times New Roman"/>
                <w:color w:val="auto"/>
                <w:highlight w:val="none"/>
              </w:rPr>
              <w:t>，项目生产过程涉及主要风险物质包括液压油</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润滑油和</w:t>
            </w:r>
            <w:r>
              <w:rPr>
                <w:rFonts w:hint="eastAsia" w:cs="Times New Roman"/>
                <w:color w:val="auto"/>
                <w:highlight w:val="none"/>
                <w:lang w:val="en-US" w:eastAsia="zh-CN"/>
              </w:rPr>
              <w:t>废</w:t>
            </w:r>
            <w:r>
              <w:rPr>
                <w:rFonts w:hint="default" w:ascii="Times New Roman" w:hAnsi="Times New Roman" w:eastAsia="宋体" w:cs="Times New Roman"/>
                <w:color w:val="auto"/>
                <w:highlight w:val="none"/>
              </w:rPr>
              <w:t>液压油</w:t>
            </w:r>
            <w:r>
              <w:rPr>
                <w:rFonts w:hint="eastAsia" w:ascii="Times New Roman" w:hAnsi="Times New Roman" w:eastAsia="宋体" w:cs="Times New Roman"/>
                <w:color w:val="auto"/>
                <w:highlight w:val="none"/>
                <w:lang w:eastAsia="zh-CN"/>
              </w:rPr>
              <w:t>、</w:t>
            </w:r>
            <w:r>
              <w:rPr>
                <w:rFonts w:hint="eastAsia" w:cs="Times New Roman"/>
                <w:color w:val="auto"/>
                <w:highlight w:val="none"/>
                <w:lang w:val="en-US" w:eastAsia="zh-CN"/>
              </w:rPr>
              <w:t>废</w:t>
            </w:r>
            <w:r>
              <w:rPr>
                <w:rFonts w:hint="default" w:ascii="Times New Roman" w:hAnsi="Times New Roman" w:eastAsia="宋体" w:cs="Times New Roman"/>
                <w:color w:val="auto"/>
                <w:highlight w:val="none"/>
              </w:rPr>
              <w:t>润滑油。</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建设项目环境风险评价技术导则》（HJ169-2018）附录C，计算所涉及的每种危险物质在厂界内的最大存在总量与其在附录B中对应临界量的比值Q。当存在多种危险物质时，按照下式计算物质总量与其临界量比值（Q）：</w:t>
            </w:r>
          </w:p>
          <w:p>
            <w:pPr>
              <w:pStyle w:val="572"/>
              <w:snapToGrid w:val="0"/>
              <w:ind w:firstLine="48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drawing>
                <wp:inline distT="0" distB="0" distL="0" distR="0">
                  <wp:extent cx="1638300" cy="425450"/>
                  <wp:effectExtent l="0" t="0" r="0" b="1270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638300" cy="425450"/>
                          </a:xfrm>
                          <a:prstGeom prst="rect">
                            <a:avLst/>
                          </a:prstGeom>
                          <a:noFill/>
                          <a:ln>
                            <a:noFill/>
                          </a:ln>
                        </pic:spPr>
                      </pic:pic>
                    </a:graphicData>
                  </a:graphic>
                </wp:inline>
              </w:drawing>
            </w:r>
          </w:p>
          <w:p>
            <w:pPr>
              <w:pStyle w:val="572"/>
              <w:snapToGrid w:val="0"/>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式中：q</w:t>
            </w:r>
            <w:r>
              <w:rPr>
                <w:rFonts w:hint="default" w:ascii="Times New Roman" w:hAnsi="Times New Roman" w:eastAsia="宋体" w:cs="Times New Roman"/>
                <w:color w:val="auto"/>
                <w:sz w:val="24"/>
                <w:szCs w:val="24"/>
                <w:highlight w:val="none"/>
                <w:vertAlign w:val="subscript"/>
              </w:rPr>
              <w:t>1</w:t>
            </w:r>
            <w:r>
              <w:rPr>
                <w:rFonts w:hint="default" w:ascii="Times New Roman" w:hAnsi="Times New Roman" w:eastAsia="宋体" w:cs="Times New Roman"/>
                <w:color w:val="auto"/>
                <w:sz w:val="24"/>
                <w:szCs w:val="24"/>
                <w:highlight w:val="none"/>
              </w:rPr>
              <w:t>，q</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……q</w:t>
            </w:r>
            <w:r>
              <w:rPr>
                <w:rFonts w:hint="default" w:ascii="Times New Roman" w:hAnsi="Times New Roman" w:eastAsia="宋体" w:cs="Times New Roman"/>
                <w:color w:val="auto"/>
                <w:sz w:val="24"/>
                <w:szCs w:val="24"/>
                <w:highlight w:val="none"/>
                <w:vertAlign w:val="subscript"/>
              </w:rPr>
              <w:t>n</w:t>
            </w:r>
            <w:r>
              <w:rPr>
                <w:rFonts w:hint="default" w:ascii="Times New Roman" w:hAnsi="Times New Roman" w:eastAsia="宋体" w:cs="Times New Roman"/>
                <w:color w:val="auto"/>
                <w:sz w:val="24"/>
                <w:szCs w:val="24"/>
                <w:highlight w:val="none"/>
              </w:rPr>
              <w:t>—每种危险物质的最大储存总量，t；</w:t>
            </w:r>
          </w:p>
          <w:p>
            <w:pPr>
              <w:pStyle w:val="572"/>
              <w:snapToGrid w:val="0"/>
              <w:ind w:firstLine="1200" w:firstLineChars="5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Q</w:t>
            </w:r>
            <w:r>
              <w:rPr>
                <w:rFonts w:hint="default" w:ascii="Times New Roman" w:hAnsi="Times New Roman" w:eastAsia="宋体" w:cs="Times New Roman"/>
                <w:color w:val="auto"/>
                <w:sz w:val="24"/>
                <w:szCs w:val="24"/>
                <w:highlight w:val="none"/>
                <w:vertAlign w:val="subscript"/>
              </w:rPr>
              <w:t>1</w:t>
            </w:r>
            <w:r>
              <w:rPr>
                <w:rFonts w:hint="default" w:ascii="Times New Roman" w:hAnsi="Times New Roman" w:eastAsia="宋体" w:cs="Times New Roman"/>
                <w:color w:val="auto"/>
                <w:sz w:val="24"/>
                <w:szCs w:val="24"/>
                <w:highlight w:val="none"/>
              </w:rPr>
              <w:t>，Q</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……Q</w:t>
            </w:r>
            <w:r>
              <w:rPr>
                <w:rFonts w:hint="default" w:ascii="Times New Roman" w:hAnsi="Times New Roman" w:eastAsia="宋体" w:cs="Times New Roman"/>
                <w:color w:val="auto"/>
                <w:sz w:val="24"/>
                <w:szCs w:val="24"/>
                <w:highlight w:val="none"/>
                <w:vertAlign w:val="subscript"/>
              </w:rPr>
              <w:t>n</w:t>
            </w:r>
            <w:r>
              <w:rPr>
                <w:rFonts w:hint="default" w:ascii="Times New Roman" w:hAnsi="Times New Roman" w:eastAsia="宋体" w:cs="Times New Roman"/>
                <w:color w:val="auto"/>
                <w:sz w:val="24"/>
                <w:szCs w:val="24"/>
                <w:highlight w:val="none"/>
              </w:rPr>
              <w:t>—每种危险物质的临界量，t。</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当Q＜1时，该项目环境风险潜势为I。</w:t>
            </w:r>
          </w:p>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当Q≥1时，将Q值划分为：（1）1≤Q＜10；（2）10≤Q＜100；（3）Q≥100。</w:t>
            </w:r>
          </w:p>
          <w:p>
            <w:pPr>
              <w:pStyle w:val="563"/>
              <w:numPr>
                <w:ilvl w:val="0"/>
                <w:numId w:val="0"/>
              </w:numPr>
              <w:spacing w:line="240" w:lineRule="auto"/>
              <w:rPr>
                <w:rFonts w:hint="default" w:ascii="Times New Roman" w:hAnsi="Times New Roman" w:eastAsia="宋体" w:cs="Times New Roman"/>
                <w:color w:val="auto"/>
                <w:highlight w:val="none"/>
              </w:rPr>
            </w:pPr>
            <w:r>
              <w:rPr>
                <w:rFonts w:hint="default" w:ascii="Times New Roman" w:hAnsi="Times New Roman" w:eastAsia="宋体" w:cs="Times New Roman"/>
                <w:bCs/>
                <w:color w:val="auto"/>
                <w:szCs w:val="24"/>
                <w:highlight w:val="none"/>
              </w:rPr>
              <w:t>表4.7-1</w:t>
            </w:r>
            <w:r>
              <w:rPr>
                <w:rFonts w:hint="default" w:ascii="Times New Roman" w:hAnsi="Times New Roman" w:eastAsia="宋体" w:cs="Times New Roman"/>
                <w:color w:val="auto"/>
                <w:szCs w:val="24"/>
                <w:highlight w:val="none"/>
              </w:rPr>
              <w:t>项目风险物质Q值计算一览</w:t>
            </w:r>
            <w:r>
              <w:rPr>
                <w:rFonts w:hint="default" w:ascii="Times New Roman" w:hAnsi="Times New Roman" w:eastAsia="宋体" w:cs="Times New Roman"/>
                <w:bCs/>
                <w:color w:val="auto"/>
                <w:highlight w:val="none"/>
              </w:rPr>
              <w:t>表</w:t>
            </w:r>
          </w:p>
          <w:tbl>
            <w:tblPr>
              <w:tblStyle w:val="49"/>
              <w:tblW w:w="840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8"/>
              <w:gridCol w:w="1800"/>
              <w:gridCol w:w="2550"/>
              <w:gridCol w:w="1902"/>
              <w:gridCol w:w="12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888"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1"/>
                      <w:szCs w:val="21"/>
                      <w:highlight w:val="none"/>
                    </w:rPr>
                  </w:pPr>
                </w:p>
              </w:tc>
              <w:tc>
                <w:tcPr>
                  <w:tcW w:w="1800"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1"/>
                      <w:szCs w:val="21"/>
                      <w:highlight w:val="none"/>
                    </w:rPr>
                  </w:pPr>
                </w:p>
              </w:tc>
              <w:tc>
                <w:tcPr>
                  <w:tcW w:w="2550"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1"/>
                      <w:szCs w:val="21"/>
                      <w:highlight w:val="none"/>
                    </w:rPr>
                  </w:pPr>
                </w:p>
              </w:tc>
              <w:tc>
                <w:tcPr>
                  <w:tcW w:w="1902"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1"/>
                      <w:szCs w:val="21"/>
                      <w:highlight w:val="none"/>
                    </w:rPr>
                  </w:pPr>
                </w:p>
              </w:tc>
              <w:tc>
                <w:tcPr>
                  <w:tcW w:w="1268"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888" w:type="dxa"/>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1800" w:type="dxa"/>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550"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1"/>
                      <w:szCs w:val="21"/>
                      <w:highlight w:val="none"/>
                      <w:lang w:val="en-US" w:eastAsia="zh-CN"/>
                    </w:rPr>
                  </w:pPr>
                </w:p>
              </w:tc>
              <w:tc>
                <w:tcPr>
                  <w:tcW w:w="1902"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1"/>
                      <w:szCs w:val="21"/>
                      <w:highlight w:val="none"/>
                    </w:rPr>
                  </w:pPr>
                </w:p>
              </w:tc>
              <w:tc>
                <w:tcPr>
                  <w:tcW w:w="1268"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888" w:type="dxa"/>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1800" w:type="dxa"/>
                  <w:tcBorders>
                    <w:tl2br w:val="nil"/>
                    <w:tr2bl w:val="nil"/>
                  </w:tcBorders>
                  <w:vAlign w:val="center"/>
                </w:tcPr>
                <w:p>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550"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1"/>
                      <w:szCs w:val="21"/>
                      <w:highlight w:val="none"/>
                      <w:lang w:val="en-US" w:eastAsia="zh-CN"/>
                    </w:rPr>
                  </w:pPr>
                </w:p>
              </w:tc>
              <w:tc>
                <w:tcPr>
                  <w:tcW w:w="1902"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1"/>
                      <w:szCs w:val="21"/>
                      <w:highlight w:val="none"/>
                    </w:rPr>
                  </w:pPr>
                </w:p>
              </w:tc>
              <w:tc>
                <w:tcPr>
                  <w:tcW w:w="1268"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blHeader/>
                <w:jc w:val="center"/>
              </w:trPr>
              <w:tc>
                <w:tcPr>
                  <w:tcW w:w="7140" w:type="dxa"/>
                  <w:gridSpan w:val="4"/>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snapToGrid w:val="0"/>
                      <w:color w:val="auto"/>
                      <w:kern w:val="0"/>
                      <w:sz w:val="21"/>
                      <w:szCs w:val="21"/>
                      <w:highlight w:val="none"/>
                    </w:rPr>
                  </w:pPr>
                </w:p>
              </w:tc>
              <w:tc>
                <w:tcPr>
                  <w:tcW w:w="1268"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eastAsia="宋体" w:cs="Times New Roman"/>
                      <w:snapToGrid w:val="0"/>
                      <w:color w:val="auto"/>
                      <w:kern w:val="0"/>
                      <w:sz w:val="21"/>
                      <w:szCs w:val="21"/>
                      <w:highlight w:val="none"/>
                      <w:lang w:val="en-US" w:eastAsia="zh-CN"/>
                    </w:rPr>
                  </w:pPr>
                </w:p>
              </w:tc>
            </w:tr>
          </w:tbl>
          <w:p>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根据《建设项目环境风险评价技术导则》（HJ169-2018）计算，</w:t>
            </w:r>
            <w:r>
              <w:rPr>
                <w:rFonts w:hint="default" w:ascii="Times New Roman" w:hAnsi="Times New Roman" w:eastAsia="宋体" w:cs="Times New Roman"/>
                <w:color w:val="auto"/>
                <w:szCs w:val="22"/>
                <w:highlight w:val="none"/>
              </w:rPr>
              <w:t>Q＜1，环境风险潜势为I，只需对评价工作等级进行简单分析</w:t>
            </w:r>
            <w:r>
              <w:rPr>
                <w:rFonts w:hint="default" w:ascii="Times New Roman" w:hAnsi="Times New Roman" w:eastAsia="宋体" w:cs="Times New Roman"/>
                <w:color w:val="auto"/>
                <w:highlight w:val="none"/>
              </w:rPr>
              <w:t>。</w:t>
            </w:r>
          </w:p>
          <w:p>
            <w:pPr>
              <w:pStyle w:val="4"/>
              <w:outlineLvl w:val="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4.7.2环境风险识别</w:t>
            </w:r>
          </w:p>
          <w:p>
            <w:pPr>
              <w:pStyle w:val="6"/>
              <w:widowControl w:val="0"/>
              <w:spacing w:line="360" w:lineRule="auto"/>
              <w:ind w:firstLine="480" w:firstLineChars="200"/>
              <w:jc w:val="both"/>
              <w:outlineLvl w:val="4"/>
              <w:rPr>
                <w:rFonts w:hint="default" w:ascii="Times New Roman" w:hAnsi="Times New Roman" w:eastAsia="宋体" w:cs="Times New Roman"/>
                <w:b w:val="0"/>
                <w:bCs w:val="0"/>
                <w:color w:val="auto"/>
                <w:szCs w:val="20"/>
                <w:highlight w:val="none"/>
              </w:rPr>
            </w:pPr>
            <w:r>
              <w:rPr>
                <w:rFonts w:hint="default" w:ascii="Times New Roman" w:hAnsi="Times New Roman" w:eastAsia="宋体" w:cs="Times New Roman"/>
                <w:b w:val="0"/>
                <w:bCs w:val="0"/>
                <w:color w:val="auto"/>
                <w:szCs w:val="20"/>
                <w:highlight w:val="none"/>
              </w:rPr>
              <w:t>厂区内不存在重大危险源，但是废液压油和废润滑油和生产废水可能发生泄漏事故。通过对项目危险物质的识别，项目潜在环境风险事故识别结果见下表。</w:t>
            </w:r>
          </w:p>
          <w:p>
            <w:pPr>
              <w:pStyle w:val="6"/>
              <w:widowControl w:val="0"/>
              <w:outlineLvl w:val="4"/>
              <w:rPr>
                <w:rFonts w:hint="default" w:ascii="Times New Roman" w:hAnsi="Times New Roman" w:eastAsia="宋体" w:cs="Times New Roman"/>
                <w:color w:val="auto"/>
                <w:highlight w:val="none"/>
              </w:rPr>
            </w:pPr>
            <w:r>
              <w:rPr>
                <w:rFonts w:hint="default" w:ascii="Times New Roman" w:hAnsi="Times New Roman" w:eastAsia="宋体" w:cs="Times New Roman"/>
                <w:bCs w:val="0"/>
                <w:color w:val="auto"/>
                <w:szCs w:val="24"/>
                <w:highlight w:val="none"/>
              </w:rPr>
              <w:t>表4.7-2 建设项目环境风险识别表</w:t>
            </w:r>
          </w:p>
          <w:tbl>
            <w:tblPr>
              <w:tblStyle w:val="49"/>
              <w:tblW w:w="8410"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7" w:type="dxa"/>
                <w:bottom w:w="0" w:type="dxa"/>
                <w:right w:w="57" w:type="dxa"/>
              </w:tblCellMar>
            </w:tblPr>
            <w:tblGrid>
              <w:gridCol w:w="429"/>
              <w:gridCol w:w="848"/>
              <w:gridCol w:w="1160"/>
              <w:gridCol w:w="1558"/>
              <w:gridCol w:w="1840"/>
              <w:gridCol w:w="257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40" w:hRule="atLeast"/>
              </w:trPr>
              <w:tc>
                <w:tcPr>
                  <w:tcW w:w="429" w:type="dxa"/>
                  <w:tcBorders>
                    <w:tl2br w:val="nil"/>
                    <w:tr2bl w:val="nil"/>
                  </w:tcBorders>
                  <w:vAlign w:val="center"/>
                </w:tcPr>
                <w:p>
                  <w:pPr>
                    <w:pStyle w:val="105"/>
                    <w:kinsoku w:val="0"/>
                    <w:overflowPunct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848" w:type="dxa"/>
                  <w:tcBorders>
                    <w:tl2br w:val="nil"/>
                    <w:tr2bl w:val="nil"/>
                  </w:tcBorders>
                  <w:vAlign w:val="center"/>
                </w:tcPr>
                <w:p>
                  <w:pPr>
                    <w:pStyle w:val="105"/>
                    <w:kinsoku w:val="0"/>
                    <w:overflowPunct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危险单元</w:t>
                  </w:r>
                </w:p>
              </w:tc>
              <w:tc>
                <w:tcPr>
                  <w:tcW w:w="1160" w:type="dxa"/>
                  <w:tcBorders>
                    <w:tl2br w:val="nil"/>
                    <w:tr2bl w:val="nil"/>
                  </w:tcBorders>
                  <w:vAlign w:val="center"/>
                </w:tcPr>
                <w:p>
                  <w:pPr>
                    <w:pStyle w:val="105"/>
                    <w:kinsoku w:val="0"/>
                    <w:overflowPunct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风险源</w:t>
                  </w:r>
                </w:p>
              </w:tc>
              <w:tc>
                <w:tcPr>
                  <w:tcW w:w="1558" w:type="dxa"/>
                  <w:tcBorders>
                    <w:tl2br w:val="nil"/>
                    <w:tr2bl w:val="nil"/>
                  </w:tcBorders>
                  <w:vAlign w:val="center"/>
                </w:tcPr>
                <w:p>
                  <w:pPr>
                    <w:pStyle w:val="105"/>
                    <w:kinsoku w:val="0"/>
                    <w:overflowPunct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主要危险物质</w:t>
                  </w:r>
                </w:p>
              </w:tc>
              <w:tc>
                <w:tcPr>
                  <w:tcW w:w="1840" w:type="dxa"/>
                  <w:tcBorders>
                    <w:tl2br w:val="nil"/>
                    <w:tr2bl w:val="nil"/>
                  </w:tcBorders>
                  <w:vAlign w:val="center"/>
                </w:tcPr>
                <w:p>
                  <w:pPr>
                    <w:pStyle w:val="105"/>
                    <w:kinsoku w:val="0"/>
                    <w:overflowPunct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环境风险类型</w:t>
                  </w:r>
                </w:p>
              </w:tc>
              <w:tc>
                <w:tcPr>
                  <w:tcW w:w="2575" w:type="dxa"/>
                  <w:tcBorders>
                    <w:tl2br w:val="nil"/>
                    <w:tr2bl w:val="nil"/>
                  </w:tcBorders>
                  <w:vAlign w:val="center"/>
                </w:tcPr>
                <w:p>
                  <w:pPr>
                    <w:pStyle w:val="105"/>
                    <w:kinsoku w:val="0"/>
                    <w:overflowPunct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环境影响途径</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40" w:hRule="atLeast"/>
              </w:trPr>
              <w:tc>
                <w:tcPr>
                  <w:tcW w:w="429" w:type="dxa"/>
                  <w:tcBorders>
                    <w:tl2br w:val="nil"/>
                    <w:tr2bl w:val="nil"/>
                  </w:tcBorders>
                  <w:vAlign w:val="center"/>
                </w:tcPr>
                <w:p>
                  <w:pPr>
                    <w:pStyle w:val="105"/>
                    <w:kinsoku w:val="0"/>
                    <w:overflowPunct w:val="0"/>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1</w:t>
                  </w:r>
                </w:p>
              </w:tc>
              <w:tc>
                <w:tcPr>
                  <w:tcW w:w="848"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pacing w:val="2"/>
                      <w:sz w:val="21"/>
                      <w:szCs w:val="21"/>
                      <w:highlight w:val="none"/>
                    </w:rPr>
                    <w:t>油</w:t>
                  </w:r>
                  <w:r>
                    <w:rPr>
                      <w:rFonts w:hint="eastAsia" w:cs="Times New Roman"/>
                      <w:color w:val="auto"/>
                      <w:spacing w:val="2"/>
                      <w:sz w:val="21"/>
                      <w:szCs w:val="21"/>
                      <w:highlight w:val="none"/>
                      <w:lang w:val="en-US" w:eastAsia="zh-CN"/>
                    </w:rPr>
                    <w:t>类</w:t>
                  </w:r>
                  <w:r>
                    <w:rPr>
                      <w:rFonts w:hint="default" w:ascii="Times New Roman" w:hAnsi="Times New Roman" w:eastAsia="宋体" w:cs="Times New Roman"/>
                      <w:color w:val="auto"/>
                      <w:spacing w:val="2"/>
                      <w:sz w:val="21"/>
                      <w:szCs w:val="21"/>
                      <w:highlight w:val="none"/>
                    </w:rPr>
                    <w:t>存储区</w:t>
                  </w:r>
                </w:p>
              </w:tc>
              <w:tc>
                <w:tcPr>
                  <w:tcW w:w="1160"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pacing w:val="2"/>
                      <w:sz w:val="21"/>
                      <w:szCs w:val="21"/>
                      <w:highlight w:val="none"/>
                    </w:rPr>
                    <w:t>油</w:t>
                  </w:r>
                  <w:r>
                    <w:rPr>
                      <w:rFonts w:hint="eastAsia" w:cs="Times New Roman"/>
                      <w:color w:val="auto"/>
                      <w:spacing w:val="2"/>
                      <w:sz w:val="21"/>
                      <w:szCs w:val="21"/>
                      <w:highlight w:val="none"/>
                      <w:lang w:val="en-US" w:eastAsia="zh-CN"/>
                    </w:rPr>
                    <w:t>类</w:t>
                  </w:r>
                  <w:r>
                    <w:rPr>
                      <w:rFonts w:hint="default" w:ascii="Times New Roman" w:hAnsi="Times New Roman" w:eastAsia="宋体" w:cs="Times New Roman"/>
                      <w:color w:val="auto"/>
                      <w:spacing w:val="2"/>
                      <w:sz w:val="21"/>
                      <w:szCs w:val="21"/>
                      <w:highlight w:val="none"/>
                    </w:rPr>
                    <w:t>存储区</w:t>
                  </w:r>
                </w:p>
              </w:tc>
              <w:tc>
                <w:tcPr>
                  <w:tcW w:w="1558"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pacing w:val="2"/>
                      <w:sz w:val="21"/>
                      <w:szCs w:val="21"/>
                      <w:highlight w:val="none"/>
                    </w:rPr>
                  </w:pPr>
                  <w:r>
                    <w:rPr>
                      <w:rFonts w:hint="default" w:ascii="Times New Roman" w:hAnsi="Times New Roman" w:eastAsia="宋体" w:cs="Times New Roman"/>
                      <w:color w:val="auto"/>
                      <w:spacing w:val="2"/>
                      <w:sz w:val="21"/>
                      <w:highlight w:val="none"/>
                    </w:rPr>
                    <w:t>液压油和润滑油</w:t>
                  </w:r>
                </w:p>
              </w:tc>
              <w:tc>
                <w:tcPr>
                  <w:tcW w:w="1840"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火灾、爆炸、</w:t>
                  </w:r>
                  <w:r>
                    <w:rPr>
                      <w:rFonts w:hint="default" w:ascii="Times New Roman" w:hAnsi="Times New Roman" w:eastAsia="宋体" w:cs="Times New Roman"/>
                      <w:color w:val="auto"/>
                      <w:sz w:val="21"/>
                      <w:szCs w:val="21"/>
                      <w:highlight w:val="none"/>
                    </w:rPr>
                    <w:t>泄漏以及挥发性有机物</w:t>
                  </w:r>
                  <w:r>
                    <w:rPr>
                      <w:rFonts w:hint="default" w:ascii="Times New Roman" w:hAnsi="Times New Roman" w:eastAsia="宋体" w:cs="Times New Roman"/>
                      <w:color w:val="auto"/>
                      <w:kern w:val="0"/>
                      <w:sz w:val="21"/>
                      <w:szCs w:val="21"/>
                      <w:highlight w:val="none"/>
                      <w:lang w:bidi="ar"/>
                    </w:rPr>
                    <w:t>可能对环境造成影响</w:t>
                  </w:r>
                </w:p>
              </w:tc>
              <w:tc>
                <w:tcPr>
                  <w:tcW w:w="2575"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泄漏污染周边</w:t>
                  </w:r>
                  <w:r>
                    <w:rPr>
                      <w:rFonts w:hint="default" w:ascii="Times New Roman" w:hAnsi="Times New Roman" w:eastAsia="宋体" w:cs="Times New Roman"/>
                      <w:color w:val="auto"/>
                      <w:kern w:val="0"/>
                      <w:sz w:val="21"/>
                      <w:szCs w:val="21"/>
                      <w:highlight w:val="none"/>
                    </w:rPr>
                    <w:t>大气、土壤、地下水、地表水和海洋环境</w:t>
                  </w:r>
                  <w:r>
                    <w:rPr>
                      <w:rFonts w:hint="default" w:ascii="Times New Roman" w:hAnsi="Times New Roman" w:eastAsia="宋体" w:cs="Times New Roman"/>
                      <w:color w:val="auto"/>
                      <w:kern w:val="0"/>
                      <w:sz w:val="21"/>
                      <w:szCs w:val="21"/>
                      <w:highlight w:val="none"/>
                      <w:lang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40" w:hRule="atLeast"/>
              </w:trPr>
              <w:tc>
                <w:tcPr>
                  <w:tcW w:w="429" w:type="dxa"/>
                  <w:tcBorders>
                    <w:tl2br w:val="nil"/>
                    <w:tr2bl w:val="nil"/>
                  </w:tcBorders>
                  <w:vAlign w:val="center"/>
                </w:tcPr>
                <w:p>
                  <w:pPr>
                    <w:pStyle w:val="105"/>
                    <w:kinsoku w:val="0"/>
                    <w:overflowPunct w:val="0"/>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2</w:t>
                  </w:r>
                </w:p>
              </w:tc>
              <w:tc>
                <w:tcPr>
                  <w:tcW w:w="848"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pacing w:val="2"/>
                      <w:sz w:val="21"/>
                      <w:highlight w:val="none"/>
                    </w:rPr>
                  </w:pPr>
                  <w:r>
                    <w:rPr>
                      <w:rFonts w:hint="default" w:ascii="Times New Roman" w:hAnsi="Times New Roman" w:eastAsia="宋体" w:cs="Times New Roman"/>
                      <w:color w:val="auto"/>
                      <w:spacing w:val="2"/>
                      <w:sz w:val="21"/>
                      <w:highlight w:val="none"/>
                    </w:rPr>
                    <w:t>危险废物贮存库</w:t>
                  </w:r>
                </w:p>
              </w:tc>
              <w:tc>
                <w:tcPr>
                  <w:tcW w:w="1160"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pacing w:val="2"/>
                      <w:sz w:val="21"/>
                      <w:highlight w:val="none"/>
                    </w:rPr>
                  </w:pPr>
                  <w:r>
                    <w:rPr>
                      <w:rFonts w:hint="default" w:ascii="Times New Roman" w:hAnsi="Times New Roman" w:eastAsia="宋体" w:cs="Times New Roman"/>
                      <w:color w:val="auto"/>
                      <w:spacing w:val="2"/>
                      <w:sz w:val="21"/>
                      <w:highlight w:val="none"/>
                    </w:rPr>
                    <w:t>危险废物贮存库</w:t>
                  </w:r>
                </w:p>
              </w:tc>
              <w:tc>
                <w:tcPr>
                  <w:tcW w:w="1558"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pacing w:val="2"/>
                      <w:sz w:val="21"/>
                      <w:highlight w:val="none"/>
                    </w:rPr>
                  </w:pPr>
                  <w:r>
                    <w:rPr>
                      <w:rFonts w:hint="default" w:ascii="Times New Roman" w:hAnsi="Times New Roman" w:eastAsia="宋体" w:cs="Times New Roman"/>
                      <w:color w:val="auto"/>
                      <w:spacing w:val="2"/>
                      <w:sz w:val="21"/>
                      <w:szCs w:val="21"/>
                      <w:highlight w:val="none"/>
                    </w:rPr>
                    <w:t>废液压油和废润滑油</w:t>
                  </w:r>
                </w:p>
              </w:tc>
              <w:tc>
                <w:tcPr>
                  <w:tcW w:w="1840"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火灾、爆炸、</w:t>
                  </w:r>
                  <w:r>
                    <w:rPr>
                      <w:rFonts w:hint="default" w:ascii="Times New Roman" w:hAnsi="Times New Roman" w:eastAsia="宋体" w:cs="Times New Roman"/>
                      <w:color w:val="auto"/>
                      <w:sz w:val="21"/>
                      <w:szCs w:val="21"/>
                      <w:highlight w:val="none"/>
                    </w:rPr>
                    <w:t>泄漏以及挥发性有机物</w:t>
                  </w:r>
                  <w:r>
                    <w:rPr>
                      <w:rFonts w:hint="default" w:ascii="Times New Roman" w:hAnsi="Times New Roman" w:eastAsia="宋体" w:cs="Times New Roman"/>
                      <w:color w:val="auto"/>
                      <w:kern w:val="0"/>
                      <w:sz w:val="21"/>
                      <w:szCs w:val="21"/>
                      <w:highlight w:val="none"/>
                      <w:lang w:bidi="ar"/>
                    </w:rPr>
                    <w:t>可能对环境造成影响</w:t>
                  </w:r>
                </w:p>
              </w:tc>
              <w:tc>
                <w:tcPr>
                  <w:tcW w:w="2575"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泄漏污染周边</w:t>
                  </w:r>
                  <w:r>
                    <w:rPr>
                      <w:rFonts w:hint="default" w:ascii="Times New Roman" w:hAnsi="Times New Roman" w:eastAsia="宋体" w:cs="Times New Roman"/>
                      <w:color w:val="auto"/>
                      <w:kern w:val="0"/>
                      <w:sz w:val="21"/>
                      <w:szCs w:val="21"/>
                      <w:highlight w:val="none"/>
                    </w:rPr>
                    <w:t>大气、土壤、地下水、地表水和海洋环境</w:t>
                  </w:r>
                  <w:r>
                    <w:rPr>
                      <w:rFonts w:hint="default" w:ascii="Times New Roman" w:hAnsi="Times New Roman" w:eastAsia="宋体" w:cs="Times New Roman"/>
                      <w:color w:val="auto"/>
                      <w:kern w:val="0"/>
                      <w:sz w:val="21"/>
                      <w:szCs w:val="21"/>
                      <w:highlight w:val="none"/>
                      <w:lang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574" w:hRule="atLeast"/>
              </w:trPr>
              <w:tc>
                <w:tcPr>
                  <w:tcW w:w="429" w:type="dxa"/>
                  <w:tcBorders>
                    <w:tl2br w:val="nil"/>
                    <w:tr2bl w:val="nil"/>
                  </w:tcBorders>
                  <w:vAlign w:val="center"/>
                </w:tcPr>
                <w:p>
                  <w:pPr>
                    <w:pStyle w:val="105"/>
                    <w:kinsoku w:val="0"/>
                    <w:overflowPunct w:val="0"/>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3</w:t>
                  </w:r>
                </w:p>
              </w:tc>
              <w:tc>
                <w:tcPr>
                  <w:tcW w:w="848"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pacing w:val="2"/>
                      <w:sz w:val="21"/>
                      <w:highlight w:val="none"/>
                    </w:rPr>
                  </w:pPr>
                  <w:r>
                    <w:rPr>
                      <w:rFonts w:hint="default" w:ascii="Times New Roman" w:hAnsi="Times New Roman" w:eastAsia="宋体" w:cs="Times New Roman"/>
                      <w:color w:val="auto"/>
                      <w:spacing w:val="2"/>
                      <w:sz w:val="21"/>
                      <w:highlight w:val="none"/>
                    </w:rPr>
                    <w:t>沉淀池</w:t>
                  </w:r>
                </w:p>
              </w:tc>
              <w:tc>
                <w:tcPr>
                  <w:tcW w:w="1160"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pacing w:val="2"/>
                      <w:sz w:val="21"/>
                      <w:highlight w:val="none"/>
                    </w:rPr>
                  </w:pPr>
                  <w:r>
                    <w:rPr>
                      <w:rFonts w:hint="default" w:ascii="Times New Roman" w:hAnsi="Times New Roman" w:eastAsia="宋体" w:cs="Times New Roman"/>
                      <w:color w:val="auto"/>
                      <w:spacing w:val="2"/>
                      <w:sz w:val="21"/>
                      <w:highlight w:val="none"/>
                    </w:rPr>
                    <w:t>沉淀池</w:t>
                  </w:r>
                </w:p>
              </w:tc>
              <w:tc>
                <w:tcPr>
                  <w:tcW w:w="1558"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pacing w:val="2"/>
                      <w:sz w:val="21"/>
                      <w:highlight w:val="none"/>
                    </w:rPr>
                  </w:pPr>
                  <w:r>
                    <w:rPr>
                      <w:rFonts w:hint="default" w:ascii="Times New Roman" w:hAnsi="Times New Roman" w:eastAsia="宋体" w:cs="Times New Roman"/>
                      <w:color w:val="auto"/>
                      <w:spacing w:val="2"/>
                      <w:sz w:val="21"/>
                      <w:highlight w:val="none"/>
                    </w:rPr>
                    <w:t>废水</w:t>
                  </w:r>
                </w:p>
              </w:tc>
              <w:tc>
                <w:tcPr>
                  <w:tcW w:w="1840"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泄漏</w:t>
                  </w:r>
                  <w:r>
                    <w:rPr>
                      <w:rFonts w:hint="default" w:ascii="Times New Roman" w:hAnsi="Times New Roman" w:eastAsia="宋体" w:cs="Times New Roman"/>
                      <w:color w:val="auto"/>
                      <w:kern w:val="0"/>
                      <w:sz w:val="21"/>
                      <w:szCs w:val="21"/>
                      <w:highlight w:val="none"/>
                      <w:lang w:bidi="ar"/>
                    </w:rPr>
                    <w:t>可能对周边环境造成影响</w:t>
                  </w:r>
                </w:p>
              </w:tc>
              <w:tc>
                <w:tcPr>
                  <w:tcW w:w="2575"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泄漏污染周边</w:t>
                  </w:r>
                  <w:r>
                    <w:rPr>
                      <w:rFonts w:hint="default" w:ascii="Times New Roman" w:hAnsi="Times New Roman" w:eastAsia="宋体" w:cs="Times New Roman"/>
                      <w:color w:val="auto"/>
                      <w:kern w:val="0"/>
                      <w:sz w:val="21"/>
                      <w:szCs w:val="21"/>
                      <w:highlight w:val="none"/>
                    </w:rPr>
                    <w:t>土壤、地下水、地表水和海洋环境</w:t>
                  </w:r>
                  <w:r>
                    <w:rPr>
                      <w:rFonts w:hint="default" w:ascii="Times New Roman" w:hAnsi="Times New Roman" w:eastAsia="宋体" w:cs="Times New Roman"/>
                      <w:color w:val="auto"/>
                      <w:kern w:val="0"/>
                      <w:sz w:val="21"/>
                      <w:szCs w:val="21"/>
                      <w:highlight w:val="none"/>
                      <w:lang w:bidi="ar"/>
                    </w:rPr>
                    <w:t>。</w:t>
                  </w:r>
                </w:p>
              </w:tc>
            </w:tr>
          </w:tbl>
          <w:p>
            <w:pPr>
              <w:pStyle w:val="4"/>
              <w:outlineLvl w:val="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4.7.3环境风险分析</w:t>
            </w:r>
          </w:p>
          <w:p>
            <w:pPr>
              <w:ind w:firstLine="420" w:firstLineChars="175"/>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（1）危险废物泄漏事故影响分析</w:t>
            </w:r>
          </w:p>
          <w:p>
            <w:pPr>
              <w:pStyle w:val="566"/>
              <w:spacing w:after="0"/>
              <w:ind w:left="0" w:leftChars="0" w:firstLine="420" w:firstLineChars="175"/>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危险废物主要为废液压油和废润滑油，废液压油和废润滑油在贮运过程中可能发生泄漏事故。废油采用专用密闭容器收集，存放在危险废物贮存库内，危险废物贮存库采取防渗措施，设置托盘或围堰，避免危险废物发生泄漏而污染周边环境。在贮存过程加强危险废物贮存库巡查，废油贮存量较小，若发生泄漏事故，泄漏量较小，可控制在危险废物贮存库内，对周边环境影响较小。</w:t>
            </w:r>
          </w:p>
          <w:p>
            <w:pPr>
              <w:pStyle w:val="566"/>
              <w:spacing w:after="0"/>
              <w:ind w:leftChars="175" w:firstLine="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（2）废水事故排放影响分析</w:t>
            </w:r>
          </w:p>
          <w:p>
            <w:pPr>
              <w:pStyle w:val="566"/>
              <w:spacing w:after="0"/>
              <w:ind w:left="0" w:leftChars="0" w:firstLine="420" w:firstLineChars="175"/>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运营过程废水事故排放主要考虑管道堵塞、破裂、接头处破损以及废水处理设施发生故障和废水处理池体破损。管线处于非正常状态下（即事故状态：管道堵塞、破裂、接头处破损等）和废水处理池体破损，将造成污水外溢，污染周边环境；废水处理设施发生故障后，回用水水质可能无法达到生产要求，影响正常生产。</w:t>
            </w:r>
          </w:p>
          <w:p>
            <w:pPr>
              <w:pStyle w:val="566"/>
              <w:spacing w:after="0"/>
              <w:ind w:left="0" w:leftChars="0" w:firstLine="420" w:firstLineChars="175"/>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项目采用管材接口强度高，整体性好，施工方便快捷；密封性好，延展性好，无渗漏；柔韧性好，能适应地基较差条件下的施工；耐腐蚀、抗老化能力强；使用寿命长等优点。因此，管道堵塞、破裂、接头处破损发生事故排放的概率很小。项目沉淀池容积600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，无</w:t>
            </w:r>
            <w:r>
              <w:rPr>
                <w:rFonts w:hint="eastAsia" w:cs="Times New Roman"/>
                <w:color w:val="auto"/>
                <w:highlight w:val="none"/>
                <w:lang w:val="en-US" w:eastAsia="zh-CN"/>
              </w:rPr>
              <w:t>须</w:t>
            </w:r>
            <w:r>
              <w:rPr>
                <w:rFonts w:hint="default" w:ascii="Times New Roman" w:hAnsi="Times New Roman" w:eastAsia="宋体" w:cs="Times New Roman"/>
                <w:color w:val="auto"/>
                <w:highlight w:val="none"/>
              </w:rPr>
              <w:t>设置事故收集池，若三级沉淀池发生故障时，立即停产，同时安排维修人员检查故障。若废水处理池体破损导致生产废水泄漏时，应立即停止生产，同时将破损废水处理池中的废水进行收集处理，安排维修人员修补破损沉淀池。本项目废水污染物主要是SS，废水污染物简单，建设单位在加强日常管理和各项风险防范措施后，对周边影响较小。</w:t>
            </w:r>
          </w:p>
          <w:p>
            <w:pPr>
              <w:pStyle w:val="4"/>
              <w:outlineLvl w:val="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4.7.4环境风险防范措施</w:t>
            </w:r>
          </w:p>
          <w:p>
            <w:pPr>
              <w:pStyle w:val="4"/>
              <w:ind w:firstLine="480" w:firstLineChars="200"/>
              <w:outlineLvl w:val="2"/>
              <w:rPr>
                <w:rFonts w:hint="default" w:ascii="Times New Roman" w:hAnsi="Times New Roman" w:eastAsia="宋体" w:cs="Times New Roman"/>
                <w:b w:val="0"/>
                <w:bCs w:val="0"/>
                <w:snapToGrid/>
                <w:color w:val="auto"/>
                <w:kern w:val="2"/>
                <w:sz w:val="24"/>
                <w:szCs w:val="24"/>
                <w:highlight w:val="none"/>
              </w:rPr>
            </w:pPr>
            <w:r>
              <w:rPr>
                <w:rFonts w:hint="default" w:ascii="Times New Roman" w:hAnsi="Times New Roman" w:eastAsia="宋体" w:cs="Times New Roman"/>
                <w:b w:val="0"/>
                <w:bCs w:val="0"/>
                <w:snapToGrid/>
                <w:color w:val="auto"/>
                <w:kern w:val="2"/>
                <w:sz w:val="24"/>
                <w:szCs w:val="24"/>
                <w:highlight w:val="none"/>
              </w:rPr>
              <w:t>（1）危险废物泄漏、遗撒事故风险防范措施</w:t>
            </w:r>
          </w:p>
          <w:p>
            <w:pPr>
              <w:pStyle w:val="59"/>
              <w:spacing w:beforeLines="0" w:afterLines="0"/>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设置1个危险废物贮存库，危险废物可能发生泄漏，因此，建议企业使用专用容器收集，及时委托有资质单位进行处置。在贮存过程加强危险废物贮存库巡查，危险废物贮存库采取防渗措施，设置托盘或围堰，避免危险废物发生泄漏，污染周边环境。一旦发生泄漏事故，应急措施主要是找出事故源，减少泄出量，回收（及时将泄漏危险废物收集）、清污（消除现场泄漏物）。</w:t>
            </w:r>
          </w:p>
          <w:p>
            <w:pPr>
              <w:pStyle w:val="4"/>
              <w:ind w:firstLine="480" w:firstLineChars="200"/>
              <w:outlineLvl w:val="2"/>
              <w:rPr>
                <w:rFonts w:hint="default" w:ascii="Times New Roman" w:hAnsi="Times New Roman" w:eastAsia="宋体" w:cs="Times New Roman"/>
                <w:b w:val="0"/>
                <w:bCs w:val="0"/>
                <w:snapToGrid/>
                <w:color w:val="auto"/>
                <w:kern w:val="2"/>
                <w:sz w:val="24"/>
                <w:szCs w:val="24"/>
                <w:highlight w:val="none"/>
              </w:rPr>
            </w:pPr>
            <w:r>
              <w:rPr>
                <w:rFonts w:hint="default" w:ascii="Times New Roman" w:hAnsi="Times New Roman" w:eastAsia="宋体" w:cs="Times New Roman"/>
                <w:b w:val="0"/>
                <w:bCs w:val="0"/>
                <w:snapToGrid/>
                <w:color w:val="auto"/>
                <w:kern w:val="2"/>
                <w:sz w:val="24"/>
                <w:szCs w:val="24"/>
                <w:highlight w:val="none"/>
              </w:rPr>
              <w:t>（2）废水事故排放风险防范措施</w:t>
            </w:r>
          </w:p>
          <w:p>
            <w:pPr>
              <w:pStyle w:val="59"/>
              <w:spacing w:beforeLines="0" w:afterLines="0"/>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废水事故排放主要考虑管道堵塞、破裂、接头处破损以及废水处理设施发生故障和废水处理池体破损。管线处于非正常状态下（即事故状态：管道堵塞、破裂、接头处破损等）和废水处理池体破损，将造成污水外溢，污染周边环境；废水处理设施发生故障后，回用水水质可能无法达到生产要求，影响正常生产。</w:t>
            </w:r>
          </w:p>
          <w:p>
            <w:pPr>
              <w:pStyle w:val="59"/>
              <w:spacing w:beforeLines="0" w:afterLines="0"/>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管道堵塞、破裂、接头处破损事故发生的制约因子主要有管材质量和管道施工质量、管线管理及地质灾害等。项目采用管材接口强度高，整体性好，施工方便快捷；密封性好，延展性好，无渗漏；柔韧性好，能适应地基较差条件下的施工；耐腐蚀、抗老化能力强；使用寿命长等优点。因此，管道堵塞、破裂、接头处破损发生事故排放的概率很小。本项目废水污染物主要是SS，废水污染物简单，建设单位在做好防渗措施后，对周边影响较小。</w:t>
            </w:r>
          </w:p>
          <w:p>
            <w:pPr>
              <w:pStyle w:val="59"/>
              <w:spacing w:beforeLines="0" w:afterLines="0"/>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运营期配置专人进行现场的环境管理，发生隐患及时排查。若发现管道堵塞、破裂、接头处破损等可能造成废水泄漏事故，应立即停止生产，安排维修人员检查故障，维修好后方可进行生产。若废水处理池体破损导致生产废水泄漏时，应立即停止生产，避免废水进入破损废水处理池，同时将破损废水处理池中的废水收集好，安排维修人员修补破损废水处理池，废水处理池修补好后方可用于处理废水。建议建立废水事故排放应急预案，并配备相应的截留和收集装置，以确保废水不外排。</w:t>
            </w:r>
          </w:p>
          <w:p>
            <w:pPr>
              <w:pStyle w:val="4"/>
              <w:outlineLvl w:val="2"/>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4.7.5环境风险分析结论</w:t>
            </w:r>
          </w:p>
          <w:p>
            <w:pPr>
              <w:ind w:firstLine="48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本项目不涉及重大危险源，在配套相应的应急物资和加强厂区管理下，事故发生概率很低，采取相应的风险防范措施后，本项目环境风险在可接受的范围内。</w:t>
            </w:r>
          </w:p>
          <w:p>
            <w:pPr>
              <w:spacing w:line="240" w:lineRule="auto"/>
              <w:ind w:firstLine="0" w:firstLineChars="0"/>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表4.7-3 建设项目环境风险简单分析内容表</w:t>
            </w:r>
          </w:p>
          <w:tbl>
            <w:tblPr>
              <w:tblStyle w:val="49"/>
              <w:tblW w:w="8413" w:type="dxa"/>
              <w:tblInd w:w="16"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44"/>
              <w:gridCol w:w="1227"/>
              <w:gridCol w:w="2270"/>
              <w:gridCol w:w="1038"/>
              <w:gridCol w:w="22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44" w:type="dxa"/>
                  <w:tcBorders>
                    <w:tl2br w:val="nil"/>
                    <w:tr2bl w:val="nil"/>
                  </w:tcBorders>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6769" w:type="dxa"/>
                  <w:gridSpan w:val="4"/>
                  <w:tcBorders>
                    <w:tl2br w:val="nil"/>
                    <w:tr2bl w:val="nil"/>
                  </w:tcBorders>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44" w:type="dxa"/>
                  <w:tcBorders>
                    <w:tl2br w:val="nil"/>
                    <w:tr2bl w:val="nil"/>
                  </w:tcBorders>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6769" w:type="dxa"/>
                  <w:gridSpan w:val="4"/>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44" w:type="dxa"/>
                  <w:tcBorders>
                    <w:tl2br w:val="nil"/>
                    <w:tr2bl w:val="nil"/>
                  </w:tcBorders>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1227" w:type="dxa"/>
                  <w:tcBorders>
                    <w:tl2br w:val="nil"/>
                    <w:tr2bl w:val="nil"/>
                  </w:tcBorders>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270" w:type="dxa"/>
                  <w:tcBorders>
                    <w:tl2br w:val="nil"/>
                    <w:tr2bl w:val="nil"/>
                  </w:tcBorders>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1038" w:type="dxa"/>
                  <w:tcBorders>
                    <w:tl2br w:val="nil"/>
                    <w:tr2bl w:val="nil"/>
                  </w:tcBorders>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2234" w:type="dxa"/>
                  <w:tcBorders>
                    <w:tl2br w:val="nil"/>
                    <w:tr2bl w:val="nil"/>
                  </w:tcBorders>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44" w:type="dxa"/>
                  <w:tcBorders>
                    <w:tl2br w:val="nil"/>
                    <w:tr2bl w:val="nil"/>
                  </w:tcBorders>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6769" w:type="dxa"/>
                  <w:gridSpan w:val="4"/>
                  <w:tcBorders>
                    <w:tl2br w:val="nil"/>
                    <w:tr2bl w:val="nil"/>
                  </w:tcBorders>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44" w:type="dxa"/>
                  <w:tcBorders>
                    <w:tl2br w:val="nil"/>
                    <w:tr2bl w:val="nil"/>
                  </w:tcBorders>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6769" w:type="dxa"/>
                  <w:gridSpan w:val="4"/>
                  <w:tcBorders>
                    <w:tl2br w:val="nil"/>
                    <w:tr2bl w:val="nil"/>
                  </w:tcBorders>
                  <w:vAlign w:val="center"/>
                </w:tcPr>
                <w:p>
                  <w:pPr>
                    <w:widowControl/>
                    <w:adjustRightInd w:val="0"/>
                    <w:snapToGrid w:val="0"/>
                    <w:spacing w:line="240" w:lineRule="auto"/>
                    <w:ind w:firstLine="0" w:firstLineChars="0"/>
                    <w:rPr>
                      <w:rFonts w:hint="default" w:ascii="Times New Roman" w:hAnsi="Times New Roman" w:eastAsia="宋体" w:cs="Times New Roman"/>
                      <w:color w:val="auto"/>
                      <w:kern w:val="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44" w:type="dxa"/>
                  <w:tcBorders>
                    <w:tl2br w:val="nil"/>
                    <w:tr2bl w:val="nil"/>
                  </w:tcBorders>
                  <w:vAlign w:val="center"/>
                </w:tcPr>
                <w:p>
                  <w:pPr>
                    <w:widowControl/>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rPr>
                  </w:pPr>
                </w:p>
              </w:tc>
              <w:tc>
                <w:tcPr>
                  <w:tcW w:w="6769" w:type="dxa"/>
                  <w:gridSpan w:val="4"/>
                  <w:tcBorders>
                    <w:tl2br w:val="nil"/>
                    <w:tr2bl w:val="nil"/>
                  </w:tcBorders>
                  <w:vAlign w:val="center"/>
                </w:tcPr>
                <w:p>
                  <w:pPr>
                    <w:widowControl/>
                    <w:adjustRightInd w:val="0"/>
                    <w:snapToGrid w:val="0"/>
                    <w:spacing w:line="240" w:lineRule="auto"/>
                    <w:ind w:firstLine="0" w:firstLineChars="0"/>
                    <w:rPr>
                      <w:rFonts w:hint="default" w:ascii="Times New Roman" w:hAnsi="Times New Roman" w:eastAsia="宋体" w:cs="Times New Roman"/>
                      <w:color w:val="auto"/>
                      <w:kern w:val="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13" w:type="dxa"/>
                  <w:gridSpan w:val="5"/>
                  <w:tcBorders>
                    <w:tl2br w:val="nil"/>
                    <w:tr2bl w:val="nil"/>
                  </w:tcBorders>
                  <w:vAlign w:val="center"/>
                </w:tcPr>
                <w:p>
                  <w:pPr>
                    <w:widowControl/>
                    <w:adjustRightInd w:val="0"/>
                    <w:snapToGrid w:val="0"/>
                    <w:spacing w:line="240" w:lineRule="auto"/>
                    <w:ind w:firstLine="0" w:firstLineChars="0"/>
                    <w:jc w:val="left"/>
                    <w:rPr>
                      <w:rFonts w:hint="default" w:ascii="Times New Roman" w:hAnsi="Times New Roman" w:eastAsia="宋体" w:cs="Times New Roman"/>
                      <w:color w:val="auto"/>
                      <w:kern w:val="0"/>
                      <w:sz w:val="21"/>
                      <w:szCs w:val="21"/>
                      <w:highlight w:val="none"/>
                    </w:rPr>
                  </w:pPr>
                </w:p>
              </w:tc>
            </w:tr>
          </w:tbl>
          <w:p>
            <w:pPr>
              <w:pStyle w:val="3"/>
              <w:outlineLvl w:val="1"/>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4.8环保投资</w:t>
            </w:r>
          </w:p>
          <w:p>
            <w:pPr>
              <w:ind w:firstLine="420" w:firstLineChars="175"/>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项目环保投资</w:t>
            </w:r>
            <w:r>
              <w:rPr>
                <w:rFonts w:hint="eastAsia" w:cs="Times New Roman"/>
                <w:color w:val="auto"/>
                <w:szCs w:val="24"/>
                <w:highlight w:val="none"/>
                <w:lang w:val="en-US" w:eastAsia="zh-CN"/>
              </w:rPr>
              <w:t>79</w:t>
            </w:r>
            <w:r>
              <w:rPr>
                <w:rFonts w:hint="default" w:ascii="Times New Roman" w:hAnsi="Times New Roman" w:eastAsia="宋体" w:cs="Times New Roman"/>
                <w:color w:val="auto"/>
                <w:szCs w:val="24"/>
                <w:highlight w:val="none"/>
              </w:rPr>
              <w:t>万元，运营期环保投资情况见下表。</w:t>
            </w:r>
          </w:p>
          <w:p>
            <w:pPr>
              <w:pStyle w:val="6"/>
              <w:widowControl w:val="0"/>
              <w:outlineLvl w:val="4"/>
              <w:rPr>
                <w:rFonts w:hint="default" w:ascii="Times New Roman" w:hAnsi="Times New Roman" w:eastAsia="宋体" w:cs="Times New Roman"/>
                <w:color w:val="auto"/>
                <w:highlight w:val="none"/>
              </w:rPr>
            </w:pPr>
            <w:r>
              <w:rPr>
                <w:rFonts w:hint="default" w:ascii="Times New Roman" w:hAnsi="Times New Roman" w:eastAsia="宋体" w:cs="Times New Roman"/>
                <w:bCs w:val="0"/>
                <w:color w:val="auto"/>
                <w:szCs w:val="24"/>
                <w:highlight w:val="none"/>
              </w:rPr>
              <w:t>表4.8-1 环保投资一览表</w:t>
            </w:r>
          </w:p>
          <w:tbl>
            <w:tblPr>
              <w:tblStyle w:val="49"/>
              <w:tblW w:w="838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498"/>
              <w:gridCol w:w="914"/>
              <w:gridCol w:w="1068"/>
              <w:gridCol w:w="4501"/>
              <w:gridCol w:w="140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480" w:type="dxa"/>
                  <w:gridSpan w:val="3"/>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4501"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40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98" w:type="dxa"/>
                  <w:vMerge w:val="restar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982" w:type="dxa"/>
                  <w:gridSpan w:val="2"/>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4501" w:type="dxa"/>
                  <w:tcBorders>
                    <w:tl2br w:val="nil"/>
                    <w:tr2bl w:val="nil"/>
                  </w:tcBorders>
                  <w:vAlign w:val="center"/>
                </w:tcPr>
                <w:p>
                  <w:pPr>
                    <w:spacing w:line="240" w:lineRule="auto"/>
                    <w:ind w:firstLine="0" w:firstLineChars="0"/>
                    <w:rPr>
                      <w:rFonts w:hint="default" w:ascii="Times New Roman" w:hAnsi="Times New Roman" w:eastAsia="宋体" w:cs="Times New Roman"/>
                      <w:color w:val="auto"/>
                      <w:sz w:val="21"/>
                      <w:szCs w:val="21"/>
                      <w:highlight w:val="none"/>
                    </w:rPr>
                  </w:pPr>
                </w:p>
              </w:tc>
              <w:tc>
                <w:tcPr>
                  <w:tcW w:w="140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98"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982" w:type="dxa"/>
                  <w:gridSpan w:val="2"/>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4501" w:type="dxa"/>
                  <w:tcBorders>
                    <w:tl2br w:val="nil"/>
                    <w:tr2bl w:val="nil"/>
                  </w:tcBorders>
                  <w:vAlign w:val="center"/>
                </w:tcPr>
                <w:p>
                  <w:pPr>
                    <w:spacing w:line="240" w:lineRule="auto"/>
                    <w:ind w:firstLine="0" w:firstLineChars="0"/>
                    <w:rPr>
                      <w:rFonts w:hint="default" w:ascii="Times New Roman" w:hAnsi="Times New Roman" w:eastAsia="宋体" w:cs="Times New Roman"/>
                      <w:color w:val="auto"/>
                      <w:sz w:val="21"/>
                      <w:szCs w:val="21"/>
                      <w:highlight w:val="none"/>
                    </w:rPr>
                  </w:pPr>
                </w:p>
              </w:tc>
              <w:tc>
                <w:tcPr>
                  <w:tcW w:w="140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98" w:type="dxa"/>
                  <w:vMerge w:val="restar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982" w:type="dxa"/>
                  <w:gridSpan w:val="2"/>
                  <w:vMerge w:val="restar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4501" w:type="dxa"/>
                  <w:tcBorders>
                    <w:tl2br w:val="nil"/>
                    <w:tr2bl w:val="nil"/>
                  </w:tcBorders>
                  <w:vAlign w:val="center"/>
                </w:tcPr>
                <w:p>
                  <w:pPr>
                    <w:spacing w:line="240" w:lineRule="auto"/>
                    <w:ind w:firstLine="0" w:firstLineChars="0"/>
                    <w:rPr>
                      <w:rFonts w:hint="eastAsia" w:ascii="Times New Roman" w:hAnsi="Times New Roman" w:eastAsia="宋体" w:cs="Times New Roman"/>
                      <w:color w:val="auto"/>
                      <w:sz w:val="21"/>
                      <w:szCs w:val="21"/>
                      <w:highlight w:val="none"/>
                      <w:lang w:val="en-US" w:eastAsia="zh-CN"/>
                    </w:rPr>
                  </w:pPr>
                </w:p>
              </w:tc>
              <w:tc>
                <w:tcPr>
                  <w:tcW w:w="140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98"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982" w:type="dxa"/>
                  <w:gridSpan w:val="2"/>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4501" w:type="dxa"/>
                  <w:tcBorders>
                    <w:tl2br w:val="nil"/>
                    <w:tr2bl w:val="nil"/>
                  </w:tcBorders>
                  <w:vAlign w:val="center"/>
                </w:tcPr>
                <w:p>
                  <w:pPr>
                    <w:pStyle w:val="113"/>
                    <w:jc w:val="both"/>
                    <w:rPr>
                      <w:rFonts w:hint="default" w:ascii="Times New Roman" w:hAnsi="Times New Roman" w:eastAsia="宋体" w:cs="Times New Roman"/>
                      <w:color w:val="auto"/>
                      <w:highlight w:val="none"/>
                    </w:rPr>
                  </w:pPr>
                </w:p>
              </w:tc>
              <w:tc>
                <w:tcPr>
                  <w:tcW w:w="140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98"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982" w:type="dxa"/>
                  <w:gridSpan w:val="2"/>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4501" w:type="dxa"/>
                  <w:tcBorders>
                    <w:tl2br w:val="nil"/>
                    <w:tr2bl w:val="nil"/>
                  </w:tcBorders>
                  <w:vAlign w:val="center"/>
                </w:tcPr>
                <w:p>
                  <w:pPr>
                    <w:spacing w:line="240" w:lineRule="auto"/>
                    <w:ind w:firstLine="0" w:firstLineChars="0"/>
                    <w:rPr>
                      <w:rFonts w:hint="default" w:ascii="Times New Roman" w:hAnsi="Times New Roman" w:eastAsia="宋体" w:cs="Times New Roman"/>
                      <w:color w:val="auto"/>
                      <w:sz w:val="21"/>
                      <w:szCs w:val="21"/>
                      <w:highlight w:val="none"/>
                    </w:rPr>
                  </w:pPr>
                </w:p>
              </w:tc>
              <w:tc>
                <w:tcPr>
                  <w:tcW w:w="140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98" w:type="dxa"/>
                  <w:vMerge w:val="restar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914"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068" w:type="dxa"/>
                  <w:tcBorders>
                    <w:tl2br w:val="nil"/>
                    <w:tr2bl w:val="nil"/>
                  </w:tcBorders>
                  <w:vAlign w:val="center"/>
                </w:tcPr>
                <w:p>
                  <w:pPr>
                    <w:pStyle w:val="113"/>
                    <w:rPr>
                      <w:rFonts w:hint="default" w:ascii="Times New Roman" w:hAnsi="Times New Roman" w:eastAsia="宋体" w:cs="Times New Roman"/>
                      <w:color w:val="auto"/>
                      <w:highlight w:val="none"/>
                    </w:rPr>
                  </w:pPr>
                </w:p>
              </w:tc>
              <w:tc>
                <w:tcPr>
                  <w:tcW w:w="4501" w:type="dxa"/>
                  <w:tcBorders>
                    <w:tl2br w:val="nil"/>
                    <w:tr2bl w:val="nil"/>
                  </w:tcBorders>
                  <w:vAlign w:val="center"/>
                </w:tcPr>
                <w:p>
                  <w:pPr>
                    <w:pStyle w:val="113"/>
                    <w:rPr>
                      <w:rFonts w:hint="default" w:ascii="Times New Roman" w:hAnsi="Times New Roman" w:eastAsia="宋体" w:cs="Times New Roman"/>
                      <w:color w:val="auto"/>
                      <w:highlight w:val="none"/>
                    </w:rPr>
                  </w:pPr>
                </w:p>
              </w:tc>
              <w:tc>
                <w:tcPr>
                  <w:tcW w:w="140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98"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914"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068"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4501" w:type="dxa"/>
                  <w:tcBorders>
                    <w:tl2br w:val="nil"/>
                    <w:tr2bl w:val="nil"/>
                  </w:tcBorders>
                  <w:vAlign w:val="center"/>
                </w:tcPr>
                <w:p>
                  <w:pPr>
                    <w:pStyle w:val="113"/>
                    <w:rPr>
                      <w:rFonts w:hint="default" w:ascii="Times New Roman" w:hAnsi="Times New Roman" w:eastAsia="宋体" w:cs="Times New Roman"/>
                      <w:color w:val="auto"/>
                      <w:highlight w:val="none"/>
                    </w:rPr>
                  </w:pPr>
                </w:p>
              </w:tc>
              <w:tc>
                <w:tcPr>
                  <w:tcW w:w="140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498"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982" w:type="dxa"/>
                  <w:gridSpan w:val="2"/>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4501" w:type="dxa"/>
                  <w:tcBorders>
                    <w:tl2br w:val="nil"/>
                    <w:tr2bl w:val="nil"/>
                  </w:tcBorders>
                  <w:vAlign w:val="center"/>
                </w:tcPr>
                <w:p>
                  <w:pPr>
                    <w:spacing w:line="240" w:lineRule="auto"/>
                    <w:ind w:firstLine="0" w:firstLineChars="0"/>
                    <w:rPr>
                      <w:rFonts w:hint="default" w:ascii="Times New Roman" w:hAnsi="Times New Roman" w:eastAsia="宋体" w:cs="Times New Roman"/>
                      <w:color w:val="auto"/>
                      <w:sz w:val="21"/>
                      <w:szCs w:val="21"/>
                      <w:highlight w:val="none"/>
                    </w:rPr>
                  </w:pPr>
                </w:p>
              </w:tc>
              <w:tc>
                <w:tcPr>
                  <w:tcW w:w="140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480" w:type="dxa"/>
                  <w:gridSpan w:val="3"/>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4501" w:type="dxa"/>
                  <w:tcBorders>
                    <w:tl2br w:val="nil"/>
                    <w:tr2bl w:val="nil"/>
                  </w:tcBorders>
                  <w:vAlign w:val="center"/>
                </w:tcPr>
                <w:p>
                  <w:pPr>
                    <w:spacing w:line="240" w:lineRule="auto"/>
                    <w:ind w:firstLine="0" w:firstLineChars="0"/>
                    <w:rPr>
                      <w:rFonts w:hint="default" w:ascii="Times New Roman" w:hAnsi="Times New Roman" w:eastAsia="宋体" w:cs="Times New Roman"/>
                      <w:bCs/>
                      <w:color w:val="auto"/>
                      <w:sz w:val="21"/>
                      <w:szCs w:val="21"/>
                      <w:highlight w:val="none"/>
                    </w:rPr>
                  </w:pPr>
                </w:p>
              </w:tc>
              <w:tc>
                <w:tcPr>
                  <w:tcW w:w="140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p>
              </w:tc>
            </w:tr>
          </w:tbl>
          <w:p>
            <w:pPr>
              <w:ind w:firstLine="0" w:firstLineChars="0"/>
              <w:rPr>
                <w:rFonts w:hint="default" w:ascii="Times New Roman" w:hAnsi="Times New Roman" w:eastAsia="宋体" w:cs="Times New Roman"/>
                <w:color w:val="auto"/>
                <w:highlight w:val="none"/>
              </w:rPr>
            </w:pPr>
          </w:p>
          <w:p>
            <w:pPr>
              <w:ind w:firstLine="0" w:firstLineChars="0"/>
              <w:rPr>
                <w:rFonts w:hint="default" w:ascii="Times New Roman" w:hAnsi="Times New Roman" w:eastAsia="宋体" w:cs="Times New Roman"/>
                <w:color w:val="auto"/>
                <w:highlight w:val="none"/>
              </w:rPr>
            </w:pPr>
          </w:p>
        </w:tc>
      </w:tr>
    </w:tbl>
    <w:p>
      <w:pPr>
        <w:widowControl/>
        <w:adjustRightInd w:val="0"/>
        <w:snapToGrid w:val="0"/>
        <w:spacing w:line="360" w:lineRule="auto"/>
        <w:ind w:firstLine="0" w:firstLineChars="0"/>
        <w:jc w:val="center"/>
        <w:rPr>
          <w:rFonts w:ascii="Times New Roman" w:hAnsi="Times New Roman" w:eastAsia="宋体" w:cs="宋体"/>
          <w:color w:val="auto"/>
          <w:kern w:val="2"/>
          <w:sz w:val="21"/>
          <w:highlight w:val="none"/>
          <w:lang w:val="en-US" w:eastAsia="zh-CN" w:bidi="ar-SA"/>
        </w:rPr>
      </w:pPr>
    </w:p>
    <w:p>
      <w:pPr>
        <w:ind w:firstLine="480"/>
        <w:rPr>
          <w:snapToGrid w:val="0"/>
          <w:color w:val="auto"/>
          <w:highlight w:val="none"/>
        </w:rPr>
      </w:pPr>
    </w:p>
    <w:p>
      <w:pPr>
        <w:ind w:firstLine="480"/>
        <w:rPr>
          <w:snapToGrid w:val="0"/>
          <w:color w:val="auto"/>
          <w:highlight w:val="none"/>
        </w:rPr>
      </w:pPr>
    </w:p>
    <w:p>
      <w:pPr>
        <w:ind w:firstLine="480"/>
        <w:rPr>
          <w:snapToGrid w:val="0"/>
          <w:color w:val="auto"/>
          <w:highlight w:val="none"/>
        </w:rPr>
        <w:sectPr>
          <w:pgSz w:w="11906" w:h="16838"/>
          <w:pgMar w:top="1418" w:right="1418" w:bottom="1418" w:left="1418" w:header="851" w:footer="851" w:gutter="0"/>
          <w:pgBorders>
            <w:top w:val="none" w:sz="0" w:space="0"/>
            <w:left w:val="none" w:sz="0" w:space="0"/>
            <w:bottom w:val="none" w:sz="0" w:space="0"/>
            <w:right w:val="none" w:sz="0" w:space="0"/>
          </w:pgBorders>
          <w:cols w:space="720" w:num="1"/>
          <w:docGrid w:linePitch="326" w:charSpace="0"/>
        </w:sectPr>
      </w:pPr>
    </w:p>
    <w:p>
      <w:pPr>
        <w:pStyle w:val="2"/>
        <w:ind w:left="0"/>
        <w:rPr>
          <w:snapToGrid w:val="0"/>
          <w:color w:val="auto"/>
          <w:highlight w:val="none"/>
        </w:rPr>
      </w:pPr>
      <w:bookmarkStart w:id="6" w:name="_Hlk54167917"/>
      <w:r>
        <w:rPr>
          <w:snapToGrid w:val="0"/>
          <w:color w:val="auto"/>
          <w:highlight w:val="none"/>
        </w:rPr>
        <w:t>环境保护措施监督检查清单</w:t>
      </w:r>
      <w:bookmarkEnd w:id="6"/>
    </w:p>
    <w:tbl>
      <w:tblPr>
        <w:tblStyle w:val="49"/>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66"/>
        <w:gridCol w:w="1418"/>
        <w:gridCol w:w="1115"/>
        <w:gridCol w:w="2647"/>
        <w:gridCol w:w="235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66" w:type="dxa"/>
            <w:tcBorders>
              <w:tl2br w:val="single" w:color="auto" w:sz="4" w:space="0"/>
            </w:tcBorders>
          </w:tcPr>
          <w:p>
            <w:pPr>
              <w:pStyle w:val="113"/>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内容</w:t>
            </w:r>
          </w:p>
          <w:p>
            <w:pPr>
              <w:pStyle w:val="113"/>
              <w:rPr>
                <w:rFonts w:hint="default" w:ascii="Times New Roman" w:hAnsi="Times New Roman" w:eastAsia="宋体" w:cs="Times New Roman"/>
                <w:color w:val="auto"/>
                <w:sz w:val="24"/>
                <w:szCs w:val="24"/>
                <w:highlight w:val="none"/>
              </w:rPr>
            </w:pPr>
          </w:p>
          <w:p>
            <w:pPr>
              <w:pStyle w:val="113"/>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要素</w:t>
            </w:r>
          </w:p>
        </w:tc>
        <w:tc>
          <w:tcPr>
            <w:tcW w:w="1418" w:type="dxa"/>
            <w:vAlign w:val="center"/>
          </w:tcPr>
          <w:p>
            <w:pPr>
              <w:pStyle w:val="113"/>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排放口（编号、名称）/污染源</w:t>
            </w:r>
          </w:p>
        </w:tc>
        <w:tc>
          <w:tcPr>
            <w:tcW w:w="1115" w:type="dxa"/>
            <w:vAlign w:val="center"/>
          </w:tcPr>
          <w:p>
            <w:pPr>
              <w:pStyle w:val="113"/>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污染物项目</w:t>
            </w:r>
          </w:p>
        </w:tc>
        <w:tc>
          <w:tcPr>
            <w:tcW w:w="2647" w:type="dxa"/>
            <w:vAlign w:val="center"/>
          </w:tcPr>
          <w:p>
            <w:pPr>
              <w:pStyle w:val="113"/>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环境保护措施</w:t>
            </w:r>
          </w:p>
        </w:tc>
        <w:tc>
          <w:tcPr>
            <w:tcW w:w="2354" w:type="dxa"/>
            <w:vAlign w:val="center"/>
          </w:tcPr>
          <w:p>
            <w:pPr>
              <w:pStyle w:val="113"/>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66" w:type="dxa"/>
            <w:vMerge w:val="restart"/>
            <w:vAlign w:val="center"/>
          </w:tcPr>
          <w:p>
            <w:pPr>
              <w:pStyle w:val="113"/>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大气环境</w:t>
            </w:r>
          </w:p>
        </w:tc>
        <w:tc>
          <w:tcPr>
            <w:tcW w:w="1418" w:type="dxa"/>
            <w:vAlign w:val="center"/>
          </w:tcPr>
          <w:p>
            <w:pPr>
              <w:pStyle w:val="113"/>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DA001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钢磨粉尘</w:t>
            </w:r>
            <w:r>
              <w:rPr>
                <w:rFonts w:hint="default" w:ascii="Times New Roman" w:hAnsi="Times New Roman" w:eastAsia="宋体" w:cs="Times New Roman"/>
                <w:color w:val="auto"/>
                <w:sz w:val="24"/>
                <w:szCs w:val="24"/>
                <w:highlight w:val="none"/>
                <w:lang w:eastAsia="zh-CN"/>
              </w:rPr>
              <w:t>）</w:t>
            </w:r>
          </w:p>
        </w:tc>
        <w:tc>
          <w:tcPr>
            <w:tcW w:w="1115" w:type="dxa"/>
            <w:vAlign w:val="center"/>
          </w:tcPr>
          <w:p>
            <w:pPr>
              <w:pStyle w:val="113"/>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颗粒物</w:t>
            </w:r>
          </w:p>
        </w:tc>
        <w:tc>
          <w:tcPr>
            <w:tcW w:w="2647" w:type="dxa"/>
            <w:vAlign w:val="center"/>
          </w:tcPr>
          <w:p>
            <w:pPr>
              <w:pStyle w:val="113"/>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动态全密闭收集+布袋除尘器处理后由15m高排气筒（DA001）排放</w:t>
            </w:r>
          </w:p>
        </w:tc>
        <w:tc>
          <w:tcPr>
            <w:tcW w:w="2354" w:type="dxa"/>
            <w:vAlign w:val="center"/>
          </w:tcPr>
          <w:p>
            <w:pPr>
              <w:pStyle w:val="113"/>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《大气污染物综合排放标准》（GB16297-1996）中表2中新建污染物排放标准中二级标准限值要求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66" w:type="dxa"/>
            <w:vMerge w:val="continue"/>
            <w:vAlign w:val="center"/>
          </w:tcPr>
          <w:p>
            <w:pPr>
              <w:pStyle w:val="113"/>
              <w:rPr>
                <w:rFonts w:hint="default" w:ascii="Times New Roman" w:hAnsi="Times New Roman" w:eastAsia="宋体" w:cs="Times New Roman"/>
                <w:color w:val="auto"/>
                <w:sz w:val="24"/>
                <w:szCs w:val="24"/>
                <w:highlight w:val="none"/>
              </w:rPr>
            </w:pPr>
          </w:p>
        </w:tc>
        <w:tc>
          <w:tcPr>
            <w:tcW w:w="1418" w:type="dxa"/>
            <w:vAlign w:val="center"/>
          </w:tcPr>
          <w:p>
            <w:pPr>
              <w:pStyle w:val="113"/>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剪切、切割，</w:t>
            </w:r>
            <w:r>
              <w:rPr>
                <w:rFonts w:hint="default" w:ascii="Times New Roman" w:hAnsi="Times New Roman" w:eastAsia="宋体" w:cs="Times New Roman"/>
                <w:color w:val="auto"/>
                <w:sz w:val="24"/>
                <w:szCs w:val="24"/>
                <w:highlight w:val="none"/>
              </w:rPr>
              <w:t>卸料</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堆场</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运输车辆动力扬尘</w:t>
            </w:r>
          </w:p>
        </w:tc>
        <w:tc>
          <w:tcPr>
            <w:tcW w:w="1115" w:type="dxa"/>
            <w:vAlign w:val="center"/>
          </w:tcPr>
          <w:p>
            <w:pPr>
              <w:pStyle w:val="113"/>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颗粒物</w:t>
            </w:r>
          </w:p>
        </w:tc>
        <w:tc>
          <w:tcPr>
            <w:tcW w:w="2647" w:type="dxa"/>
            <w:vAlign w:val="center"/>
          </w:tcPr>
          <w:p>
            <w:pPr>
              <w:pStyle w:val="113"/>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洒水/喷雾降尘</w:t>
            </w:r>
          </w:p>
        </w:tc>
        <w:tc>
          <w:tcPr>
            <w:tcW w:w="2354" w:type="dxa"/>
            <w:vAlign w:val="center"/>
          </w:tcPr>
          <w:p>
            <w:pPr>
              <w:pStyle w:val="113"/>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《大气污染物综合排放标准》（GB16297-1996）</w:t>
            </w:r>
            <w:r>
              <w:rPr>
                <w:rFonts w:hint="default" w:ascii="Times New Roman" w:hAnsi="Times New Roman" w:eastAsia="宋体" w:cs="Times New Roman"/>
                <w:color w:val="auto"/>
                <w:sz w:val="24"/>
                <w:szCs w:val="24"/>
                <w:highlight w:val="none"/>
                <w:lang w:val="en-US" w:eastAsia="zh-CN"/>
              </w:rPr>
              <w:t>中</w:t>
            </w:r>
            <w:r>
              <w:rPr>
                <w:rFonts w:hint="default" w:ascii="Times New Roman" w:hAnsi="Times New Roman" w:eastAsia="宋体" w:cs="Times New Roman"/>
                <w:color w:val="auto"/>
                <w:sz w:val="24"/>
                <w:szCs w:val="24"/>
                <w:highlight w:val="none"/>
              </w:rPr>
              <w:t>表2无组织排放监控浓度限值要求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66" w:type="dxa"/>
            <w:vMerge w:val="restart"/>
            <w:vAlign w:val="center"/>
          </w:tcPr>
          <w:p>
            <w:pPr>
              <w:pStyle w:val="113"/>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地表水环境</w:t>
            </w:r>
          </w:p>
        </w:tc>
        <w:tc>
          <w:tcPr>
            <w:tcW w:w="1418" w:type="dxa"/>
            <w:vAlign w:val="center"/>
          </w:tcPr>
          <w:p>
            <w:pPr>
              <w:pStyle w:val="113"/>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生活污水</w:t>
            </w:r>
          </w:p>
        </w:tc>
        <w:tc>
          <w:tcPr>
            <w:tcW w:w="1115" w:type="dxa"/>
            <w:vAlign w:val="center"/>
          </w:tcPr>
          <w:p>
            <w:pPr>
              <w:pStyle w:val="113"/>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COD、BOD</w:t>
            </w:r>
            <w:r>
              <w:rPr>
                <w:rFonts w:hint="default" w:ascii="Times New Roman" w:hAnsi="Times New Roman" w:eastAsia="宋体" w:cs="Times New Roman"/>
                <w:color w:val="auto"/>
                <w:sz w:val="24"/>
                <w:szCs w:val="24"/>
                <w:highlight w:val="none"/>
                <w:vertAlign w:val="subscript"/>
              </w:rPr>
              <w:t>5</w:t>
            </w:r>
            <w:r>
              <w:rPr>
                <w:rFonts w:hint="default" w:ascii="Times New Roman" w:hAnsi="Times New Roman" w:eastAsia="宋体" w:cs="Times New Roman"/>
                <w:color w:val="auto"/>
                <w:sz w:val="24"/>
                <w:szCs w:val="24"/>
                <w:highlight w:val="none"/>
              </w:rPr>
              <w:t>、SS、氨氮</w:t>
            </w:r>
          </w:p>
        </w:tc>
        <w:tc>
          <w:tcPr>
            <w:tcW w:w="2647" w:type="dxa"/>
            <w:vAlign w:val="center"/>
          </w:tcPr>
          <w:p>
            <w:pPr>
              <w:pStyle w:val="113"/>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经化粪池处理后排入市政污水管网，纳入长乐污水处理厂进一步处理</w:t>
            </w:r>
          </w:p>
        </w:tc>
        <w:tc>
          <w:tcPr>
            <w:tcW w:w="2354" w:type="dxa"/>
            <w:vAlign w:val="center"/>
          </w:tcPr>
          <w:p>
            <w:pPr>
              <w:pStyle w:val="113"/>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《污水综合排放标准》（GB8978-1996）表4三级标准（氨氮参照《污水排入城镇下水道水质标准》（GB/T31962-2015）表1B等级标准）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66" w:type="dxa"/>
            <w:vMerge w:val="continue"/>
            <w:vAlign w:val="center"/>
          </w:tcPr>
          <w:p>
            <w:pPr>
              <w:pStyle w:val="113"/>
              <w:rPr>
                <w:rFonts w:hint="default" w:ascii="Times New Roman" w:hAnsi="Times New Roman" w:eastAsia="宋体" w:cs="Times New Roman"/>
                <w:color w:val="auto"/>
                <w:sz w:val="24"/>
                <w:szCs w:val="24"/>
                <w:highlight w:val="none"/>
              </w:rPr>
            </w:pPr>
          </w:p>
        </w:tc>
        <w:tc>
          <w:tcPr>
            <w:tcW w:w="1418" w:type="dxa"/>
            <w:vAlign w:val="center"/>
          </w:tcPr>
          <w:p>
            <w:pPr>
              <w:pStyle w:val="113"/>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color w:val="auto"/>
                <w:sz w:val="24"/>
                <w:szCs w:val="24"/>
                <w:highlight w:val="none"/>
              </w:rPr>
              <w:t>生产废水</w:t>
            </w:r>
          </w:p>
        </w:tc>
        <w:tc>
          <w:tcPr>
            <w:tcW w:w="1115" w:type="dxa"/>
            <w:vAlign w:val="center"/>
          </w:tcPr>
          <w:p>
            <w:pPr>
              <w:pStyle w:val="113"/>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SS</w:t>
            </w:r>
          </w:p>
        </w:tc>
        <w:tc>
          <w:tcPr>
            <w:tcW w:w="2647" w:type="dxa"/>
            <w:vAlign w:val="center"/>
          </w:tcPr>
          <w:p>
            <w:pPr>
              <w:pStyle w:val="113"/>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经三级沉淀池沉淀处理后回用于清洗，不外排</w:t>
            </w:r>
          </w:p>
        </w:tc>
        <w:tc>
          <w:tcPr>
            <w:tcW w:w="2354" w:type="dxa"/>
            <w:vAlign w:val="center"/>
          </w:tcPr>
          <w:p>
            <w:pPr>
              <w:pStyle w:val="113"/>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66" w:type="dxa"/>
            <w:vAlign w:val="center"/>
          </w:tcPr>
          <w:p>
            <w:pPr>
              <w:pStyle w:val="113"/>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声环境</w:t>
            </w:r>
          </w:p>
        </w:tc>
        <w:tc>
          <w:tcPr>
            <w:tcW w:w="1418" w:type="dxa"/>
            <w:vAlign w:val="center"/>
          </w:tcPr>
          <w:p>
            <w:pPr>
              <w:pStyle w:val="113"/>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厂界噪声</w:t>
            </w:r>
          </w:p>
        </w:tc>
        <w:tc>
          <w:tcPr>
            <w:tcW w:w="1115" w:type="dxa"/>
            <w:vAlign w:val="center"/>
          </w:tcPr>
          <w:p>
            <w:pPr>
              <w:pStyle w:val="113"/>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连续等效A声级</w:t>
            </w:r>
          </w:p>
        </w:tc>
        <w:tc>
          <w:tcPr>
            <w:tcW w:w="2647" w:type="dxa"/>
            <w:vAlign w:val="center"/>
          </w:tcPr>
          <w:p>
            <w:pPr>
              <w:pStyle w:val="113"/>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高噪声工序均设于封闭厂房内；选用低噪声设备，加强设备日常管理；采取隔声、设备基础减振等措施；车辆限速禁鸣、加强运输车辆日常管理和保养，维护运输道路路况良好；合理安排工作时间等降噪措施。</w:t>
            </w:r>
          </w:p>
        </w:tc>
        <w:tc>
          <w:tcPr>
            <w:tcW w:w="2354" w:type="dxa"/>
            <w:vAlign w:val="center"/>
          </w:tcPr>
          <w:p>
            <w:pPr>
              <w:pStyle w:val="113"/>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厂界噪声执行《工业企业厂界环境噪声排放标准》(GB12348-2008)</w:t>
            </w:r>
            <w:r>
              <w:rPr>
                <w:rFonts w:hint="default" w:ascii="Times New Roman" w:hAnsi="Times New Roman" w:eastAsia="宋体" w:cs="Times New Roman"/>
                <w:color w:val="auto"/>
                <w:sz w:val="24"/>
                <w:szCs w:val="24"/>
                <w:highlight w:val="none"/>
                <w:lang w:val="en-US" w:eastAsia="zh-CN"/>
              </w:rPr>
              <w:t>表1</w:t>
            </w:r>
            <w:r>
              <w:rPr>
                <w:rFonts w:hint="default" w:ascii="Times New Roman" w:hAnsi="Times New Roman" w:eastAsia="宋体" w:cs="Times New Roman"/>
                <w:color w:val="auto"/>
                <w:sz w:val="24"/>
                <w:szCs w:val="24"/>
                <w:highlight w:val="none"/>
              </w:rPr>
              <w:t>中</w:t>
            </w:r>
            <w:r>
              <w:rPr>
                <w:rFonts w:hint="default" w:ascii="Times New Roman" w:hAnsi="Times New Roman" w:eastAsia="宋体" w:cs="Times New Roman"/>
                <w:color w:val="auto"/>
                <w:sz w:val="24"/>
                <w:szCs w:val="24"/>
                <w:highlight w:val="none"/>
                <w:lang w:val="en-US" w:eastAsia="zh-CN"/>
              </w:rPr>
              <w:t>的3</w:t>
            </w:r>
            <w:r>
              <w:rPr>
                <w:rFonts w:hint="default" w:ascii="Times New Roman" w:hAnsi="Times New Roman" w:eastAsia="宋体" w:cs="Times New Roman"/>
                <w:color w:val="auto"/>
                <w:sz w:val="24"/>
                <w:szCs w:val="24"/>
                <w:highlight w:val="none"/>
              </w:rPr>
              <w:t>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266" w:type="dxa"/>
            <w:vAlign w:val="center"/>
          </w:tcPr>
          <w:p>
            <w:pPr>
              <w:pStyle w:val="113"/>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电磁辐射</w:t>
            </w:r>
          </w:p>
        </w:tc>
        <w:tc>
          <w:tcPr>
            <w:tcW w:w="7534" w:type="dxa"/>
            <w:gridSpan w:val="4"/>
            <w:vAlign w:val="center"/>
          </w:tcPr>
          <w:p>
            <w:pPr>
              <w:pStyle w:val="113"/>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7" w:hRule="atLeast"/>
          <w:jc w:val="center"/>
        </w:trPr>
        <w:tc>
          <w:tcPr>
            <w:tcW w:w="1266" w:type="dxa"/>
            <w:vMerge w:val="restart"/>
            <w:vAlign w:val="center"/>
          </w:tcPr>
          <w:p>
            <w:pPr>
              <w:pStyle w:val="113"/>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固体废物</w:t>
            </w:r>
          </w:p>
        </w:tc>
        <w:tc>
          <w:tcPr>
            <w:tcW w:w="1418" w:type="dxa"/>
            <w:vAlign w:val="center"/>
          </w:tcPr>
          <w:p>
            <w:pPr>
              <w:pStyle w:val="113"/>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危险废物</w:t>
            </w:r>
          </w:p>
        </w:tc>
        <w:tc>
          <w:tcPr>
            <w:tcW w:w="1115" w:type="dxa"/>
            <w:vAlign w:val="center"/>
          </w:tcPr>
          <w:p>
            <w:pPr>
              <w:pStyle w:val="113"/>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废机油</w:t>
            </w:r>
          </w:p>
        </w:tc>
        <w:tc>
          <w:tcPr>
            <w:tcW w:w="2647" w:type="dxa"/>
            <w:vAlign w:val="center"/>
          </w:tcPr>
          <w:p>
            <w:pPr>
              <w:pStyle w:val="113"/>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暂存于危险废物贮存库，委托有资质单位处置</w:t>
            </w:r>
          </w:p>
        </w:tc>
        <w:tc>
          <w:tcPr>
            <w:tcW w:w="2354" w:type="dxa"/>
            <w:vAlign w:val="center"/>
          </w:tcPr>
          <w:p>
            <w:pPr>
              <w:pStyle w:val="113"/>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《危险废物贮存污染控制标准》（GB18597-2023）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1266" w:type="dxa"/>
            <w:vMerge w:val="continue"/>
            <w:vAlign w:val="center"/>
          </w:tcPr>
          <w:p>
            <w:pPr>
              <w:pStyle w:val="113"/>
              <w:rPr>
                <w:rFonts w:hint="default" w:ascii="Times New Roman" w:hAnsi="Times New Roman" w:eastAsia="宋体" w:cs="Times New Roman"/>
                <w:color w:val="auto"/>
                <w:sz w:val="24"/>
                <w:szCs w:val="24"/>
                <w:highlight w:val="none"/>
              </w:rPr>
            </w:pPr>
          </w:p>
        </w:tc>
        <w:tc>
          <w:tcPr>
            <w:tcW w:w="1418" w:type="dxa"/>
            <w:vMerge w:val="restart"/>
            <w:vAlign w:val="center"/>
          </w:tcPr>
          <w:p>
            <w:pPr>
              <w:pStyle w:val="113"/>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一般工业固体废物</w:t>
            </w:r>
          </w:p>
        </w:tc>
        <w:tc>
          <w:tcPr>
            <w:tcW w:w="1115" w:type="dxa"/>
            <w:vAlign w:val="center"/>
          </w:tcPr>
          <w:p>
            <w:pPr>
              <w:pStyle w:val="113"/>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分选废料</w:t>
            </w:r>
          </w:p>
        </w:tc>
        <w:tc>
          <w:tcPr>
            <w:tcW w:w="2647" w:type="dxa"/>
            <w:vAlign w:val="center"/>
          </w:tcPr>
          <w:p>
            <w:pPr>
              <w:pStyle w:val="113"/>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暂存于一般工业固废区，定期外售制砖厂</w:t>
            </w:r>
          </w:p>
        </w:tc>
        <w:tc>
          <w:tcPr>
            <w:tcW w:w="2354" w:type="dxa"/>
            <w:vMerge w:val="restart"/>
            <w:vAlign w:val="center"/>
          </w:tcPr>
          <w:p>
            <w:pPr>
              <w:pStyle w:val="113"/>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《一般工业固体废物贮存和填埋污染控制标准》（GB18599-2020）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1266" w:type="dxa"/>
            <w:vMerge w:val="continue"/>
            <w:vAlign w:val="center"/>
          </w:tcPr>
          <w:p>
            <w:pPr>
              <w:pStyle w:val="113"/>
              <w:rPr>
                <w:color w:val="auto"/>
                <w:highlight w:val="none"/>
              </w:rPr>
            </w:pPr>
          </w:p>
        </w:tc>
        <w:tc>
          <w:tcPr>
            <w:tcW w:w="1418" w:type="dxa"/>
            <w:vMerge w:val="continue"/>
            <w:vAlign w:val="center"/>
          </w:tcPr>
          <w:p>
            <w:pPr>
              <w:pStyle w:val="113"/>
              <w:rPr>
                <w:color w:val="auto"/>
                <w:highlight w:val="none"/>
              </w:rPr>
            </w:pPr>
          </w:p>
        </w:tc>
        <w:tc>
          <w:tcPr>
            <w:tcW w:w="1115" w:type="dxa"/>
            <w:vAlign w:val="center"/>
          </w:tcPr>
          <w:p>
            <w:pPr>
              <w:pStyle w:val="113"/>
              <w:rPr>
                <w:rFonts w:hint="eastAsia" w:ascii="Times New Roman" w:hAnsi="Times New Roman" w:eastAsia="宋体" w:cs="Times New Roman"/>
                <w:color w:val="auto"/>
                <w:sz w:val="24"/>
                <w:szCs w:val="24"/>
                <w:highlight w:val="none"/>
                <w:lang w:val="en-US" w:eastAsia="zh-CN"/>
              </w:rPr>
            </w:pPr>
            <w:r>
              <w:rPr>
                <w:rFonts w:hint="eastAsia"/>
                <w:color w:val="auto"/>
                <w:highlight w:val="none"/>
              </w:rPr>
              <w:t>污泥</w:t>
            </w:r>
          </w:p>
        </w:tc>
        <w:tc>
          <w:tcPr>
            <w:tcW w:w="2647" w:type="dxa"/>
            <w:vAlign w:val="center"/>
          </w:tcPr>
          <w:p>
            <w:pPr>
              <w:pStyle w:val="113"/>
              <w:rPr>
                <w:rFonts w:hint="default" w:ascii="Times New Roman" w:hAnsi="Times New Roman" w:eastAsia="宋体" w:cs="Times New Roman"/>
                <w:color w:val="auto"/>
                <w:sz w:val="24"/>
                <w:szCs w:val="24"/>
                <w:highlight w:val="none"/>
              </w:rPr>
            </w:pPr>
            <w:r>
              <w:rPr>
                <w:rFonts w:hint="eastAsia"/>
                <w:color w:val="auto"/>
                <w:highlight w:val="none"/>
              </w:rPr>
              <w:t>外售</w:t>
            </w:r>
            <w:r>
              <w:rPr>
                <w:rFonts w:hint="eastAsia"/>
                <w:color w:val="auto"/>
                <w:highlight w:val="none"/>
                <w:lang w:val="en-US" w:eastAsia="zh-CN"/>
              </w:rPr>
              <w:t>制砖厂</w:t>
            </w:r>
          </w:p>
        </w:tc>
        <w:tc>
          <w:tcPr>
            <w:tcW w:w="2354" w:type="dxa"/>
            <w:vMerge w:val="continue"/>
            <w:vAlign w:val="center"/>
          </w:tcPr>
          <w:p>
            <w:pPr>
              <w:pStyle w:val="113"/>
              <w:rPr>
                <w:rFonts w:hint="default" w:ascii="Times New Roman" w:hAnsi="Times New Roman" w:eastAsia="宋体" w:cs="Times New Roman"/>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1266" w:type="dxa"/>
            <w:vMerge w:val="continue"/>
            <w:vAlign w:val="center"/>
          </w:tcPr>
          <w:p>
            <w:pPr>
              <w:pStyle w:val="113"/>
              <w:rPr>
                <w:rFonts w:hint="default" w:ascii="Times New Roman" w:hAnsi="Times New Roman" w:eastAsia="宋体" w:cs="Times New Roman"/>
                <w:color w:val="auto"/>
                <w:sz w:val="24"/>
                <w:szCs w:val="24"/>
                <w:highlight w:val="none"/>
              </w:rPr>
            </w:pPr>
          </w:p>
        </w:tc>
        <w:tc>
          <w:tcPr>
            <w:tcW w:w="1418" w:type="dxa"/>
            <w:vAlign w:val="center"/>
          </w:tcPr>
          <w:p>
            <w:pPr>
              <w:pStyle w:val="113"/>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生活垃圾</w:t>
            </w:r>
          </w:p>
        </w:tc>
        <w:tc>
          <w:tcPr>
            <w:tcW w:w="1115" w:type="dxa"/>
            <w:vAlign w:val="center"/>
          </w:tcPr>
          <w:p>
            <w:pPr>
              <w:pStyle w:val="113"/>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生活垃圾</w:t>
            </w:r>
          </w:p>
        </w:tc>
        <w:tc>
          <w:tcPr>
            <w:tcW w:w="2647" w:type="dxa"/>
            <w:vAlign w:val="center"/>
          </w:tcPr>
          <w:p>
            <w:pPr>
              <w:pStyle w:val="113"/>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委托环卫部门统一清运</w:t>
            </w:r>
          </w:p>
        </w:tc>
        <w:tc>
          <w:tcPr>
            <w:tcW w:w="2354" w:type="dxa"/>
            <w:vAlign w:val="center"/>
          </w:tcPr>
          <w:p>
            <w:pPr>
              <w:pStyle w:val="113"/>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266" w:type="dxa"/>
            <w:vAlign w:val="center"/>
          </w:tcPr>
          <w:p>
            <w:pPr>
              <w:pStyle w:val="113"/>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土壤及地下水污染防治措施</w:t>
            </w:r>
          </w:p>
        </w:tc>
        <w:tc>
          <w:tcPr>
            <w:tcW w:w="7534" w:type="dxa"/>
            <w:gridSpan w:val="4"/>
            <w:vAlign w:val="center"/>
          </w:tcPr>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将厂区防渗措施划分为重点防渗区和简单防渗区。</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①重点防渗区：危险废物贮存库的防渗要求参照《危险废物贮存污染控制标准》(GB18597-2023)。</w:t>
            </w:r>
          </w:p>
          <w:p>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②简单防渗区：其他区域的防渗要求参照《环境影响评价技术导则地下水环境》（HJ610-2016）。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266" w:type="dxa"/>
            <w:vAlign w:val="center"/>
          </w:tcPr>
          <w:p>
            <w:pPr>
              <w:pStyle w:val="113"/>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生态保护措施</w:t>
            </w:r>
          </w:p>
        </w:tc>
        <w:tc>
          <w:tcPr>
            <w:tcW w:w="7534" w:type="dxa"/>
            <w:gridSpan w:val="4"/>
            <w:vAlign w:val="center"/>
          </w:tcPr>
          <w:p>
            <w:pPr>
              <w:pStyle w:val="113"/>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1266" w:type="dxa"/>
            <w:vAlign w:val="center"/>
          </w:tcPr>
          <w:p>
            <w:pPr>
              <w:pStyle w:val="113"/>
              <w:rPr>
                <w:rFonts w:hint="default" w:ascii="Times New Roman" w:hAnsi="Times New Roman" w:eastAsia="宋体" w:cs="Times New Roman"/>
                <w:color w:val="auto"/>
                <w:spacing w:val="-8"/>
                <w:sz w:val="24"/>
                <w:szCs w:val="24"/>
                <w:highlight w:val="none"/>
              </w:rPr>
            </w:pPr>
            <w:r>
              <w:rPr>
                <w:rFonts w:hint="default" w:ascii="Times New Roman" w:hAnsi="Times New Roman" w:eastAsia="宋体" w:cs="Times New Roman"/>
                <w:color w:val="auto"/>
                <w:spacing w:val="-8"/>
                <w:sz w:val="24"/>
                <w:szCs w:val="24"/>
                <w:highlight w:val="none"/>
              </w:rPr>
              <w:t>环境风险</w:t>
            </w:r>
          </w:p>
          <w:p>
            <w:pPr>
              <w:pStyle w:val="113"/>
              <w:rPr>
                <w:rFonts w:hint="default" w:ascii="Times New Roman" w:hAnsi="Times New Roman" w:eastAsia="宋体" w:cs="Times New Roman"/>
                <w:color w:val="auto"/>
                <w:spacing w:val="-8"/>
                <w:sz w:val="24"/>
                <w:szCs w:val="24"/>
                <w:highlight w:val="none"/>
              </w:rPr>
            </w:pPr>
            <w:r>
              <w:rPr>
                <w:rFonts w:hint="default" w:ascii="Times New Roman" w:hAnsi="Times New Roman" w:eastAsia="宋体" w:cs="Times New Roman"/>
                <w:color w:val="auto"/>
                <w:spacing w:val="-8"/>
                <w:sz w:val="24"/>
                <w:szCs w:val="24"/>
                <w:highlight w:val="none"/>
              </w:rPr>
              <w:t>防范措施</w:t>
            </w:r>
          </w:p>
        </w:tc>
        <w:tc>
          <w:tcPr>
            <w:tcW w:w="7534" w:type="dxa"/>
            <w:gridSpan w:val="4"/>
            <w:vAlign w:val="center"/>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highlight w:val="none"/>
              </w:rPr>
            </w:pPr>
            <w:r>
              <w:rPr>
                <w:rFonts w:hint="default"/>
                <w:color w:val="auto"/>
                <w:highlight w:val="none"/>
              </w:rPr>
              <w:t>①危险废物泄漏、遗撒事故防范措施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highlight w:val="none"/>
              </w:rPr>
            </w:pPr>
            <w:r>
              <w:rPr>
                <w:rFonts w:hint="default"/>
                <w:color w:val="auto"/>
                <w:highlight w:val="none"/>
              </w:rPr>
              <w:t>本项目</w:t>
            </w:r>
            <w:r>
              <w:rPr>
                <w:rFonts w:hint="default"/>
                <w:color w:val="auto"/>
                <w:highlight w:val="none"/>
                <w:lang w:val="en-US" w:eastAsia="zh-CN"/>
              </w:rPr>
              <w:t>依托一期工程</w:t>
            </w:r>
            <w:r>
              <w:rPr>
                <w:rFonts w:hint="default"/>
                <w:color w:val="auto"/>
                <w:highlight w:val="none"/>
              </w:rPr>
              <w:t>危险废物贮存库，危险废物可能发生泄漏，因此，建议企业使用专用容器收集，及时委托有资质单位进行处置。在贮存过程加强危险废物贮存库巡查，危险废物贮存库采取防渗措施，设置托盘或围堰，避免危险废物发生泄漏，污染周边环境。一旦发生泄漏事故，应急措施主要是找出事故源，减少泄出量，回收（及时将泄漏危险废物收集）、清污（消除现场泄漏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highlight w:val="none"/>
              </w:rPr>
            </w:pPr>
            <w:r>
              <w:rPr>
                <w:rFonts w:hint="default"/>
                <w:color w:val="auto"/>
                <w:highlight w:val="none"/>
              </w:rPr>
              <w:t>②废水事故排放风险防范措施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highlight w:val="none"/>
              </w:rPr>
            </w:pPr>
            <w:r>
              <w:rPr>
                <w:rFonts w:hint="default"/>
                <w:color w:val="auto"/>
                <w:highlight w:val="none"/>
              </w:rPr>
              <w:t>运营期配置专人进行现场的环境管理，发生隐患及时排查。若发现管道堵塞、破裂、接头处破损等可能造成废水泄漏事故，应立即停止生产，安排维修人员检查故障，维修好后方可进行生产。建议建立废水事故排放应急预案，并配备相应的截留和收集装置，以确保废水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55" w:hRule="atLeast"/>
          <w:jc w:val="center"/>
        </w:trPr>
        <w:tc>
          <w:tcPr>
            <w:tcW w:w="1266" w:type="dxa"/>
            <w:vAlign w:val="center"/>
          </w:tcPr>
          <w:p>
            <w:pPr>
              <w:pStyle w:val="113"/>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其他环境</w:t>
            </w:r>
          </w:p>
          <w:p>
            <w:pPr>
              <w:pStyle w:val="113"/>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管理要求</w:t>
            </w:r>
          </w:p>
        </w:tc>
        <w:tc>
          <w:tcPr>
            <w:tcW w:w="7534" w:type="dxa"/>
            <w:gridSpan w:val="4"/>
            <w:vAlign w:val="center"/>
          </w:tcPr>
          <w:p>
            <w:pPr>
              <w:numPr>
                <w:ilvl w:val="0"/>
                <w:numId w:val="12"/>
              </w:numPr>
              <w:adjustRightInd w:val="0"/>
              <w:snapToGrid w:val="0"/>
              <w:ind w:firstLine="480" w:firstLineChars="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环境管理</w:t>
            </w:r>
          </w:p>
          <w:p>
            <w:pPr>
              <w:pStyle w:val="14"/>
              <w:spacing w:line="36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设立专门的环保机构，配备专职环保工作人员。</w:t>
            </w:r>
          </w:p>
          <w:p>
            <w:pPr>
              <w:pStyle w:val="14"/>
              <w:spacing w:line="36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加强环保设施运行管理维护，建立环保设施运行台账，确保环保设施正常运行及污染物稳定达标排放。</w:t>
            </w:r>
          </w:p>
          <w:p>
            <w:pPr>
              <w:numPr>
                <w:ilvl w:val="0"/>
                <w:numId w:val="12"/>
              </w:numPr>
              <w:adjustRightInd w:val="0"/>
              <w:snapToGrid w:val="0"/>
              <w:ind w:firstLine="480" w:firstLineChars="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排污许可证</w:t>
            </w:r>
          </w:p>
          <w:p>
            <w:pPr>
              <w:pStyle w:val="14"/>
              <w:spacing w:line="36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本项目废钢加工行业，检索《固定污染源排污许可分类管理名录》（2019年版），本项目属于“三十七、废弃资源综合利用业 42——93.金属废料和碎眉加工处理421，非金属废料和碎屑加工处理422——废弃电器电子产品、废机动车、废电机、废电线电缆、废塑料、废船、含水洗工艺的其他废料和碎屑加工处理”，属于简化管理。建设单位应按照《排污许可管理条例》及其他相关管理要求，在规定时限内申领排污许可证。</w:t>
            </w:r>
          </w:p>
          <w:p>
            <w:pPr>
              <w:numPr>
                <w:ilvl w:val="0"/>
                <w:numId w:val="12"/>
              </w:numPr>
              <w:adjustRightInd w:val="0"/>
              <w:snapToGrid w:val="0"/>
              <w:ind w:firstLine="480" w:firstLineChars="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竣工环境保护验收</w:t>
            </w:r>
          </w:p>
          <w:p>
            <w:pPr>
              <w:pStyle w:val="14"/>
              <w:spacing w:line="36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竣工后建设单位应当依照《建设项目竣工环境保护验收暂行办法》、建设项目竣工环境保护验收技术规范、建设项目环境影响报告表审批决定等要求，如实查验、监测、记载建设项目环境保护设施的建设和调试情况，同时还应如实记载其他环境保护对策措施“三同时”落实情况，自行或者委托技术机构编制验收报告。</w:t>
            </w:r>
          </w:p>
          <w:p>
            <w:pPr>
              <w:numPr>
                <w:ilvl w:val="0"/>
                <w:numId w:val="12"/>
              </w:numPr>
              <w:adjustRightInd w:val="0"/>
              <w:snapToGrid w:val="0"/>
              <w:ind w:firstLine="480" w:firstLineChars="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排污口规范化建设</w:t>
            </w:r>
          </w:p>
          <w:p>
            <w:pPr>
              <w:pStyle w:val="14"/>
              <w:spacing w:line="360" w:lineRule="auto"/>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建设单位应当按照生态环境主管部门的规定建设规范化污染物排放口，并设置标志牌。</w:t>
            </w:r>
          </w:p>
          <w:p>
            <w:pPr>
              <w:pStyle w:val="565"/>
              <w:adjustRightInd w:val="0"/>
              <w:spacing w:line="240" w:lineRule="auto"/>
              <w:ind w:firstLine="0" w:firstLineChars="0"/>
              <w:jc w:val="center"/>
              <w:rPr>
                <w:rFonts w:hint="default" w:ascii="Times New Roman" w:hAnsi="Times New Roman" w:eastAsia="宋体" w:cs="Times New Roman"/>
                <w:b/>
                <w:bCs w:val="0"/>
                <w:color w:val="auto"/>
                <w:spacing w:val="0"/>
                <w:szCs w:val="24"/>
                <w:highlight w:val="none"/>
              </w:rPr>
            </w:pPr>
            <w:r>
              <w:rPr>
                <w:rFonts w:hint="default" w:ascii="Times New Roman" w:hAnsi="Times New Roman" w:eastAsia="宋体" w:cs="Times New Roman"/>
                <w:b/>
                <w:bCs w:val="0"/>
                <w:color w:val="auto"/>
                <w:spacing w:val="0"/>
                <w:szCs w:val="24"/>
                <w:highlight w:val="none"/>
              </w:rPr>
              <w:t>表5</w:t>
            </w:r>
            <w:r>
              <w:rPr>
                <w:rFonts w:hint="eastAsia" w:ascii="Times New Roman" w:hAnsi="Times New Roman" w:eastAsia="宋体" w:cs="Times New Roman"/>
                <w:b/>
                <w:bCs w:val="0"/>
                <w:color w:val="auto"/>
                <w:spacing w:val="0"/>
                <w:szCs w:val="24"/>
                <w:highlight w:val="none"/>
                <w:lang w:val="en-US" w:eastAsia="zh-CN"/>
              </w:rPr>
              <w:t>.1</w:t>
            </w:r>
            <w:r>
              <w:rPr>
                <w:rFonts w:hint="default" w:ascii="Times New Roman" w:hAnsi="Times New Roman" w:eastAsia="宋体" w:cs="Times New Roman"/>
                <w:b/>
                <w:bCs w:val="0"/>
                <w:color w:val="auto"/>
                <w:spacing w:val="0"/>
                <w:szCs w:val="24"/>
                <w:highlight w:val="none"/>
              </w:rPr>
              <w:t>-1 各排污口（源）标志牌设置示意图</w:t>
            </w:r>
          </w:p>
          <w:tbl>
            <w:tblPr>
              <w:tblStyle w:val="49"/>
              <w:tblW w:w="7314" w:type="dxa"/>
              <w:tblInd w:w="0" w:type="dxa"/>
              <w:tblBorders>
                <w:top w:val="none" w:color="auto" w:sz="0" w:space="0"/>
                <w:left w:val="none" w:color="auto" w:sz="0" w:space="0"/>
                <w:bottom w:val="none" w:color="auto" w:sz="0"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412"/>
              <w:gridCol w:w="1011"/>
              <w:gridCol w:w="1318"/>
              <w:gridCol w:w="1156"/>
              <w:gridCol w:w="1264"/>
              <w:gridCol w:w="1153"/>
            </w:tblGrid>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397" w:hRule="atLeast"/>
              </w:trPr>
              <w:tc>
                <w:tcPr>
                  <w:tcW w:w="1412" w:type="dxa"/>
                  <w:tcBorders>
                    <w:top w:val="single" w:color="auto" w:sz="12" w:space="0"/>
                    <w:left w:val="nil"/>
                    <w:bottom w:val="single" w:color="auto" w:sz="6" w:space="0"/>
                    <w:right w:val="single" w:color="auto" w:sz="6" w:space="0"/>
                    <w:tl2br w:val="single" w:color="auto" w:sz="4" w:space="0"/>
                  </w:tcBorders>
                  <w:vAlign w:val="center"/>
                </w:tcPr>
                <w:p>
                  <w:pPr>
                    <w:pStyle w:val="465"/>
                    <w:ind w:firstLine="0" w:firstLineChars="0"/>
                    <w:jc w:val="right"/>
                    <w:rPr>
                      <w:rFonts w:hint="default" w:ascii="Times New Roman" w:hAnsi="Times New Roman" w:eastAsia="宋体" w:cs="Times New Roman"/>
                      <w:color w:val="auto"/>
                      <w:sz w:val="24"/>
                      <w:highlight w:val="none"/>
                      <w:lang w:val="en-GB"/>
                    </w:rPr>
                  </w:pPr>
                  <w:r>
                    <w:rPr>
                      <w:rFonts w:hint="default" w:ascii="Times New Roman" w:hAnsi="Times New Roman" w:eastAsia="宋体" w:cs="Times New Roman"/>
                      <w:color w:val="auto"/>
                      <w:sz w:val="24"/>
                      <w:highlight w:val="none"/>
                      <w:lang w:val="en-GB"/>
                    </w:rPr>
                    <w:t xml:space="preserve">  排放部位</w:t>
                  </w:r>
                </w:p>
                <w:p>
                  <w:pPr>
                    <w:pStyle w:val="465"/>
                    <w:ind w:firstLine="0" w:firstLineChars="0"/>
                    <w:jc w:val="both"/>
                    <w:rPr>
                      <w:rFonts w:hint="default" w:ascii="Times New Roman" w:hAnsi="Times New Roman" w:eastAsia="宋体" w:cs="Times New Roman"/>
                      <w:color w:val="auto"/>
                      <w:sz w:val="24"/>
                      <w:highlight w:val="none"/>
                      <w:lang w:val="en-GB"/>
                    </w:rPr>
                  </w:pPr>
                  <w:r>
                    <w:rPr>
                      <w:rFonts w:hint="default" w:ascii="Times New Roman" w:hAnsi="Times New Roman" w:eastAsia="宋体" w:cs="Times New Roman"/>
                      <w:color w:val="auto"/>
                      <w:sz w:val="24"/>
                      <w:highlight w:val="none"/>
                      <w:lang w:val="en-GB"/>
                    </w:rPr>
                    <w:t>项目</w:t>
                  </w:r>
                </w:p>
              </w:tc>
              <w:tc>
                <w:tcPr>
                  <w:tcW w:w="1011" w:type="dxa"/>
                  <w:tcBorders>
                    <w:top w:val="single" w:color="auto" w:sz="12" w:space="0"/>
                    <w:left w:val="single" w:color="auto" w:sz="6" w:space="0"/>
                    <w:bottom w:val="single" w:color="auto" w:sz="6" w:space="0"/>
                    <w:right w:val="single" w:color="auto" w:sz="6" w:space="0"/>
                  </w:tcBorders>
                  <w:vAlign w:val="center"/>
                </w:tcPr>
                <w:p>
                  <w:pPr>
                    <w:pStyle w:val="465"/>
                    <w:ind w:firstLine="0" w:firstLineChars="0"/>
                    <w:rPr>
                      <w:rFonts w:hint="default" w:ascii="Times New Roman" w:hAnsi="Times New Roman" w:eastAsia="宋体" w:cs="Times New Roman"/>
                      <w:color w:val="auto"/>
                      <w:sz w:val="24"/>
                      <w:highlight w:val="none"/>
                      <w:lang w:val="en-GB"/>
                    </w:rPr>
                  </w:pPr>
                  <w:r>
                    <w:rPr>
                      <w:rFonts w:hint="default" w:ascii="Times New Roman" w:hAnsi="Times New Roman" w:eastAsia="宋体" w:cs="Times New Roman"/>
                      <w:color w:val="auto"/>
                      <w:sz w:val="24"/>
                      <w:highlight w:val="none"/>
                      <w:lang w:val="en-GB"/>
                    </w:rPr>
                    <w:t>废气排放口</w:t>
                  </w:r>
                </w:p>
              </w:tc>
              <w:tc>
                <w:tcPr>
                  <w:tcW w:w="1318" w:type="dxa"/>
                  <w:tcBorders>
                    <w:top w:val="single" w:color="auto" w:sz="12" w:space="0"/>
                    <w:left w:val="single" w:color="auto" w:sz="6" w:space="0"/>
                    <w:bottom w:val="single" w:color="auto" w:sz="6" w:space="0"/>
                    <w:right w:val="single" w:color="auto" w:sz="6" w:space="0"/>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auto"/>
                      <w:szCs w:val="24"/>
                      <w:highlight w:val="none"/>
                      <w:lang w:val="en-GB"/>
                    </w:rPr>
                  </w:pPr>
                  <w:r>
                    <w:rPr>
                      <w:rFonts w:hint="default" w:ascii="Times New Roman" w:hAnsi="Times New Roman" w:eastAsia="宋体" w:cs="Times New Roman"/>
                      <w:color w:val="auto"/>
                      <w:szCs w:val="24"/>
                      <w:highlight w:val="none"/>
                      <w:lang w:val="en-GB"/>
                    </w:rPr>
                    <w:t>污水排放口</w:t>
                  </w:r>
                </w:p>
              </w:tc>
              <w:tc>
                <w:tcPr>
                  <w:tcW w:w="1156" w:type="dxa"/>
                  <w:tcBorders>
                    <w:top w:val="single" w:color="auto" w:sz="12" w:space="0"/>
                    <w:left w:val="single" w:color="auto" w:sz="6" w:space="0"/>
                    <w:bottom w:val="single" w:color="auto" w:sz="6" w:space="0"/>
                    <w:right w:val="single" w:color="auto" w:sz="6" w:space="0"/>
                  </w:tcBorders>
                  <w:vAlign w:val="center"/>
                </w:tcPr>
                <w:p>
                  <w:pPr>
                    <w:pStyle w:val="465"/>
                    <w:ind w:firstLine="0" w:firstLineChars="0"/>
                    <w:rPr>
                      <w:rFonts w:hint="default" w:ascii="Times New Roman" w:hAnsi="Times New Roman" w:eastAsia="宋体" w:cs="Times New Roman"/>
                      <w:color w:val="auto"/>
                      <w:sz w:val="24"/>
                      <w:highlight w:val="none"/>
                      <w:lang w:val="en-GB"/>
                    </w:rPr>
                  </w:pPr>
                  <w:r>
                    <w:rPr>
                      <w:rFonts w:hint="default" w:ascii="Times New Roman" w:hAnsi="Times New Roman" w:eastAsia="宋体" w:cs="Times New Roman"/>
                      <w:color w:val="auto"/>
                      <w:sz w:val="24"/>
                      <w:highlight w:val="none"/>
                      <w:lang w:val="en-GB"/>
                    </w:rPr>
                    <w:t>噪声排放源</w:t>
                  </w:r>
                </w:p>
              </w:tc>
              <w:tc>
                <w:tcPr>
                  <w:tcW w:w="1264" w:type="dxa"/>
                  <w:tcBorders>
                    <w:top w:val="single" w:color="auto" w:sz="12" w:space="0"/>
                    <w:left w:val="single" w:color="auto" w:sz="6" w:space="0"/>
                    <w:bottom w:val="single" w:color="auto" w:sz="6" w:space="0"/>
                    <w:right w:val="nil"/>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auto"/>
                      <w:szCs w:val="24"/>
                      <w:highlight w:val="none"/>
                      <w:lang w:val="en-GB"/>
                    </w:rPr>
                  </w:pPr>
                  <w:r>
                    <w:rPr>
                      <w:rFonts w:hint="default" w:ascii="Times New Roman" w:hAnsi="Times New Roman" w:eastAsia="宋体" w:cs="Times New Roman"/>
                      <w:color w:val="auto"/>
                      <w:szCs w:val="24"/>
                      <w:highlight w:val="none"/>
                      <w:lang w:val="en-GB"/>
                    </w:rPr>
                    <w:t>一般工业固体废物</w:t>
                  </w:r>
                </w:p>
              </w:tc>
              <w:tc>
                <w:tcPr>
                  <w:tcW w:w="1153" w:type="dxa"/>
                  <w:tcBorders>
                    <w:top w:val="single" w:color="auto" w:sz="12" w:space="0"/>
                    <w:left w:val="single" w:color="auto" w:sz="6" w:space="0"/>
                    <w:bottom w:val="single" w:color="auto" w:sz="6" w:space="0"/>
                    <w:right w:val="nil"/>
                  </w:tcBorders>
                  <w:vAlign w:val="center"/>
                </w:tcPr>
                <w:p>
                  <w:pPr>
                    <w:pStyle w:val="465"/>
                    <w:ind w:firstLine="0" w:firstLineChars="0"/>
                    <w:rPr>
                      <w:rFonts w:hint="default" w:ascii="Times New Roman" w:hAnsi="Times New Roman" w:eastAsia="宋体" w:cs="Times New Roman"/>
                      <w:color w:val="auto"/>
                      <w:sz w:val="24"/>
                      <w:highlight w:val="none"/>
                      <w:lang w:val="en-GB"/>
                    </w:rPr>
                  </w:pPr>
                  <w:r>
                    <w:rPr>
                      <w:rFonts w:hint="default" w:ascii="Times New Roman" w:hAnsi="Times New Roman" w:eastAsia="宋体" w:cs="Times New Roman"/>
                      <w:color w:val="auto"/>
                      <w:sz w:val="24"/>
                      <w:highlight w:val="none"/>
                      <w:lang w:val="en-GB"/>
                    </w:rPr>
                    <w:t>危险废物</w:t>
                  </w: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1170" w:hRule="atLeast"/>
              </w:trPr>
              <w:tc>
                <w:tcPr>
                  <w:tcW w:w="1412" w:type="dxa"/>
                  <w:tcBorders>
                    <w:top w:val="single" w:color="auto" w:sz="6" w:space="0"/>
                    <w:left w:val="nil"/>
                    <w:bottom w:val="single" w:color="auto" w:sz="12" w:space="0"/>
                    <w:right w:val="single" w:color="auto" w:sz="2" w:space="0"/>
                  </w:tcBorders>
                  <w:vAlign w:val="center"/>
                </w:tcPr>
                <w:p>
                  <w:pPr>
                    <w:pStyle w:val="465"/>
                    <w:ind w:firstLine="0" w:firstLineChars="0"/>
                    <w:rPr>
                      <w:rFonts w:hint="default" w:ascii="Times New Roman" w:hAnsi="Times New Roman" w:eastAsia="宋体" w:cs="Times New Roman"/>
                      <w:color w:val="auto"/>
                      <w:sz w:val="24"/>
                      <w:highlight w:val="none"/>
                      <w:lang w:val="en-GB"/>
                    </w:rPr>
                  </w:pPr>
                  <w:r>
                    <w:rPr>
                      <w:rFonts w:hint="default" w:ascii="Times New Roman" w:hAnsi="Times New Roman" w:eastAsia="宋体" w:cs="Times New Roman"/>
                      <w:color w:val="auto"/>
                      <w:sz w:val="24"/>
                      <w:highlight w:val="none"/>
                      <w:lang w:val="en-GB"/>
                    </w:rPr>
                    <w:t>图形符号</w:t>
                  </w:r>
                </w:p>
              </w:tc>
              <w:tc>
                <w:tcPr>
                  <w:tcW w:w="1011" w:type="dxa"/>
                  <w:tcBorders>
                    <w:top w:val="single" w:color="auto" w:sz="6" w:space="0"/>
                    <w:left w:val="single" w:color="auto" w:sz="2" w:space="0"/>
                    <w:bottom w:val="single" w:color="auto" w:sz="12" w:space="0"/>
                    <w:right w:val="single" w:color="auto" w:sz="2" w:space="0"/>
                  </w:tcBorders>
                  <w:vAlign w:val="center"/>
                </w:tcPr>
                <w:p>
                  <w:pPr>
                    <w:spacing w:line="240" w:lineRule="auto"/>
                    <w:ind w:firstLine="0" w:firstLineChars="0"/>
                    <w:jc w:val="center"/>
                    <w:rPr>
                      <w:rFonts w:hint="default" w:ascii="Times New Roman" w:hAnsi="Times New Roman" w:eastAsia="宋体" w:cs="Times New Roman"/>
                      <w:color w:val="auto"/>
                      <w:szCs w:val="24"/>
                      <w:highlight w:val="none"/>
                      <w:lang w:val="en-GB"/>
                    </w:rPr>
                  </w:pPr>
                  <w:r>
                    <w:rPr>
                      <w:rFonts w:hint="default" w:ascii="Times New Roman" w:hAnsi="Times New Roman" w:eastAsia="宋体" w:cs="Times New Roman"/>
                      <w:color w:val="auto"/>
                      <w:szCs w:val="24"/>
                      <w:highlight w:val="none"/>
                    </w:rPr>
                    <w:drawing>
                      <wp:inline distT="0" distB="0" distL="114300" distR="114300">
                        <wp:extent cx="525780" cy="525780"/>
                        <wp:effectExtent l="0" t="0" r="7620" b="7620"/>
                        <wp:docPr id="20" name="图片 4" descr="点击看大图及详细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descr="点击看大图及详细资料"/>
                                <pic:cNvPicPr>
                                  <a:picLocks noChangeAspect="1"/>
                                </pic:cNvPicPr>
                              </pic:nvPicPr>
                              <pic:blipFill>
                                <a:blip r:embed="rId34"/>
                                <a:stretch>
                                  <a:fillRect/>
                                </a:stretch>
                              </pic:blipFill>
                              <pic:spPr>
                                <a:xfrm>
                                  <a:off x="0" y="0"/>
                                  <a:ext cx="525780" cy="525780"/>
                                </a:xfrm>
                                <a:prstGeom prst="rect">
                                  <a:avLst/>
                                </a:prstGeom>
                                <a:noFill/>
                                <a:ln>
                                  <a:noFill/>
                                </a:ln>
                              </pic:spPr>
                            </pic:pic>
                          </a:graphicData>
                        </a:graphic>
                      </wp:inline>
                    </w:drawing>
                  </w:r>
                </w:p>
              </w:tc>
              <w:tc>
                <w:tcPr>
                  <w:tcW w:w="1318" w:type="dxa"/>
                  <w:tcBorders>
                    <w:top w:val="single" w:color="auto" w:sz="6" w:space="0"/>
                    <w:left w:val="single" w:color="auto" w:sz="2" w:space="0"/>
                    <w:bottom w:val="single" w:color="auto" w:sz="12" w:space="0"/>
                    <w:right w:val="single" w:color="auto" w:sz="2" w:space="0"/>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drawing>
                      <wp:inline distT="0" distB="0" distL="114300" distR="114300">
                        <wp:extent cx="534035" cy="506730"/>
                        <wp:effectExtent l="0" t="0" r="18415" b="7620"/>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35"/>
                                <a:stretch>
                                  <a:fillRect/>
                                </a:stretch>
                              </pic:blipFill>
                              <pic:spPr>
                                <a:xfrm>
                                  <a:off x="0" y="0"/>
                                  <a:ext cx="534035" cy="506730"/>
                                </a:xfrm>
                                <a:prstGeom prst="rect">
                                  <a:avLst/>
                                </a:prstGeom>
                                <a:noFill/>
                                <a:ln>
                                  <a:noFill/>
                                </a:ln>
                              </pic:spPr>
                            </pic:pic>
                          </a:graphicData>
                        </a:graphic>
                      </wp:inline>
                    </w:drawing>
                  </w:r>
                </w:p>
              </w:tc>
              <w:tc>
                <w:tcPr>
                  <w:tcW w:w="1156" w:type="dxa"/>
                  <w:tcBorders>
                    <w:top w:val="single" w:color="auto" w:sz="6" w:space="0"/>
                    <w:left w:val="single" w:color="auto" w:sz="2" w:space="0"/>
                    <w:bottom w:val="single" w:color="auto" w:sz="12" w:space="0"/>
                    <w:right w:val="single" w:color="auto" w:sz="2" w:space="0"/>
                  </w:tcBorders>
                  <w:vAlign w:val="center"/>
                </w:tcPr>
                <w:p>
                  <w:pPr>
                    <w:spacing w:line="240" w:lineRule="auto"/>
                    <w:ind w:firstLine="0" w:firstLineChars="0"/>
                    <w:jc w:val="center"/>
                    <w:rPr>
                      <w:rFonts w:hint="default" w:ascii="Times New Roman" w:hAnsi="Times New Roman" w:eastAsia="宋体" w:cs="Times New Roman"/>
                      <w:color w:val="auto"/>
                      <w:szCs w:val="24"/>
                      <w:highlight w:val="none"/>
                      <w:lang w:val="en-GB"/>
                    </w:rPr>
                  </w:pPr>
                  <w:r>
                    <w:rPr>
                      <w:rFonts w:hint="default" w:ascii="Times New Roman" w:hAnsi="Times New Roman" w:eastAsia="宋体" w:cs="Times New Roman"/>
                      <w:color w:val="auto"/>
                      <w:szCs w:val="24"/>
                      <w:highlight w:val="none"/>
                    </w:rPr>
                    <w:drawing>
                      <wp:inline distT="0" distB="0" distL="114300" distR="114300">
                        <wp:extent cx="518160" cy="518160"/>
                        <wp:effectExtent l="0" t="0" r="15240" b="15240"/>
                        <wp:docPr id="31" name="图片 6" descr="点击看大图及详细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descr="点击看大图及详细资料"/>
                                <pic:cNvPicPr>
                                  <a:picLocks noChangeAspect="1"/>
                                </pic:cNvPicPr>
                              </pic:nvPicPr>
                              <pic:blipFill>
                                <a:blip r:embed="rId36"/>
                                <a:stretch>
                                  <a:fillRect/>
                                </a:stretch>
                              </pic:blipFill>
                              <pic:spPr>
                                <a:xfrm>
                                  <a:off x="0" y="0"/>
                                  <a:ext cx="518160" cy="518160"/>
                                </a:xfrm>
                                <a:prstGeom prst="rect">
                                  <a:avLst/>
                                </a:prstGeom>
                                <a:noFill/>
                                <a:ln>
                                  <a:noFill/>
                                </a:ln>
                              </pic:spPr>
                            </pic:pic>
                          </a:graphicData>
                        </a:graphic>
                      </wp:inline>
                    </w:drawing>
                  </w:r>
                </w:p>
              </w:tc>
              <w:tc>
                <w:tcPr>
                  <w:tcW w:w="1264" w:type="dxa"/>
                  <w:tcBorders>
                    <w:top w:val="single" w:color="auto" w:sz="6" w:space="0"/>
                    <w:left w:val="single" w:color="auto" w:sz="2" w:space="0"/>
                    <w:bottom w:val="single" w:color="auto" w:sz="12" w:space="0"/>
                    <w:right w:val="single" w:color="auto" w:sz="2" w:space="0"/>
                  </w:tcBorders>
                  <w:vAlign w:val="center"/>
                </w:tcPr>
                <w:p>
                  <w:pPr>
                    <w:adjustRightInd w:val="0"/>
                    <w:snapToGrid w:val="0"/>
                    <w:spacing w:line="240" w:lineRule="auto"/>
                    <w:ind w:firstLine="0" w:firstLineChars="0"/>
                    <w:jc w:val="cente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drawing>
                      <wp:inline distT="0" distB="0" distL="114300" distR="114300">
                        <wp:extent cx="523875" cy="523875"/>
                        <wp:effectExtent l="0" t="0" r="9525" b="9525"/>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37"/>
                                <a:stretch>
                                  <a:fillRect/>
                                </a:stretch>
                              </pic:blipFill>
                              <pic:spPr>
                                <a:xfrm>
                                  <a:off x="0" y="0"/>
                                  <a:ext cx="523875" cy="523875"/>
                                </a:xfrm>
                                <a:prstGeom prst="rect">
                                  <a:avLst/>
                                </a:prstGeom>
                                <a:noFill/>
                                <a:ln>
                                  <a:noFill/>
                                </a:ln>
                              </pic:spPr>
                            </pic:pic>
                          </a:graphicData>
                        </a:graphic>
                      </wp:inline>
                    </w:drawing>
                  </w:r>
                </w:p>
              </w:tc>
              <w:tc>
                <w:tcPr>
                  <w:tcW w:w="1153" w:type="dxa"/>
                  <w:tcBorders>
                    <w:top w:val="single" w:color="auto" w:sz="6" w:space="0"/>
                    <w:left w:val="single" w:color="auto" w:sz="2" w:space="0"/>
                    <w:bottom w:val="single" w:color="auto" w:sz="12" w:space="0"/>
                    <w:right w:val="nil"/>
                  </w:tcBorders>
                  <w:vAlign w:val="center"/>
                </w:tcPr>
                <w:p>
                  <w:pPr>
                    <w:pStyle w:val="465"/>
                    <w:ind w:firstLine="0" w:firstLineChars="0"/>
                    <w:rPr>
                      <w:rFonts w:hint="default" w:ascii="Times New Roman" w:hAnsi="Times New Roman" w:eastAsia="宋体" w:cs="Times New Roman"/>
                      <w:color w:val="auto"/>
                      <w:sz w:val="24"/>
                      <w:highlight w:val="none"/>
                      <w:lang w:val="en-GB"/>
                    </w:rPr>
                  </w:pPr>
                  <w:r>
                    <w:rPr>
                      <w:rFonts w:hint="default" w:ascii="Times New Roman" w:hAnsi="Times New Roman" w:eastAsia="宋体" w:cs="Times New Roman"/>
                      <w:color w:val="auto"/>
                      <w:highlight w:val="none"/>
                    </w:rPr>
                    <w:drawing>
                      <wp:inline distT="0" distB="0" distL="114300" distR="114300">
                        <wp:extent cx="589280" cy="565150"/>
                        <wp:effectExtent l="0" t="0" r="1270" b="635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8"/>
                                <a:stretch>
                                  <a:fillRect/>
                                </a:stretch>
                              </pic:blipFill>
                              <pic:spPr>
                                <a:xfrm>
                                  <a:off x="0" y="0"/>
                                  <a:ext cx="589280" cy="565150"/>
                                </a:xfrm>
                                <a:prstGeom prst="rect">
                                  <a:avLst/>
                                </a:prstGeom>
                                <a:noFill/>
                                <a:ln>
                                  <a:noFill/>
                                </a:ln>
                              </pic:spPr>
                            </pic:pic>
                          </a:graphicData>
                        </a:graphic>
                      </wp:inline>
                    </w:drawing>
                  </w:r>
                </w:p>
              </w:tc>
            </w:tr>
          </w:tbl>
          <w:p>
            <w:pPr>
              <w:numPr>
                <w:ilvl w:val="0"/>
                <w:numId w:val="12"/>
              </w:numPr>
              <w:adjustRightInd w:val="0"/>
              <w:snapToGrid w:val="0"/>
              <w:ind w:left="0" w:firstLine="480" w:firstLineChars="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监测计划</w:t>
            </w:r>
          </w:p>
          <w:p>
            <w:pPr>
              <w:pStyle w:val="566"/>
              <w:spacing w:after="0"/>
              <w:ind w:left="0" w:leftChars="0" w:firstLine="420" w:firstLineChars="175"/>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建设单位在运营过程应落实相关监测计划，履行定期监测工作。</w:t>
            </w:r>
          </w:p>
          <w:p>
            <w:pPr>
              <w:pStyle w:val="566"/>
              <w:spacing w:after="0"/>
              <w:ind w:left="0" w:leftChars="0" w:firstLine="420" w:firstLineChars="175"/>
              <w:rPr>
                <w:rFonts w:hint="default" w:ascii="Times New Roman" w:hAnsi="Times New Roman" w:eastAsia="宋体" w:cs="Times New Roman"/>
                <w:color w:val="auto"/>
                <w:highlight w:val="none"/>
              </w:rPr>
            </w:pPr>
          </w:p>
          <w:p>
            <w:pPr>
              <w:pStyle w:val="566"/>
              <w:spacing w:after="0"/>
              <w:ind w:left="0" w:leftChars="0" w:firstLine="420" w:firstLineChars="175"/>
              <w:rPr>
                <w:rFonts w:hint="default" w:ascii="Times New Roman" w:hAnsi="Times New Roman" w:eastAsia="宋体" w:cs="Times New Roman"/>
                <w:color w:val="auto"/>
                <w:highlight w:val="none"/>
              </w:rPr>
            </w:pPr>
          </w:p>
          <w:p>
            <w:pPr>
              <w:pStyle w:val="566"/>
              <w:spacing w:after="0"/>
              <w:ind w:left="0" w:leftChars="0" w:firstLine="420" w:firstLineChars="175"/>
              <w:rPr>
                <w:rFonts w:hint="default" w:ascii="Times New Roman" w:hAnsi="Times New Roman" w:eastAsia="宋体" w:cs="Times New Roman"/>
                <w:color w:val="auto"/>
                <w:highlight w:val="none"/>
              </w:rPr>
            </w:pPr>
          </w:p>
          <w:p>
            <w:pPr>
              <w:pStyle w:val="566"/>
              <w:spacing w:after="0"/>
              <w:ind w:left="0" w:leftChars="0" w:firstLine="420" w:firstLineChars="175"/>
              <w:rPr>
                <w:rFonts w:hint="default" w:ascii="Times New Roman" w:hAnsi="Times New Roman" w:eastAsia="宋体" w:cs="Times New Roman"/>
                <w:color w:val="auto"/>
                <w:highlight w:val="none"/>
              </w:rPr>
            </w:pPr>
          </w:p>
          <w:p>
            <w:pPr>
              <w:pStyle w:val="566"/>
              <w:spacing w:after="0"/>
              <w:ind w:left="0" w:leftChars="0" w:firstLine="0" w:firstLineChars="0"/>
              <w:rPr>
                <w:rFonts w:hint="default" w:ascii="Times New Roman" w:hAnsi="Times New Roman" w:eastAsia="宋体" w:cs="Times New Roman"/>
                <w:color w:val="auto"/>
                <w:highlight w:val="none"/>
              </w:rPr>
            </w:pPr>
          </w:p>
        </w:tc>
      </w:tr>
    </w:tbl>
    <w:p>
      <w:pPr>
        <w:ind w:firstLine="480"/>
        <w:rPr>
          <w:color w:val="auto"/>
          <w:highlight w:val="none"/>
        </w:rPr>
      </w:pPr>
      <w:r>
        <w:rPr>
          <w:color w:val="auto"/>
          <w:highlight w:val="none"/>
        </w:rPr>
        <w:br w:type="page"/>
      </w:r>
    </w:p>
    <w:p>
      <w:pPr>
        <w:pStyle w:val="46"/>
        <w:ind w:firstLine="600"/>
        <w:outlineLvl w:val="0"/>
        <w:rPr>
          <w:rFonts w:ascii="Times New Roman" w:hAnsi="Times New Roman" w:eastAsia="黑体"/>
          <w:snapToGrid w:val="0"/>
          <w:color w:val="auto"/>
          <w:sz w:val="30"/>
          <w:szCs w:val="30"/>
          <w:highlight w:val="none"/>
        </w:rPr>
      </w:pPr>
      <w:r>
        <w:rPr>
          <w:rFonts w:ascii="Times New Roman" w:hAnsi="Times New Roman" w:eastAsia="黑体"/>
          <w:snapToGrid w:val="0"/>
          <w:color w:val="auto"/>
          <w:sz w:val="30"/>
          <w:szCs w:val="30"/>
          <w:highlight w:val="none"/>
        </w:rPr>
        <w:t>六、结论</w:t>
      </w:r>
    </w:p>
    <w:tbl>
      <w:tblPr>
        <w:tblStyle w:val="49"/>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91" w:hRule="atLeast"/>
          <w:jc w:val="center"/>
        </w:trPr>
        <w:tc>
          <w:tcPr>
            <w:tcW w:w="8865" w:type="dxa"/>
            <w:noWrap w:val="0"/>
            <w:vAlign w:val="top"/>
          </w:tcPr>
          <w:p>
            <w:pPr>
              <w:spacing w:line="360" w:lineRule="auto"/>
              <w:ind w:firstLine="480" w:firstLineChars="200"/>
              <w:jc w:val="both"/>
              <w:rPr>
                <w:rFonts w:ascii="Times New Roman" w:hAnsi="Times New Roman"/>
                <w:color w:val="auto"/>
                <w:szCs w:val="20"/>
                <w:highlight w:val="none"/>
              </w:rPr>
            </w:pPr>
            <w:r>
              <w:rPr>
                <w:rFonts w:hint="eastAsia" w:ascii="Times New Roman" w:hAnsi="Times New Roman"/>
                <w:color w:val="auto"/>
                <w:szCs w:val="20"/>
                <w:highlight w:val="none"/>
              </w:rPr>
              <w:t>福建凯航再生资源有限责任公司锈蚀废钢加工技改项目的建设符合国家有关产业政策，项目选址合理，平面布局可行。项目运营后产生的污水、废气、噪声、固废通过采取相应的措施治理，能够实现污染物的达标排放，对环境造成影响较小。在工程建设中，严格执行“三同时”制度，项目投产后，严格遵守国家有关法律法规，严格执行相关标准和技术规范，严格落实各项环境风险防范措施，确保污染物排放总量控制在经行政主管部门核定的范围内，污染物达标排放的前提下，对周边环境影响较小，该项目可实现经济效益、环境效益的协调性发展。从环境保护的角度分析，该项目的建设是可行的。</w:t>
            </w:r>
          </w:p>
          <w:p>
            <w:pPr>
              <w:spacing w:line="360" w:lineRule="auto"/>
              <w:ind w:firstLine="480" w:firstLineChars="200"/>
              <w:jc w:val="both"/>
              <w:rPr>
                <w:rFonts w:ascii="Times New Roman" w:hAnsi="Times New Roman"/>
                <w:color w:val="auto"/>
                <w:szCs w:val="20"/>
                <w:highlight w:val="none"/>
              </w:rPr>
            </w:pPr>
          </w:p>
          <w:p>
            <w:pPr>
              <w:spacing w:line="360" w:lineRule="auto"/>
              <w:ind w:firstLine="200" w:firstLineChars="83"/>
              <w:jc w:val="right"/>
              <w:rPr>
                <w:rFonts w:ascii="Times New Roman" w:hAnsi="Times New Roman"/>
                <w:b/>
                <w:bCs/>
                <w:color w:val="auto"/>
                <w:sz w:val="24"/>
                <w:highlight w:val="none"/>
              </w:rPr>
            </w:pPr>
            <w:r>
              <w:rPr>
                <w:rFonts w:hint="eastAsia" w:ascii="Times New Roman" w:hAnsi="Times New Roman"/>
                <w:b/>
                <w:bCs/>
                <w:color w:val="auto"/>
                <w:sz w:val="24"/>
                <w:highlight w:val="none"/>
              </w:rPr>
              <w:t>睿柯</w:t>
            </w:r>
            <w:r>
              <w:rPr>
                <w:rFonts w:hint="eastAsia"/>
                <w:b/>
                <w:bCs/>
                <w:color w:val="auto"/>
                <w:sz w:val="24"/>
                <w:highlight w:val="none"/>
                <w:lang w:eastAsia="zh-CN"/>
              </w:rPr>
              <w:t>环境</w:t>
            </w:r>
            <w:r>
              <w:rPr>
                <w:rFonts w:hint="eastAsia" w:ascii="Times New Roman" w:hAnsi="Times New Roman"/>
                <w:b/>
                <w:bCs/>
                <w:color w:val="auto"/>
                <w:sz w:val="24"/>
                <w:highlight w:val="none"/>
              </w:rPr>
              <w:t>工程有限公司</w:t>
            </w:r>
          </w:p>
          <w:p>
            <w:pPr>
              <w:pStyle w:val="590"/>
              <w:ind w:firstLine="482"/>
              <w:jc w:val="right"/>
              <w:rPr>
                <w:rFonts w:ascii="Times New Roman" w:hAnsi="Times New Roman" w:cs="Times New Roman"/>
                <w:color w:val="auto"/>
                <w:highlight w:val="none"/>
              </w:rPr>
            </w:pPr>
            <w:bookmarkStart w:id="7" w:name="_GoBack"/>
            <w:bookmarkEnd w:id="7"/>
            <w:r>
              <w:rPr>
                <w:rFonts w:hint="eastAsia" w:ascii="Times New Roman" w:hAnsi="Times New Roman" w:cs="Times New Roman"/>
                <w:b/>
                <w:bCs/>
                <w:color w:val="auto"/>
                <w:kern w:val="2"/>
                <w:szCs w:val="24"/>
                <w:highlight w:val="none"/>
              </w:rPr>
              <w:t>202</w:t>
            </w:r>
            <w:r>
              <w:rPr>
                <w:rFonts w:hint="eastAsia" w:cs="Times New Roman"/>
                <w:b/>
                <w:bCs/>
                <w:color w:val="auto"/>
                <w:kern w:val="2"/>
                <w:szCs w:val="24"/>
                <w:highlight w:val="none"/>
                <w:lang w:val="en-US" w:eastAsia="zh-CN"/>
              </w:rPr>
              <w:t>6</w:t>
            </w:r>
            <w:r>
              <w:rPr>
                <w:rFonts w:hint="eastAsia" w:ascii="Times New Roman" w:hAnsi="Times New Roman" w:cs="Times New Roman"/>
                <w:b/>
                <w:bCs/>
                <w:color w:val="auto"/>
                <w:kern w:val="2"/>
                <w:szCs w:val="24"/>
                <w:highlight w:val="none"/>
              </w:rPr>
              <w:t>年</w:t>
            </w:r>
            <w:r>
              <w:rPr>
                <w:rFonts w:hint="eastAsia" w:cs="Times New Roman"/>
                <w:b/>
                <w:bCs/>
                <w:color w:val="auto"/>
                <w:kern w:val="2"/>
                <w:szCs w:val="24"/>
                <w:highlight w:val="none"/>
                <w:lang w:val="en-US" w:eastAsia="zh-CN"/>
              </w:rPr>
              <w:t>1</w:t>
            </w:r>
            <w:r>
              <w:rPr>
                <w:rFonts w:hint="eastAsia" w:ascii="Times New Roman" w:hAnsi="Times New Roman" w:cs="Times New Roman"/>
                <w:b/>
                <w:bCs/>
                <w:color w:val="auto"/>
                <w:kern w:val="2"/>
                <w:szCs w:val="24"/>
                <w:highlight w:val="none"/>
              </w:rPr>
              <w:t>月</w:t>
            </w:r>
          </w:p>
        </w:tc>
      </w:tr>
    </w:tbl>
    <w:p>
      <w:pPr>
        <w:ind w:firstLine="0" w:firstLineChars="0"/>
        <w:jc w:val="center"/>
        <w:rPr>
          <w:color w:val="auto"/>
          <w:highlight w:val="none"/>
        </w:rPr>
      </w:pPr>
    </w:p>
    <w:p>
      <w:pPr>
        <w:ind w:left="0" w:leftChars="0" w:firstLine="0" w:firstLineChars="0"/>
        <w:rPr>
          <w:rFonts w:hint="eastAsia" w:eastAsia="宋体"/>
          <w:color w:val="auto"/>
          <w:highlight w:val="none"/>
          <w:lang w:eastAsia="zh-CN"/>
        </w:rPr>
      </w:pPr>
    </w:p>
    <w:p>
      <w:pPr>
        <w:ind w:firstLine="480"/>
        <w:rPr>
          <w:color w:val="auto"/>
          <w:highlight w:val="none"/>
        </w:rPr>
        <w:sectPr>
          <w:pgSz w:w="11905" w:h="16838"/>
          <w:pgMar w:top="1418" w:right="1418" w:bottom="1418" w:left="1418" w:header="851" w:footer="851" w:gutter="0"/>
          <w:pgBorders>
            <w:top w:val="none" w:sz="0" w:space="0"/>
            <w:left w:val="none" w:sz="0" w:space="0"/>
            <w:bottom w:val="none" w:sz="0" w:space="0"/>
            <w:right w:val="none" w:sz="0" w:space="0"/>
          </w:pgBorders>
          <w:cols w:space="720" w:num="1"/>
          <w:docGrid w:linePitch="326" w:charSpace="0"/>
        </w:sectPr>
      </w:pPr>
    </w:p>
    <w:p>
      <w:pPr>
        <w:ind w:firstLine="0" w:firstLineChars="0"/>
        <w:jc w:val="left"/>
        <w:outlineLvl w:val="0"/>
        <w:rPr>
          <w:b/>
          <w:snapToGrid w:val="0"/>
          <w:color w:val="auto"/>
          <w:sz w:val="32"/>
          <w:szCs w:val="32"/>
          <w:highlight w:val="none"/>
        </w:rPr>
      </w:pPr>
      <w:r>
        <w:rPr>
          <w:b/>
          <w:snapToGrid w:val="0"/>
          <w:color w:val="auto"/>
          <w:sz w:val="32"/>
          <w:szCs w:val="32"/>
          <w:highlight w:val="none"/>
        </w:rPr>
        <w:t>附表</w:t>
      </w:r>
    </w:p>
    <w:p>
      <w:pPr>
        <w:ind w:firstLine="0" w:firstLineChars="0"/>
        <w:jc w:val="center"/>
        <w:outlineLvl w:val="0"/>
        <w:rPr>
          <w:b/>
          <w:snapToGrid w:val="0"/>
          <w:color w:val="auto"/>
          <w:sz w:val="32"/>
          <w:szCs w:val="32"/>
          <w:highlight w:val="none"/>
        </w:rPr>
      </w:pPr>
      <w:r>
        <w:rPr>
          <w:b/>
          <w:snapToGrid w:val="0"/>
          <w:color w:val="auto"/>
          <w:sz w:val="32"/>
          <w:szCs w:val="32"/>
          <w:highlight w:val="none"/>
        </w:rPr>
        <w:t>建设项目污染物排放量汇总表</w:t>
      </w:r>
    </w:p>
    <w:tbl>
      <w:tblPr>
        <w:tblStyle w:val="49"/>
        <w:tblW w:w="1405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17"/>
        <w:gridCol w:w="1441"/>
        <w:gridCol w:w="1736"/>
        <w:gridCol w:w="1303"/>
        <w:gridCol w:w="1736"/>
        <w:gridCol w:w="1587"/>
        <w:gridCol w:w="1351"/>
        <w:gridCol w:w="1593"/>
        <w:gridCol w:w="169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617" w:type="dxa"/>
            <w:tcBorders>
              <w:top w:val="single" w:color="auto" w:sz="8" w:space="0"/>
              <w:left w:val="single" w:color="auto" w:sz="8" w:space="0"/>
              <w:bottom w:val="single" w:color="auto" w:sz="4" w:space="0"/>
              <w:right w:val="single" w:color="auto" w:sz="4" w:space="0"/>
            </w:tcBorders>
            <w:tcMar>
              <w:top w:w="0" w:type="dxa"/>
              <w:left w:w="28" w:type="dxa"/>
              <w:bottom w:w="0" w:type="dxa"/>
              <w:right w:w="28" w:type="dxa"/>
            </w:tcMar>
            <w:vAlign w:val="center"/>
          </w:tcPr>
          <w:p>
            <w:pPr>
              <w:pStyle w:val="96"/>
              <w:ind w:firstLine="0" w:firstLineChars="0"/>
              <w:rPr>
                <w:rFonts w:eastAsia="宋体"/>
                <w:color w:val="auto"/>
                <w:spacing w:val="-6"/>
                <w:kern w:val="21"/>
                <w:highlight w:val="none"/>
              </w:rPr>
            </w:pPr>
            <w:r>
              <w:rPr>
                <w:rFonts w:eastAsia="宋体"/>
                <w:color w:val="auto"/>
                <w:spacing w:val="-6"/>
                <w:kern w:val="21"/>
                <w:highlight w:val="none"/>
              </w:rPr>
              <w:t>项目</w:t>
            </w:r>
          </w:p>
          <w:p>
            <w:pPr>
              <w:pStyle w:val="96"/>
              <w:ind w:firstLine="0" w:firstLineChars="0"/>
              <w:rPr>
                <w:rFonts w:eastAsia="宋体"/>
                <w:color w:val="auto"/>
                <w:spacing w:val="-6"/>
                <w:kern w:val="21"/>
                <w:highlight w:val="none"/>
              </w:rPr>
            </w:pPr>
            <w:r>
              <w:rPr>
                <w:rFonts w:eastAsia="宋体"/>
                <w:color w:val="auto"/>
                <w:spacing w:val="-6"/>
                <w:kern w:val="21"/>
                <w:highlight w:val="none"/>
              </w:rPr>
              <w:t>分类</w:t>
            </w:r>
          </w:p>
        </w:tc>
        <w:tc>
          <w:tcPr>
            <w:tcW w:w="1441"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96"/>
              <w:ind w:firstLine="0" w:firstLineChars="0"/>
              <w:rPr>
                <w:rFonts w:eastAsia="宋体"/>
                <w:color w:val="auto"/>
                <w:spacing w:val="-6"/>
                <w:kern w:val="21"/>
                <w:highlight w:val="none"/>
              </w:rPr>
            </w:pPr>
            <w:r>
              <w:rPr>
                <w:rFonts w:eastAsia="宋体"/>
                <w:color w:val="auto"/>
                <w:spacing w:val="-6"/>
                <w:kern w:val="21"/>
                <w:highlight w:val="none"/>
              </w:rPr>
              <w:t>污染物名称</w:t>
            </w:r>
          </w:p>
        </w:tc>
        <w:tc>
          <w:tcPr>
            <w:tcW w:w="1736"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96"/>
              <w:ind w:firstLine="0" w:firstLineChars="0"/>
              <w:rPr>
                <w:rFonts w:eastAsia="宋体"/>
                <w:color w:val="auto"/>
                <w:spacing w:val="-6"/>
                <w:kern w:val="21"/>
                <w:highlight w:val="none"/>
              </w:rPr>
            </w:pPr>
            <w:r>
              <w:rPr>
                <w:rFonts w:eastAsia="宋体"/>
                <w:color w:val="auto"/>
                <w:spacing w:val="-6"/>
                <w:kern w:val="21"/>
                <w:highlight w:val="none"/>
              </w:rPr>
              <w:t>现有工程</w:t>
            </w:r>
          </w:p>
          <w:p>
            <w:pPr>
              <w:pStyle w:val="96"/>
              <w:ind w:firstLine="0" w:firstLineChars="0"/>
              <w:rPr>
                <w:rFonts w:eastAsia="宋体"/>
                <w:color w:val="auto"/>
                <w:highlight w:val="none"/>
              </w:rPr>
            </w:pPr>
            <w:r>
              <w:rPr>
                <w:rFonts w:eastAsia="宋体"/>
                <w:color w:val="auto"/>
                <w:spacing w:val="-6"/>
                <w:kern w:val="21"/>
                <w:highlight w:val="none"/>
              </w:rPr>
              <w:t>排放量（固体废物产生量）</w:t>
            </w:r>
            <w:r>
              <w:rPr>
                <w:rFonts w:hint="eastAsia" w:ascii="宋体" w:hAnsi="宋体" w:eastAsia="宋体" w:cs="宋体"/>
                <w:color w:val="auto"/>
                <w:spacing w:val="-6"/>
                <w:kern w:val="21"/>
                <w:highlight w:val="none"/>
              </w:rPr>
              <w:t>①</w:t>
            </w:r>
          </w:p>
        </w:tc>
        <w:tc>
          <w:tcPr>
            <w:tcW w:w="1303"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96"/>
              <w:ind w:firstLine="0" w:firstLineChars="0"/>
              <w:rPr>
                <w:rFonts w:eastAsia="宋体"/>
                <w:color w:val="auto"/>
                <w:spacing w:val="-6"/>
                <w:kern w:val="21"/>
                <w:highlight w:val="none"/>
              </w:rPr>
            </w:pPr>
            <w:r>
              <w:rPr>
                <w:rFonts w:eastAsia="宋体"/>
                <w:color w:val="auto"/>
                <w:spacing w:val="-6"/>
                <w:kern w:val="21"/>
                <w:highlight w:val="none"/>
              </w:rPr>
              <w:t>现有工程</w:t>
            </w:r>
          </w:p>
          <w:p>
            <w:pPr>
              <w:pStyle w:val="96"/>
              <w:ind w:firstLine="0" w:firstLineChars="0"/>
              <w:rPr>
                <w:rFonts w:eastAsia="宋体"/>
                <w:color w:val="auto"/>
                <w:spacing w:val="-6"/>
                <w:kern w:val="21"/>
                <w:highlight w:val="none"/>
              </w:rPr>
            </w:pPr>
            <w:r>
              <w:rPr>
                <w:rFonts w:eastAsia="宋体"/>
                <w:color w:val="auto"/>
                <w:spacing w:val="-6"/>
                <w:kern w:val="21"/>
                <w:highlight w:val="none"/>
              </w:rPr>
              <w:t>许可排放量</w:t>
            </w:r>
          </w:p>
          <w:p>
            <w:pPr>
              <w:pStyle w:val="96"/>
              <w:ind w:firstLine="0" w:firstLineChars="0"/>
              <w:rPr>
                <w:rFonts w:eastAsia="宋体"/>
                <w:color w:val="auto"/>
                <w:highlight w:val="none"/>
              </w:rPr>
            </w:pPr>
            <w:r>
              <w:rPr>
                <w:rFonts w:hint="eastAsia" w:ascii="宋体" w:hAnsi="宋体" w:eastAsia="宋体" w:cs="宋体"/>
                <w:color w:val="auto"/>
                <w:spacing w:val="-6"/>
                <w:kern w:val="21"/>
                <w:highlight w:val="none"/>
              </w:rPr>
              <w:t>②</w:t>
            </w:r>
          </w:p>
        </w:tc>
        <w:tc>
          <w:tcPr>
            <w:tcW w:w="1736"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96"/>
              <w:ind w:firstLine="0" w:firstLineChars="0"/>
              <w:rPr>
                <w:rFonts w:eastAsia="宋体"/>
                <w:color w:val="auto"/>
                <w:spacing w:val="-6"/>
                <w:kern w:val="21"/>
                <w:highlight w:val="none"/>
              </w:rPr>
            </w:pPr>
            <w:r>
              <w:rPr>
                <w:rFonts w:eastAsia="宋体"/>
                <w:color w:val="auto"/>
                <w:spacing w:val="-6"/>
                <w:kern w:val="21"/>
                <w:highlight w:val="none"/>
              </w:rPr>
              <w:t>在建工程</w:t>
            </w:r>
          </w:p>
          <w:p>
            <w:pPr>
              <w:pStyle w:val="96"/>
              <w:ind w:firstLine="0" w:firstLineChars="0"/>
              <w:rPr>
                <w:rFonts w:eastAsia="宋体"/>
                <w:color w:val="auto"/>
                <w:highlight w:val="none"/>
              </w:rPr>
            </w:pPr>
            <w:r>
              <w:rPr>
                <w:rFonts w:eastAsia="宋体"/>
                <w:color w:val="auto"/>
                <w:spacing w:val="-6"/>
                <w:kern w:val="21"/>
                <w:highlight w:val="none"/>
              </w:rPr>
              <w:t>排放量（固体废物产生量）</w:t>
            </w:r>
            <w:r>
              <w:rPr>
                <w:rFonts w:hint="eastAsia" w:ascii="宋体" w:hAnsi="宋体" w:eastAsia="宋体" w:cs="宋体"/>
                <w:color w:val="auto"/>
                <w:spacing w:val="-6"/>
                <w:kern w:val="21"/>
                <w:highlight w:val="none"/>
              </w:rPr>
              <w:t>③</w:t>
            </w:r>
          </w:p>
        </w:tc>
        <w:tc>
          <w:tcPr>
            <w:tcW w:w="1587"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96"/>
              <w:ind w:firstLine="0" w:firstLineChars="0"/>
              <w:rPr>
                <w:rFonts w:hint="eastAsia" w:eastAsia="宋体"/>
                <w:color w:val="auto"/>
                <w:spacing w:val="-6"/>
                <w:kern w:val="21"/>
                <w:highlight w:val="none"/>
              </w:rPr>
            </w:pPr>
            <w:r>
              <w:rPr>
                <w:rFonts w:eastAsia="宋体"/>
                <w:color w:val="auto"/>
                <w:spacing w:val="-6"/>
                <w:kern w:val="21"/>
                <w:highlight w:val="none"/>
              </w:rPr>
              <w:t>本项目</w:t>
            </w:r>
            <w:r>
              <w:rPr>
                <w:rFonts w:hint="eastAsia" w:eastAsia="宋体"/>
                <w:color w:val="auto"/>
                <w:spacing w:val="-6"/>
                <w:kern w:val="21"/>
                <w:highlight w:val="none"/>
                <w:lang w:val="en-US" w:eastAsia="zh-CN"/>
              </w:rPr>
              <w:t>新增</w:t>
            </w:r>
          </w:p>
          <w:p>
            <w:pPr>
              <w:pStyle w:val="96"/>
              <w:ind w:firstLine="0" w:firstLineChars="0"/>
              <w:rPr>
                <w:rFonts w:eastAsia="宋体"/>
                <w:color w:val="auto"/>
                <w:highlight w:val="none"/>
              </w:rPr>
            </w:pPr>
            <w:r>
              <w:rPr>
                <w:rFonts w:eastAsia="宋体"/>
                <w:color w:val="auto"/>
                <w:spacing w:val="-6"/>
                <w:kern w:val="21"/>
                <w:highlight w:val="none"/>
              </w:rPr>
              <w:t>排放量（固体废物产生量）</w:t>
            </w:r>
            <w:r>
              <w:rPr>
                <w:rFonts w:hint="eastAsia" w:ascii="宋体" w:hAnsi="宋体" w:eastAsia="宋体" w:cs="宋体"/>
                <w:color w:val="auto"/>
                <w:spacing w:val="-6"/>
                <w:kern w:val="21"/>
                <w:highlight w:val="none"/>
              </w:rPr>
              <w:t>④</w:t>
            </w:r>
          </w:p>
        </w:tc>
        <w:tc>
          <w:tcPr>
            <w:tcW w:w="1351"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96"/>
              <w:ind w:firstLine="0" w:firstLineChars="0"/>
              <w:rPr>
                <w:rFonts w:eastAsia="宋体"/>
                <w:color w:val="auto"/>
                <w:spacing w:val="-16"/>
                <w:kern w:val="21"/>
                <w:highlight w:val="none"/>
              </w:rPr>
            </w:pPr>
            <w:r>
              <w:rPr>
                <w:rFonts w:eastAsia="宋体"/>
                <w:color w:val="auto"/>
                <w:spacing w:val="-16"/>
                <w:kern w:val="21"/>
                <w:highlight w:val="none"/>
              </w:rPr>
              <w:t>以新带老削减量</w:t>
            </w:r>
          </w:p>
          <w:p>
            <w:pPr>
              <w:pStyle w:val="96"/>
              <w:ind w:firstLine="0" w:firstLineChars="0"/>
              <w:rPr>
                <w:rFonts w:eastAsia="宋体"/>
                <w:color w:val="auto"/>
                <w:highlight w:val="none"/>
              </w:rPr>
            </w:pPr>
            <w:r>
              <w:rPr>
                <w:rFonts w:eastAsia="宋体"/>
                <w:color w:val="auto"/>
                <w:spacing w:val="-16"/>
                <w:kern w:val="21"/>
                <w:highlight w:val="none"/>
              </w:rPr>
              <w:t>（新建项目不填）</w:t>
            </w:r>
            <w:r>
              <w:rPr>
                <w:rFonts w:hint="eastAsia" w:ascii="宋体" w:hAnsi="宋体" w:eastAsia="宋体" w:cs="宋体"/>
                <w:color w:val="auto"/>
                <w:spacing w:val="-16"/>
                <w:kern w:val="21"/>
                <w:highlight w:val="none"/>
              </w:rPr>
              <w:t>⑤</w:t>
            </w:r>
          </w:p>
        </w:tc>
        <w:tc>
          <w:tcPr>
            <w:tcW w:w="1593"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96"/>
              <w:ind w:firstLine="0" w:firstLineChars="0"/>
              <w:rPr>
                <w:rFonts w:eastAsia="宋体"/>
                <w:color w:val="auto"/>
                <w:spacing w:val="-16"/>
                <w:kern w:val="21"/>
                <w:highlight w:val="none"/>
              </w:rPr>
            </w:pPr>
            <w:r>
              <w:rPr>
                <w:rFonts w:eastAsia="宋体"/>
                <w:color w:val="auto"/>
                <w:spacing w:val="-16"/>
                <w:kern w:val="21"/>
                <w:highlight w:val="none"/>
              </w:rPr>
              <w:t>本项目建成后</w:t>
            </w:r>
          </w:p>
          <w:p>
            <w:pPr>
              <w:pStyle w:val="96"/>
              <w:ind w:firstLine="0" w:firstLineChars="0"/>
              <w:rPr>
                <w:rFonts w:eastAsia="宋体"/>
                <w:color w:val="auto"/>
                <w:highlight w:val="none"/>
              </w:rPr>
            </w:pPr>
            <w:r>
              <w:rPr>
                <w:rFonts w:eastAsia="宋体"/>
                <w:color w:val="auto"/>
                <w:spacing w:val="-16"/>
                <w:kern w:val="21"/>
                <w:highlight w:val="none"/>
              </w:rPr>
              <w:t>全厂排放量（固体废物产生量）</w:t>
            </w:r>
            <w:r>
              <w:rPr>
                <w:rFonts w:hint="eastAsia" w:ascii="宋体" w:hAnsi="宋体" w:eastAsia="宋体" w:cs="宋体"/>
                <w:color w:val="auto"/>
                <w:spacing w:val="-16"/>
                <w:kern w:val="21"/>
                <w:highlight w:val="none"/>
              </w:rPr>
              <w:t>⑥</w:t>
            </w:r>
          </w:p>
        </w:tc>
        <w:tc>
          <w:tcPr>
            <w:tcW w:w="1694" w:type="dxa"/>
            <w:tcBorders>
              <w:top w:val="single" w:color="auto" w:sz="8" w:space="0"/>
              <w:left w:val="single" w:color="auto" w:sz="4" w:space="0"/>
              <w:bottom w:val="single" w:color="auto" w:sz="4" w:space="0"/>
              <w:right w:val="single" w:color="auto" w:sz="8" w:space="0"/>
            </w:tcBorders>
            <w:tcMar>
              <w:top w:w="0" w:type="dxa"/>
              <w:left w:w="28" w:type="dxa"/>
              <w:bottom w:w="0" w:type="dxa"/>
              <w:right w:w="28" w:type="dxa"/>
            </w:tcMar>
            <w:vAlign w:val="center"/>
          </w:tcPr>
          <w:p>
            <w:pPr>
              <w:pStyle w:val="96"/>
              <w:ind w:firstLine="0" w:firstLineChars="0"/>
              <w:rPr>
                <w:rFonts w:eastAsia="宋体"/>
                <w:color w:val="auto"/>
                <w:spacing w:val="-6"/>
                <w:kern w:val="21"/>
                <w:highlight w:val="none"/>
              </w:rPr>
            </w:pPr>
            <w:r>
              <w:rPr>
                <w:rFonts w:eastAsia="宋体"/>
                <w:color w:val="auto"/>
                <w:spacing w:val="-6"/>
                <w:kern w:val="21"/>
                <w:highlight w:val="none"/>
              </w:rPr>
              <w:t>变化量</w:t>
            </w:r>
          </w:p>
          <w:p>
            <w:pPr>
              <w:pStyle w:val="96"/>
              <w:ind w:firstLine="0" w:firstLineChars="0"/>
              <w:rPr>
                <w:rFonts w:eastAsia="宋体"/>
                <w:color w:val="auto"/>
                <w:highlight w:val="none"/>
              </w:rPr>
            </w:pPr>
            <w:r>
              <w:rPr>
                <w:rFonts w:hint="eastAsia" w:ascii="宋体" w:hAnsi="宋体" w:eastAsia="宋体" w:cs="宋体"/>
                <w:color w:val="auto"/>
                <w:spacing w:val="-6"/>
                <w:kern w:val="21"/>
                <w:highlight w:val="none"/>
              </w:rPr>
              <w:t>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617" w:type="dxa"/>
            <w:tcBorders>
              <w:top w:val="single" w:color="auto" w:sz="4" w:space="0"/>
              <w:left w:val="single" w:color="auto" w:sz="8" w:space="0"/>
              <w:right w:val="single" w:color="auto" w:sz="4" w:space="0"/>
            </w:tcBorders>
            <w:vAlign w:val="center"/>
          </w:tcPr>
          <w:p>
            <w:pPr>
              <w:pStyle w:val="96"/>
              <w:ind w:firstLine="0" w:firstLineChars="0"/>
              <w:rPr>
                <w:rFonts w:eastAsia="宋体"/>
                <w:color w:val="auto"/>
                <w:kern w:val="21"/>
                <w:highlight w:val="none"/>
              </w:rPr>
            </w:pPr>
            <w:r>
              <w:rPr>
                <w:rFonts w:eastAsia="宋体"/>
                <w:color w:val="auto"/>
                <w:kern w:val="21"/>
                <w:highlight w:val="none"/>
              </w:rPr>
              <w:t>废气</w:t>
            </w:r>
          </w:p>
        </w:tc>
        <w:tc>
          <w:tcPr>
            <w:tcW w:w="1441" w:type="dxa"/>
            <w:tcBorders>
              <w:top w:val="single" w:color="auto" w:sz="4" w:space="0"/>
              <w:left w:val="single" w:color="auto" w:sz="4" w:space="0"/>
              <w:bottom w:val="single" w:color="auto" w:sz="4" w:space="0"/>
              <w:right w:val="single" w:color="auto" w:sz="4" w:space="0"/>
            </w:tcBorders>
            <w:vAlign w:val="center"/>
          </w:tcPr>
          <w:p>
            <w:pPr>
              <w:pStyle w:val="96"/>
              <w:ind w:firstLine="0" w:firstLineChars="0"/>
              <w:rPr>
                <w:rFonts w:eastAsia="宋体"/>
                <w:color w:val="auto"/>
                <w:kern w:val="21"/>
                <w:highlight w:val="none"/>
              </w:rPr>
            </w:pPr>
            <w:r>
              <w:rPr>
                <w:rFonts w:eastAsia="宋体"/>
                <w:color w:val="auto"/>
                <w:kern w:val="21"/>
                <w:highlight w:val="none"/>
              </w:rPr>
              <w:t>颗粒物</w:t>
            </w:r>
          </w:p>
        </w:tc>
        <w:tc>
          <w:tcPr>
            <w:tcW w:w="173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auto"/>
                <w:kern w:val="21"/>
                <w:sz w:val="21"/>
                <w:szCs w:val="21"/>
                <w:highlight w:val="none"/>
              </w:rPr>
            </w:pPr>
            <w:r>
              <w:rPr>
                <w:rFonts w:hint="eastAsia"/>
                <w:color w:val="auto"/>
                <w:sz w:val="20"/>
                <w:highlight w:val="none"/>
              </w:rPr>
              <w:t>/</w:t>
            </w:r>
          </w:p>
        </w:tc>
        <w:tc>
          <w:tcPr>
            <w:tcW w:w="130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ind w:firstLine="0" w:firstLineChars="0"/>
              <w:jc w:val="center"/>
              <w:textAlignment w:val="center"/>
              <w:rPr>
                <w:rFonts w:hint="default" w:eastAsia="宋体"/>
                <w:color w:val="auto"/>
                <w:kern w:val="21"/>
                <w:sz w:val="21"/>
                <w:szCs w:val="21"/>
                <w:highlight w:val="none"/>
                <w:lang w:val="en-US" w:eastAsia="zh-CN"/>
              </w:rPr>
            </w:pPr>
            <w:r>
              <w:rPr>
                <w:rFonts w:hint="default" w:ascii="Times New Roman" w:hAnsi="Times New Roman" w:eastAsia="宋体" w:cs="Times New Roman"/>
                <w:i w:val="0"/>
                <w:iCs w:val="0"/>
                <w:color w:val="auto"/>
                <w:kern w:val="0"/>
                <w:sz w:val="20"/>
                <w:szCs w:val="20"/>
                <w:highlight w:val="none"/>
                <w:u w:val="none"/>
                <w:lang w:val="en-US" w:eastAsia="zh-CN" w:bidi="ar"/>
              </w:rPr>
              <w:t>15.127</w:t>
            </w:r>
          </w:p>
        </w:tc>
        <w:tc>
          <w:tcPr>
            <w:tcW w:w="173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ind w:firstLine="0" w:firstLineChars="0"/>
              <w:jc w:val="center"/>
              <w:textAlignment w:val="center"/>
              <w:rPr>
                <w:color w:val="auto"/>
                <w:kern w:val="21"/>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58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ind w:firstLine="0" w:firstLineChars="0"/>
              <w:jc w:val="center"/>
              <w:textAlignment w:val="center"/>
              <w:rPr>
                <w:rFonts w:hint="default" w:eastAsia="宋体"/>
                <w:color w:val="auto"/>
                <w:kern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3.45368</w:t>
            </w:r>
          </w:p>
        </w:tc>
        <w:tc>
          <w:tcPr>
            <w:tcW w:w="135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ind w:firstLine="0" w:firstLineChars="0"/>
              <w:jc w:val="center"/>
              <w:textAlignment w:val="center"/>
              <w:rPr>
                <w:rFonts w:ascii="Times New Roman" w:hAnsi="Times New Roman" w:eastAsia="宋体" w:cs="Times New Roman"/>
                <w:color w:val="auto"/>
                <w:spacing w:val="2"/>
                <w:position w:val="1"/>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15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firstLine="0" w:firstLineChars="0"/>
              <w:jc w:val="center"/>
              <w:textAlignment w:val="center"/>
              <w:rPr>
                <w:rFonts w:hint="default" w:ascii="Times New Roman" w:hAnsi="Times New Roman" w:eastAsia="宋体" w:cs="Times New Roman"/>
                <w:color w:val="auto"/>
                <w:spacing w:val="-6"/>
                <w:kern w:val="21"/>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18.58068</w:t>
            </w:r>
          </w:p>
        </w:tc>
        <w:tc>
          <w:tcPr>
            <w:tcW w:w="1694" w:type="dxa"/>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widowControl/>
              <w:suppressLineNumbers w:val="0"/>
              <w:ind w:firstLine="0" w:firstLineChars="0"/>
              <w:jc w:val="center"/>
              <w:textAlignment w:val="center"/>
              <w:rPr>
                <w:rFonts w:hint="default" w:ascii="Times New Roman" w:hAnsi="Times New Roman" w:eastAsia="宋体" w:cs="Times New Roman"/>
                <w:color w:val="auto"/>
                <w:spacing w:val="-6"/>
                <w:kern w:val="21"/>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3.45368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617" w:type="dxa"/>
            <w:vMerge w:val="restart"/>
            <w:tcBorders>
              <w:top w:val="single" w:color="auto" w:sz="4" w:space="0"/>
              <w:left w:val="single" w:color="auto" w:sz="8" w:space="0"/>
              <w:right w:val="single" w:color="auto" w:sz="4" w:space="0"/>
            </w:tcBorders>
            <w:vAlign w:val="center"/>
          </w:tcPr>
          <w:p>
            <w:pPr>
              <w:pStyle w:val="96"/>
              <w:ind w:firstLine="0" w:firstLineChars="0"/>
              <w:rPr>
                <w:rFonts w:eastAsia="宋体"/>
                <w:color w:val="auto"/>
                <w:kern w:val="21"/>
                <w:highlight w:val="none"/>
              </w:rPr>
            </w:pPr>
            <w:r>
              <w:rPr>
                <w:rFonts w:eastAsia="宋体"/>
                <w:color w:val="auto"/>
                <w:kern w:val="21"/>
                <w:highlight w:val="none"/>
              </w:rPr>
              <w:t>废水</w:t>
            </w:r>
          </w:p>
        </w:tc>
        <w:tc>
          <w:tcPr>
            <w:tcW w:w="1441" w:type="dxa"/>
            <w:tcBorders>
              <w:top w:val="single" w:color="auto" w:sz="4" w:space="0"/>
              <w:left w:val="single" w:color="auto" w:sz="4" w:space="0"/>
              <w:bottom w:val="single" w:color="auto" w:sz="4" w:space="0"/>
              <w:right w:val="single" w:color="auto" w:sz="4" w:space="0"/>
            </w:tcBorders>
            <w:vAlign w:val="center"/>
          </w:tcPr>
          <w:p>
            <w:pPr>
              <w:pStyle w:val="96"/>
              <w:ind w:firstLine="0" w:firstLineChars="0"/>
              <w:rPr>
                <w:rFonts w:eastAsia="宋体"/>
                <w:color w:val="auto"/>
                <w:kern w:val="21"/>
                <w:highlight w:val="none"/>
              </w:rPr>
            </w:pPr>
            <w:r>
              <w:rPr>
                <w:rFonts w:eastAsia="宋体"/>
                <w:color w:val="auto"/>
                <w:kern w:val="21"/>
                <w:highlight w:val="none"/>
              </w:rPr>
              <w:t>废水量</w:t>
            </w:r>
          </w:p>
        </w:tc>
        <w:tc>
          <w:tcPr>
            <w:tcW w:w="173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auto"/>
                <w:kern w:val="21"/>
                <w:sz w:val="21"/>
                <w:szCs w:val="21"/>
                <w:highlight w:val="none"/>
              </w:rPr>
            </w:pPr>
            <w:r>
              <w:rPr>
                <w:color w:val="auto"/>
                <w:spacing w:val="2"/>
                <w:position w:val="1"/>
                <w:sz w:val="21"/>
                <w:szCs w:val="21"/>
                <w:highlight w:val="none"/>
              </w:rPr>
              <w:t>/</w:t>
            </w:r>
          </w:p>
        </w:tc>
        <w:tc>
          <w:tcPr>
            <w:tcW w:w="130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ind w:firstLine="0" w:firstLineChars="0"/>
              <w:jc w:val="center"/>
              <w:textAlignment w:val="center"/>
              <w:rPr>
                <w:color w:val="auto"/>
                <w:kern w:val="21"/>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173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ind w:firstLine="0" w:firstLineChars="0"/>
              <w:jc w:val="center"/>
              <w:textAlignment w:val="center"/>
              <w:rPr>
                <w:color w:val="auto"/>
                <w:kern w:val="21"/>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58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ind w:firstLine="0" w:firstLineChars="0"/>
              <w:jc w:val="center"/>
              <w:textAlignment w:val="center"/>
              <w:rPr>
                <w:rFonts w:eastAsia="宋体"/>
                <w:color w:val="auto"/>
                <w:kern w:val="0"/>
                <w:position w:val="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1351"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textAlignment w:val="center"/>
              <w:rPr>
                <w:rFonts w:ascii="Times New Roman" w:hAnsi="Times New Roman" w:eastAsia="宋体" w:cs="Times New Roman"/>
                <w:color w:val="auto"/>
                <w:spacing w:val="0"/>
                <w:position w:val="1"/>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593"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textAlignment w:val="center"/>
              <w:rPr>
                <w:rFonts w:ascii="Times New Roman" w:hAnsi="Times New Roman" w:eastAsia="宋体" w:cs="Times New Roman"/>
                <w:color w:val="auto"/>
                <w:spacing w:val="0"/>
                <w:position w:val="1"/>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1694" w:type="dxa"/>
            <w:tcBorders>
              <w:top w:val="single" w:color="auto" w:sz="4" w:space="0"/>
              <w:left w:val="single" w:color="auto" w:sz="4" w:space="0"/>
              <w:bottom w:val="single" w:color="auto" w:sz="4" w:space="0"/>
              <w:right w:val="single" w:color="auto" w:sz="8" w:space="0"/>
            </w:tcBorders>
            <w:vAlign w:val="center"/>
          </w:tcPr>
          <w:p>
            <w:pPr>
              <w:widowControl/>
              <w:ind w:firstLine="0" w:firstLineChars="0"/>
              <w:jc w:val="center"/>
              <w:textAlignment w:val="center"/>
              <w:rPr>
                <w:rFonts w:ascii="Times New Roman" w:hAnsi="Times New Roman" w:eastAsia="宋体" w:cs="Times New Roman"/>
                <w:color w:val="auto"/>
                <w:spacing w:val="0"/>
                <w:position w:val="1"/>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617" w:type="dxa"/>
            <w:vMerge w:val="continue"/>
            <w:tcBorders>
              <w:left w:val="single" w:color="auto" w:sz="8" w:space="0"/>
              <w:right w:val="single" w:color="auto" w:sz="4" w:space="0"/>
            </w:tcBorders>
            <w:vAlign w:val="center"/>
          </w:tcPr>
          <w:p>
            <w:pPr>
              <w:pStyle w:val="96"/>
              <w:ind w:firstLine="0" w:firstLineChars="0"/>
              <w:rPr>
                <w:rFonts w:eastAsia="宋体"/>
                <w:color w:val="auto"/>
                <w:kern w:val="21"/>
                <w:highlight w:val="none"/>
              </w:rPr>
            </w:pPr>
          </w:p>
        </w:tc>
        <w:tc>
          <w:tcPr>
            <w:tcW w:w="1441" w:type="dxa"/>
            <w:tcBorders>
              <w:top w:val="single" w:color="auto" w:sz="4" w:space="0"/>
              <w:left w:val="single" w:color="auto" w:sz="4" w:space="0"/>
              <w:bottom w:val="single" w:color="auto" w:sz="4" w:space="0"/>
              <w:right w:val="single" w:color="auto" w:sz="4" w:space="0"/>
            </w:tcBorders>
            <w:vAlign w:val="center"/>
          </w:tcPr>
          <w:p>
            <w:pPr>
              <w:pStyle w:val="96"/>
              <w:ind w:firstLine="0" w:firstLineChars="0"/>
              <w:rPr>
                <w:rFonts w:eastAsia="宋体"/>
                <w:color w:val="auto"/>
                <w:kern w:val="21"/>
                <w:highlight w:val="none"/>
              </w:rPr>
            </w:pPr>
            <w:r>
              <w:rPr>
                <w:rFonts w:eastAsia="宋体"/>
                <w:color w:val="auto"/>
                <w:position w:val="1"/>
                <w:highlight w:val="none"/>
              </w:rPr>
              <w:t>COD</w:t>
            </w:r>
          </w:p>
        </w:tc>
        <w:tc>
          <w:tcPr>
            <w:tcW w:w="173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auto"/>
                <w:kern w:val="21"/>
                <w:sz w:val="21"/>
                <w:szCs w:val="21"/>
                <w:highlight w:val="none"/>
              </w:rPr>
            </w:pPr>
            <w:r>
              <w:rPr>
                <w:color w:val="auto"/>
                <w:spacing w:val="2"/>
                <w:position w:val="1"/>
                <w:sz w:val="21"/>
                <w:szCs w:val="21"/>
                <w:highlight w:val="none"/>
              </w:rPr>
              <w:t>/</w:t>
            </w:r>
          </w:p>
        </w:tc>
        <w:tc>
          <w:tcPr>
            <w:tcW w:w="130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ind w:firstLine="0" w:firstLineChars="0"/>
              <w:jc w:val="center"/>
              <w:textAlignment w:val="center"/>
              <w:rPr>
                <w:color w:val="auto"/>
                <w:kern w:val="21"/>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173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ind w:firstLine="0" w:firstLineChars="0"/>
              <w:jc w:val="center"/>
              <w:textAlignment w:val="center"/>
              <w:rPr>
                <w:color w:val="auto"/>
                <w:kern w:val="21"/>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587"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textAlignment w:val="center"/>
              <w:rPr>
                <w:rFonts w:eastAsia="宋体"/>
                <w:color w:val="auto"/>
                <w:kern w:val="0"/>
                <w:position w:val="1"/>
                <w:sz w:val="21"/>
                <w:szCs w:val="21"/>
                <w:highlight w:val="none"/>
              </w:rPr>
            </w:pPr>
            <w:r>
              <w:rPr>
                <w:rFonts w:hint="default" w:ascii="Times New Roman" w:hAnsi="Times New Roman" w:eastAsia="宋体" w:cs="Times New Roman"/>
                <w:i w:val="0"/>
                <w:iCs w:val="0"/>
                <w:color w:val="auto"/>
                <w:kern w:val="0"/>
                <w:sz w:val="24"/>
                <w:szCs w:val="24"/>
                <w:highlight w:val="none"/>
                <w:u w:val="none"/>
                <w:lang w:val="en-US" w:eastAsia="zh-CN" w:bidi="ar"/>
              </w:rPr>
              <w:t>0</w:t>
            </w:r>
          </w:p>
        </w:tc>
        <w:tc>
          <w:tcPr>
            <w:tcW w:w="1351"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textAlignment w:val="center"/>
              <w:rPr>
                <w:rFonts w:eastAsia="宋体"/>
                <w:color w:val="auto"/>
                <w:spacing w:val="0"/>
                <w:position w:val="1"/>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593"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textAlignment w:val="center"/>
              <w:rPr>
                <w:rFonts w:eastAsia="宋体"/>
                <w:color w:val="auto"/>
                <w:kern w:val="0"/>
                <w:position w:val="1"/>
                <w:highlight w:val="none"/>
              </w:rPr>
            </w:pPr>
            <w:r>
              <w:rPr>
                <w:rFonts w:hint="default" w:ascii="Times New Roman" w:hAnsi="Times New Roman" w:eastAsia="宋体" w:cs="Times New Roman"/>
                <w:i w:val="0"/>
                <w:iCs w:val="0"/>
                <w:color w:val="auto"/>
                <w:kern w:val="0"/>
                <w:sz w:val="24"/>
                <w:szCs w:val="24"/>
                <w:highlight w:val="none"/>
                <w:u w:val="none"/>
                <w:lang w:val="en-US" w:eastAsia="zh-CN" w:bidi="ar"/>
              </w:rPr>
              <w:t>0</w:t>
            </w:r>
          </w:p>
        </w:tc>
        <w:tc>
          <w:tcPr>
            <w:tcW w:w="1694" w:type="dxa"/>
            <w:tcBorders>
              <w:top w:val="single" w:color="auto" w:sz="4" w:space="0"/>
              <w:left w:val="single" w:color="auto" w:sz="4" w:space="0"/>
              <w:bottom w:val="single" w:color="auto" w:sz="4" w:space="0"/>
              <w:right w:val="single" w:color="auto" w:sz="8" w:space="0"/>
            </w:tcBorders>
            <w:vAlign w:val="center"/>
          </w:tcPr>
          <w:p>
            <w:pPr>
              <w:widowControl/>
              <w:ind w:firstLine="0" w:firstLineChars="0"/>
              <w:jc w:val="center"/>
              <w:textAlignment w:val="center"/>
              <w:rPr>
                <w:rFonts w:eastAsia="宋体"/>
                <w:color w:val="auto"/>
                <w:kern w:val="0"/>
                <w:position w:val="1"/>
                <w:highlight w:val="none"/>
              </w:rPr>
            </w:pPr>
            <w:r>
              <w:rPr>
                <w:rFonts w:hint="default" w:ascii="Times New Roman" w:hAnsi="Times New Roman" w:eastAsia="宋体" w:cs="Times New Roman"/>
                <w:i w:val="0"/>
                <w:iCs w:val="0"/>
                <w:color w:val="auto"/>
                <w:kern w:val="0"/>
                <w:sz w:val="24"/>
                <w:szCs w:val="24"/>
                <w:highlight w:val="none"/>
                <w:u w:val="none"/>
                <w:lang w:val="en-US" w:eastAsia="zh-CN"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617" w:type="dxa"/>
            <w:vMerge w:val="continue"/>
            <w:tcBorders>
              <w:left w:val="single" w:color="auto" w:sz="8" w:space="0"/>
              <w:right w:val="single" w:color="auto" w:sz="4" w:space="0"/>
            </w:tcBorders>
            <w:vAlign w:val="center"/>
          </w:tcPr>
          <w:p>
            <w:pPr>
              <w:pStyle w:val="96"/>
              <w:ind w:firstLine="0" w:firstLineChars="0"/>
              <w:rPr>
                <w:rFonts w:eastAsia="宋体"/>
                <w:color w:val="auto"/>
                <w:kern w:val="21"/>
                <w:highlight w:val="none"/>
              </w:rPr>
            </w:pPr>
          </w:p>
        </w:tc>
        <w:tc>
          <w:tcPr>
            <w:tcW w:w="1441" w:type="dxa"/>
            <w:tcBorders>
              <w:top w:val="single" w:color="auto" w:sz="4" w:space="0"/>
              <w:left w:val="single" w:color="auto" w:sz="4" w:space="0"/>
              <w:bottom w:val="single" w:color="auto" w:sz="4" w:space="0"/>
              <w:right w:val="single" w:color="auto" w:sz="4" w:space="0"/>
            </w:tcBorders>
            <w:vAlign w:val="center"/>
          </w:tcPr>
          <w:p>
            <w:pPr>
              <w:pStyle w:val="96"/>
              <w:ind w:firstLine="0" w:firstLineChars="0"/>
              <w:rPr>
                <w:rFonts w:eastAsia="宋体"/>
                <w:color w:val="auto"/>
                <w:kern w:val="21"/>
                <w:highlight w:val="none"/>
              </w:rPr>
            </w:pPr>
            <w:r>
              <w:rPr>
                <w:rFonts w:eastAsia="宋体"/>
                <w:color w:val="auto"/>
                <w:position w:val="1"/>
                <w:highlight w:val="none"/>
              </w:rPr>
              <w:t>NH</w:t>
            </w:r>
            <w:r>
              <w:rPr>
                <w:rFonts w:eastAsia="宋体"/>
                <w:color w:val="auto"/>
                <w:spacing w:val="5"/>
                <w:highlight w:val="none"/>
                <w:vertAlign w:val="subscript"/>
              </w:rPr>
              <w:t>3</w:t>
            </w:r>
            <w:r>
              <w:rPr>
                <w:rFonts w:eastAsia="宋体"/>
                <w:color w:val="auto"/>
                <w:spacing w:val="5"/>
                <w:position w:val="1"/>
                <w:highlight w:val="none"/>
              </w:rPr>
              <w:t>-N</w:t>
            </w:r>
          </w:p>
        </w:tc>
        <w:tc>
          <w:tcPr>
            <w:tcW w:w="173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color w:val="auto"/>
                <w:kern w:val="21"/>
                <w:sz w:val="21"/>
                <w:szCs w:val="21"/>
                <w:highlight w:val="none"/>
              </w:rPr>
            </w:pPr>
            <w:r>
              <w:rPr>
                <w:color w:val="auto"/>
                <w:spacing w:val="2"/>
                <w:position w:val="1"/>
                <w:sz w:val="21"/>
                <w:szCs w:val="21"/>
                <w:highlight w:val="none"/>
              </w:rPr>
              <w:t>/</w:t>
            </w:r>
          </w:p>
        </w:tc>
        <w:tc>
          <w:tcPr>
            <w:tcW w:w="130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ind w:firstLine="0" w:firstLineChars="0"/>
              <w:jc w:val="center"/>
              <w:textAlignment w:val="center"/>
              <w:rPr>
                <w:color w:val="auto"/>
                <w:kern w:val="21"/>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173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ind w:firstLine="0" w:firstLineChars="0"/>
              <w:jc w:val="center"/>
              <w:textAlignment w:val="center"/>
              <w:rPr>
                <w:color w:val="auto"/>
                <w:kern w:val="21"/>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587"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textAlignment w:val="center"/>
              <w:rPr>
                <w:rFonts w:eastAsia="宋体"/>
                <w:color w:val="auto"/>
                <w:kern w:val="0"/>
                <w:position w:val="1"/>
                <w:sz w:val="21"/>
                <w:szCs w:val="21"/>
                <w:highlight w:val="none"/>
              </w:rPr>
            </w:pPr>
            <w:r>
              <w:rPr>
                <w:rFonts w:hint="default" w:ascii="Times New Roman" w:hAnsi="Times New Roman" w:eastAsia="宋体" w:cs="Times New Roman"/>
                <w:i w:val="0"/>
                <w:iCs w:val="0"/>
                <w:color w:val="auto"/>
                <w:kern w:val="0"/>
                <w:sz w:val="24"/>
                <w:szCs w:val="24"/>
                <w:highlight w:val="none"/>
                <w:u w:val="none"/>
                <w:lang w:val="en-US" w:eastAsia="zh-CN" w:bidi="ar"/>
              </w:rPr>
              <w:t>0</w:t>
            </w:r>
          </w:p>
        </w:tc>
        <w:tc>
          <w:tcPr>
            <w:tcW w:w="1351"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textAlignment w:val="center"/>
              <w:rPr>
                <w:rFonts w:eastAsia="宋体"/>
                <w:color w:val="auto"/>
                <w:spacing w:val="0"/>
                <w:position w:val="1"/>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593"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textAlignment w:val="center"/>
              <w:rPr>
                <w:rFonts w:eastAsia="宋体"/>
                <w:color w:val="auto"/>
                <w:kern w:val="0"/>
                <w:position w:val="1"/>
                <w:highlight w:val="none"/>
              </w:rPr>
            </w:pPr>
            <w:r>
              <w:rPr>
                <w:rFonts w:hint="default" w:ascii="Times New Roman" w:hAnsi="Times New Roman" w:eastAsia="宋体" w:cs="Times New Roman"/>
                <w:i w:val="0"/>
                <w:iCs w:val="0"/>
                <w:color w:val="auto"/>
                <w:kern w:val="0"/>
                <w:sz w:val="24"/>
                <w:szCs w:val="24"/>
                <w:highlight w:val="none"/>
                <w:u w:val="none"/>
                <w:lang w:val="en-US" w:eastAsia="zh-CN" w:bidi="ar"/>
              </w:rPr>
              <w:t>0</w:t>
            </w:r>
          </w:p>
        </w:tc>
        <w:tc>
          <w:tcPr>
            <w:tcW w:w="1694" w:type="dxa"/>
            <w:tcBorders>
              <w:top w:val="single" w:color="auto" w:sz="4" w:space="0"/>
              <w:left w:val="single" w:color="auto" w:sz="4" w:space="0"/>
              <w:bottom w:val="single" w:color="auto" w:sz="4" w:space="0"/>
              <w:right w:val="single" w:color="auto" w:sz="8" w:space="0"/>
            </w:tcBorders>
            <w:vAlign w:val="center"/>
          </w:tcPr>
          <w:p>
            <w:pPr>
              <w:widowControl/>
              <w:ind w:firstLine="0" w:firstLineChars="0"/>
              <w:jc w:val="center"/>
              <w:textAlignment w:val="center"/>
              <w:rPr>
                <w:rFonts w:eastAsia="宋体"/>
                <w:color w:val="auto"/>
                <w:kern w:val="0"/>
                <w:position w:val="1"/>
                <w:highlight w:val="none"/>
              </w:rPr>
            </w:pPr>
            <w:r>
              <w:rPr>
                <w:rFonts w:hint="default" w:ascii="Times New Roman" w:hAnsi="Times New Roman" w:eastAsia="宋体" w:cs="Times New Roman"/>
                <w:i w:val="0"/>
                <w:iCs w:val="0"/>
                <w:color w:val="auto"/>
                <w:kern w:val="0"/>
                <w:sz w:val="24"/>
                <w:szCs w:val="24"/>
                <w:highlight w:val="none"/>
                <w:u w:val="none"/>
                <w:lang w:val="en-US" w:eastAsia="zh-CN"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617" w:type="dxa"/>
            <w:vMerge w:val="restart"/>
            <w:tcBorders>
              <w:left w:val="single" w:color="auto" w:sz="8" w:space="0"/>
              <w:right w:val="single" w:color="auto" w:sz="4" w:space="0"/>
            </w:tcBorders>
            <w:vAlign w:val="center"/>
          </w:tcPr>
          <w:p>
            <w:pPr>
              <w:pStyle w:val="96"/>
              <w:ind w:firstLine="0" w:firstLineChars="0"/>
              <w:rPr>
                <w:rFonts w:eastAsia="宋体"/>
                <w:color w:val="auto"/>
                <w:spacing w:val="-6"/>
                <w:kern w:val="21"/>
                <w:highlight w:val="none"/>
              </w:rPr>
            </w:pPr>
            <w:r>
              <w:rPr>
                <w:rFonts w:eastAsia="宋体"/>
                <w:color w:val="auto"/>
                <w:spacing w:val="-6"/>
                <w:kern w:val="21"/>
                <w:highlight w:val="none"/>
              </w:rPr>
              <w:t>一般工业固体废物</w:t>
            </w:r>
          </w:p>
        </w:tc>
        <w:tc>
          <w:tcPr>
            <w:tcW w:w="1441" w:type="dxa"/>
            <w:tcBorders>
              <w:top w:val="single" w:color="auto" w:sz="4" w:space="0"/>
              <w:left w:val="single" w:color="auto" w:sz="4" w:space="0"/>
              <w:bottom w:val="single" w:color="auto" w:sz="4" w:space="0"/>
              <w:right w:val="single" w:color="auto" w:sz="4" w:space="0"/>
            </w:tcBorders>
          </w:tcPr>
          <w:p>
            <w:pPr>
              <w:pStyle w:val="96"/>
              <w:ind w:firstLine="0" w:firstLineChars="0"/>
              <w:rPr>
                <w:rFonts w:eastAsia="宋体"/>
                <w:color w:val="auto"/>
                <w:spacing w:val="-6"/>
                <w:kern w:val="21"/>
                <w:highlight w:val="none"/>
              </w:rPr>
            </w:pPr>
            <w:r>
              <w:rPr>
                <w:rFonts w:eastAsia="宋体"/>
                <w:color w:val="auto"/>
                <w:spacing w:val="-6"/>
                <w:kern w:val="21"/>
                <w:highlight w:val="none"/>
              </w:rPr>
              <w:t>分选废料（木</w:t>
            </w:r>
          </w:p>
          <w:p>
            <w:pPr>
              <w:pStyle w:val="96"/>
              <w:ind w:firstLine="0" w:firstLineChars="0"/>
              <w:rPr>
                <w:rFonts w:eastAsia="宋体"/>
                <w:color w:val="auto"/>
                <w:spacing w:val="-6"/>
                <w:kern w:val="21"/>
                <w:highlight w:val="none"/>
              </w:rPr>
            </w:pPr>
            <w:r>
              <w:rPr>
                <w:rFonts w:eastAsia="宋体"/>
                <w:color w:val="auto"/>
                <w:spacing w:val="-6"/>
                <w:kern w:val="21"/>
                <w:highlight w:val="none"/>
              </w:rPr>
              <w:t>块、纤维等）</w:t>
            </w:r>
          </w:p>
        </w:tc>
        <w:tc>
          <w:tcPr>
            <w:tcW w:w="1736" w:type="dxa"/>
            <w:tcBorders>
              <w:top w:val="single" w:color="auto" w:sz="4" w:space="0"/>
              <w:left w:val="single" w:color="auto" w:sz="4" w:space="0"/>
              <w:bottom w:val="single" w:color="auto" w:sz="4" w:space="0"/>
              <w:right w:val="single" w:color="auto" w:sz="4" w:space="0"/>
            </w:tcBorders>
            <w:vAlign w:val="center"/>
          </w:tcPr>
          <w:p>
            <w:pPr>
              <w:pStyle w:val="96"/>
              <w:ind w:firstLine="0" w:firstLineChars="0"/>
              <w:rPr>
                <w:rFonts w:eastAsia="宋体"/>
                <w:color w:val="auto"/>
                <w:spacing w:val="-6"/>
                <w:kern w:val="21"/>
                <w:highlight w:val="none"/>
              </w:rPr>
            </w:pPr>
            <w:r>
              <w:rPr>
                <w:rFonts w:eastAsia="宋体"/>
                <w:color w:val="auto"/>
                <w:spacing w:val="-6"/>
                <w:kern w:val="21"/>
                <w:highlight w:val="none"/>
              </w:rPr>
              <w:t>/</w:t>
            </w:r>
          </w:p>
        </w:tc>
        <w:tc>
          <w:tcPr>
            <w:tcW w:w="130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ind w:firstLine="0" w:firstLineChars="0"/>
              <w:jc w:val="center"/>
              <w:textAlignment w:val="center"/>
              <w:rPr>
                <w:rFonts w:hint="default" w:eastAsia="宋体"/>
                <w:color w:val="auto"/>
                <w:spacing w:val="-6"/>
                <w:kern w:val="21"/>
                <w:highlight w:val="none"/>
                <w:lang w:val="en-US" w:eastAsia="zh-CN"/>
              </w:rPr>
            </w:pPr>
            <w:r>
              <w:rPr>
                <w:rFonts w:hint="default" w:ascii="Times New Roman" w:hAnsi="Times New Roman" w:eastAsia="宋体" w:cs="Times New Roman"/>
                <w:i w:val="0"/>
                <w:iCs w:val="0"/>
                <w:color w:val="auto"/>
                <w:kern w:val="0"/>
                <w:sz w:val="20"/>
                <w:szCs w:val="20"/>
                <w:highlight w:val="none"/>
                <w:u w:val="none"/>
                <w:lang w:val="en-US" w:eastAsia="zh-CN" w:bidi="ar"/>
              </w:rPr>
              <w:t>8000</w:t>
            </w:r>
          </w:p>
        </w:tc>
        <w:tc>
          <w:tcPr>
            <w:tcW w:w="173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ind w:firstLine="0" w:firstLineChars="0"/>
              <w:jc w:val="center"/>
              <w:textAlignment w:val="center"/>
              <w:rPr>
                <w:rFonts w:eastAsia="宋体"/>
                <w:color w:val="auto"/>
                <w:spacing w:val="-6"/>
                <w:kern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58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firstLine="0" w:firstLineChars="0"/>
              <w:jc w:val="center"/>
              <w:textAlignment w:val="center"/>
              <w:rPr>
                <w:rFonts w:hint="default" w:ascii="Times New Roman" w:hAnsi="Times New Roman" w:eastAsia="等线" w:cs="Times New Roman"/>
                <w:color w:val="auto"/>
                <w:kern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135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ind w:firstLine="0" w:firstLineChars="0"/>
              <w:jc w:val="center"/>
              <w:textAlignment w:val="center"/>
              <w:rPr>
                <w:rFonts w:hint="default" w:ascii="Times New Roman" w:hAnsi="Times New Roman" w:eastAsia="宋体" w:cs="Times New Roman"/>
                <w:color w:val="auto"/>
                <w:kern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7.7539</w:t>
            </w:r>
          </w:p>
        </w:tc>
        <w:tc>
          <w:tcPr>
            <w:tcW w:w="15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ind w:firstLine="0" w:firstLineChars="0"/>
              <w:jc w:val="center"/>
              <w:textAlignment w:val="center"/>
              <w:rPr>
                <w:rFonts w:hint="default" w:ascii="Times New Roman" w:hAnsi="Times New Roman" w:eastAsia="宋体" w:cs="Times New Roman"/>
                <w:color w:val="auto"/>
                <w:kern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7992.2461</w:t>
            </w:r>
          </w:p>
        </w:tc>
        <w:tc>
          <w:tcPr>
            <w:tcW w:w="1694" w:type="dxa"/>
            <w:tcBorders>
              <w:top w:val="single" w:color="auto" w:sz="4" w:space="0"/>
              <w:left w:val="single" w:color="auto" w:sz="4" w:space="0"/>
              <w:bottom w:val="single" w:color="auto" w:sz="4" w:space="0"/>
              <w:right w:val="single" w:color="auto" w:sz="8" w:space="0"/>
            </w:tcBorders>
            <w:shd w:val="clear" w:color="auto" w:fill="auto"/>
            <w:vAlign w:val="center"/>
          </w:tcPr>
          <w:p>
            <w:pPr>
              <w:keepNext w:val="0"/>
              <w:keepLines w:val="0"/>
              <w:widowControl/>
              <w:suppressLineNumbers w:val="0"/>
              <w:ind w:firstLine="0" w:firstLineChars="0"/>
              <w:jc w:val="center"/>
              <w:textAlignment w:val="center"/>
              <w:rPr>
                <w:rFonts w:hint="default" w:ascii="Times New Roman" w:hAnsi="Times New Roman" w:eastAsia="宋体" w:cs="Times New Roman"/>
                <w:color w:val="auto"/>
                <w:kern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-7.7539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617" w:type="dxa"/>
            <w:vMerge w:val="continue"/>
            <w:tcBorders>
              <w:left w:val="single" w:color="auto" w:sz="8" w:space="0"/>
              <w:right w:val="single" w:color="auto" w:sz="4" w:space="0"/>
            </w:tcBorders>
            <w:vAlign w:val="center"/>
          </w:tcPr>
          <w:p>
            <w:pPr>
              <w:pStyle w:val="96"/>
              <w:ind w:firstLine="0" w:firstLineChars="0"/>
              <w:rPr>
                <w:rFonts w:eastAsia="宋体"/>
                <w:color w:val="auto"/>
                <w:spacing w:val="-6"/>
                <w:kern w:val="21"/>
                <w:highlight w:val="none"/>
              </w:rPr>
            </w:pPr>
          </w:p>
        </w:tc>
        <w:tc>
          <w:tcPr>
            <w:tcW w:w="1441" w:type="dxa"/>
            <w:tcBorders>
              <w:top w:val="single" w:color="auto" w:sz="4" w:space="0"/>
              <w:left w:val="single" w:color="auto" w:sz="4" w:space="0"/>
              <w:bottom w:val="single" w:color="auto" w:sz="4" w:space="0"/>
              <w:right w:val="single" w:color="auto" w:sz="4" w:space="0"/>
            </w:tcBorders>
          </w:tcPr>
          <w:p>
            <w:pPr>
              <w:pStyle w:val="96"/>
              <w:ind w:firstLine="0" w:firstLineChars="0"/>
              <w:rPr>
                <w:rFonts w:ascii="Times New Roman" w:hAnsi="Times New Roman" w:eastAsia="宋体" w:cs="Times New Roman"/>
                <w:color w:val="auto"/>
                <w:position w:val="1"/>
                <w:highlight w:val="none"/>
              </w:rPr>
            </w:pPr>
            <w:r>
              <w:rPr>
                <w:rFonts w:ascii="Times New Roman" w:hAnsi="Times New Roman" w:eastAsia="宋体" w:cs="Times New Roman"/>
                <w:color w:val="auto"/>
                <w:position w:val="1"/>
                <w:highlight w:val="none"/>
              </w:rPr>
              <w:t>有色金属</w:t>
            </w:r>
          </w:p>
        </w:tc>
        <w:tc>
          <w:tcPr>
            <w:tcW w:w="1736" w:type="dxa"/>
            <w:tcBorders>
              <w:top w:val="single" w:color="auto" w:sz="4" w:space="0"/>
              <w:left w:val="single" w:color="auto" w:sz="4" w:space="0"/>
              <w:bottom w:val="single" w:color="auto" w:sz="4" w:space="0"/>
              <w:right w:val="single" w:color="auto" w:sz="4" w:space="0"/>
            </w:tcBorders>
            <w:vAlign w:val="center"/>
          </w:tcPr>
          <w:p>
            <w:pPr>
              <w:pStyle w:val="96"/>
              <w:ind w:firstLine="0" w:firstLineChars="0"/>
              <w:rPr>
                <w:rFonts w:ascii="Times New Roman" w:hAnsi="Times New Roman" w:eastAsia="宋体" w:cs="Times New Roman"/>
                <w:color w:val="auto"/>
                <w:position w:val="1"/>
                <w:highlight w:val="none"/>
              </w:rPr>
            </w:pPr>
            <w:r>
              <w:rPr>
                <w:rFonts w:ascii="Times New Roman" w:hAnsi="Times New Roman" w:eastAsia="宋体" w:cs="Times New Roman"/>
                <w:color w:val="auto"/>
                <w:position w:val="1"/>
                <w:highlight w:val="none"/>
              </w:rPr>
              <w:t>/</w:t>
            </w:r>
          </w:p>
        </w:tc>
        <w:tc>
          <w:tcPr>
            <w:tcW w:w="130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ind w:firstLine="0" w:firstLineChars="0"/>
              <w:jc w:val="center"/>
              <w:textAlignment w:val="center"/>
              <w:rPr>
                <w:rFonts w:eastAsia="宋体"/>
                <w:color w:val="auto"/>
                <w:spacing w:val="-6"/>
                <w:kern w:val="21"/>
                <w:highlight w:val="none"/>
              </w:rPr>
            </w:pPr>
            <w:r>
              <w:rPr>
                <w:rFonts w:hint="default" w:ascii="Times New Roman" w:hAnsi="Times New Roman" w:eastAsia="宋体" w:cs="Times New Roman"/>
                <w:i w:val="0"/>
                <w:iCs w:val="0"/>
                <w:color w:val="auto"/>
                <w:kern w:val="0"/>
                <w:sz w:val="20"/>
                <w:szCs w:val="20"/>
                <w:highlight w:val="none"/>
                <w:u w:val="none"/>
                <w:lang w:val="en-US" w:eastAsia="zh-CN" w:bidi="ar"/>
              </w:rPr>
              <w:t>1000</w:t>
            </w:r>
          </w:p>
        </w:tc>
        <w:tc>
          <w:tcPr>
            <w:tcW w:w="173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ind w:firstLine="0" w:firstLineChars="0"/>
              <w:jc w:val="center"/>
              <w:textAlignment w:val="center"/>
              <w:rPr>
                <w:rFonts w:eastAsia="宋体"/>
                <w:color w:val="auto"/>
                <w:spacing w:val="-6"/>
                <w:kern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58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ind w:firstLine="0" w:firstLineChars="0"/>
              <w:jc w:val="center"/>
              <w:textAlignment w:val="center"/>
              <w:rPr>
                <w:rFonts w:hint="default" w:eastAsia="宋体"/>
                <w:color w:val="auto"/>
                <w:spacing w:val="-6"/>
                <w:kern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135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ind w:firstLine="0" w:firstLineChars="0"/>
              <w:jc w:val="center"/>
              <w:textAlignment w:val="center"/>
              <w:rPr>
                <w:rFonts w:eastAsia="宋体"/>
                <w:color w:val="auto"/>
                <w:kern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59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ind w:firstLine="0" w:firstLineChars="0"/>
              <w:jc w:val="center"/>
              <w:textAlignment w:val="center"/>
              <w:rPr>
                <w:rFonts w:hint="default" w:eastAsia="宋体"/>
                <w:color w:val="auto"/>
                <w:kern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1100</w:t>
            </w:r>
          </w:p>
        </w:tc>
        <w:tc>
          <w:tcPr>
            <w:tcW w:w="1694" w:type="dxa"/>
            <w:tcBorders>
              <w:top w:val="single" w:color="auto" w:sz="4" w:space="0"/>
              <w:left w:val="single" w:color="auto" w:sz="4" w:space="0"/>
              <w:bottom w:val="single" w:color="auto" w:sz="4" w:space="0"/>
              <w:right w:val="single" w:color="auto" w:sz="8" w:space="0"/>
            </w:tcBorders>
            <w:vAlign w:val="center"/>
          </w:tcPr>
          <w:p>
            <w:pPr>
              <w:keepNext w:val="0"/>
              <w:keepLines w:val="0"/>
              <w:widowControl/>
              <w:suppressLineNumbers w:val="0"/>
              <w:ind w:firstLine="0" w:firstLineChars="0"/>
              <w:jc w:val="center"/>
              <w:textAlignment w:val="center"/>
              <w:rPr>
                <w:rFonts w:eastAsia="宋体"/>
                <w:color w:val="auto"/>
                <w:kern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617" w:type="dxa"/>
            <w:vMerge w:val="continue"/>
            <w:tcBorders>
              <w:left w:val="single" w:color="auto" w:sz="8" w:space="0"/>
              <w:right w:val="single" w:color="auto" w:sz="4" w:space="0"/>
            </w:tcBorders>
            <w:vAlign w:val="center"/>
          </w:tcPr>
          <w:p>
            <w:pPr>
              <w:pStyle w:val="96"/>
              <w:ind w:firstLine="0" w:firstLineChars="0"/>
              <w:rPr>
                <w:rFonts w:eastAsia="宋体"/>
                <w:color w:val="auto"/>
                <w:spacing w:val="-6"/>
                <w:kern w:val="21"/>
                <w:highlight w:val="none"/>
              </w:rPr>
            </w:pPr>
          </w:p>
        </w:tc>
        <w:tc>
          <w:tcPr>
            <w:tcW w:w="1441" w:type="dxa"/>
            <w:tcBorders>
              <w:top w:val="single" w:color="auto" w:sz="4" w:space="0"/>
              <w:left w:val="single" w:color="auto" w:sz="4" w:space="0"/>
              <w:bottom w:val="single" w:color="auto" w:sz="4" w:space="0"/>
              <w:right w:val="single" w:color="auto" w:sz="4" w:space="0"/>
            </w:tcBorders>
            <w:vAlign w:val="center"/>
          </w:tcPr>
          <w:p>
            <w:pPr>
              <w:pStyle w:val="96"/>
              <w:ind w:firstLine="0" w:firstLineChars="0"/>
              <w:rPr>
                <w:rFonts w:ascii="Times New Roman" w:hAnsi="Times New Roman" w:eastAsia="宋体" w:cs="Times New Roman"/>
                <w:color w:val="auto"/>
                <w:position w:val="1"/>
                <w:highlight w:val="none"/>
              </w:rPr>
            </w:pPr>
            <w:r>
              <w:rPr>
                <w:rFonts w:ascii="Times New Roman" w:hAnsi="Times New Roman" w:eastAsia="宋体" w:cs="Times New Roman"/>
                <w:color w:val="auto"/>
                <w:position w:val="1"/>
                <w:highlight w:val="none"/>
              </w:rPr>
              <w:t>污泥</w:t>
            </w:r>
          </w:p>
        </w:tc>
        <w:tc>
          <w:tcPr>
            <w:tcW w:w="1736" w:type="dxa"/>
            <w:tcBorders>
              <w:top w:val="single" w:color="auto" w:sz="4" w:space="0"/>
              <w:left w:val="single" w:color="auto" w:sz="4" w:space="0"/>
              <w:bottom w:val="single" w:color="auto" w:sz="4" w:space="0"/>
              <w:right w:val="single" w:color="auto" w:sz="4" w:space="0"/>
            </w:tcBorders>
            <w:vAlign w:val="center"/>
          </w:tcPr>
          <w:p>
            <w:pPr>
              <w:pStyle w:val="96"/>
              <w:ind w:firstLine="0" w:firstLineChars="0"/>
              <w:rPr>
                <w:rFonts w:ascii="Times New Roman" w:hAnsi="Times New Roman" w:eastAsia="宋体" w:cs="Times New Roman"/>
                <w:color w:val="auto"/>
                <w:position w:val="1"/>
                <w:highlight w:val="none"/>
              </w:rPr>
            </w:pPr>
            <w:r>
              <w:rPr>
                <w:rFonts w:hint="eastAsia" w:ascii="Times New Roman" w:hAnsi="Times New Roman" w:eastAsia="宋体" w:cs="Times New Roman"/>
                <w:color w:val="auto"/>
                <w:position w:val="1"/>
                <w:highlight w:val="none"/>
              </w:rPr>
              <w:t>0</w:t>
            </w:r>
          </w:p>
        </w:tc>
        <w:tc>
          <w:tcPr>
            <w:tcW w:w="130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ind w:firstLine="0" w:firstLineChars="0"/>
              <w:jc w:val="center"/>
              <w:textAlignment w:val="center"/>
              <w:rPr>
                <w:rFonts w:eastAsia="宋体"/>
                <w:color w:val="auto"/>
                <w:spacing w:val="-6"/>
                <w:kern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173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ind w:firstLine="0" w:firstLineChars="0"/>
              <w:jc w:val="center"/>
              <w:textAlignment w:val="center"/>
              <w:rPr>
                <w:rFonts w:eastAsia="宋体"/>
                <w:color w:val="auto"/>
                <w:spacing w:val="-6"/>
                <w:kern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58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ind w:firstLine="0" w:firstLineChars="0"/>
              <w:jc w:val="center"/>
              <w:textAlignment w:val="center"/>
              <w:rPr>
                <w:rFonts w:hint="default" w:eastAsia="宋体"/>
                <w:color w:val="auto"/>
                <w:spacing w:val="-6"/>
                <w:kern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428.0841</w:t>
            </w:r>
          </w:p>
        </w:tc>
        <w:tc>
          <w:tcPr>
            <w:tcW w:w="135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ind w:firstLine="0" w:firstLineChars="0"/>
              <w:jc w:val="center"/>
              <w:textAlignment w:val="center"/>
              <w:rPr>
                <w:rFonts w:eastAsia="宋体"/>
                <w:color w:val="auto"/>
                <w:kern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59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ind w:firstLine="0" w:firstLineChars="0"/>
              <w:jc w:val="center"/>
              <w:textAlignment w:val="center"/>
              <w:rPr>
                <w:rFonts w:hint="default" w:eastAsia="宋体"/>
                <w:color w:val="auto"/>
                <w:kern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428.0841</w:t>
            </w:r>
          </w:p>
        </w:tc>
        <w:tc>
          <w:tcPr>
            <w:tcW w:w="1694" w:type="dxa"/>
            <w:tcBorders>
              <w:top w:val="single" w:color="auto" w:sz="4" w:space="0"/>
              <w:left w:val="single" w:color="auto" w:sz="4" w:space="0"/>
              <w:bottom w:val="single" w:color="auto" w:sz="4" w:space="0"/>
              <w:right w:val="single" w:color="auto" w:sz="8" w:space="0"/>
            </w:tcBorders>
            <w:vAlign w:val="center"/>
          </w:tcPr>
          <w:p>
            <w:pPr>
              <w:keepNext w:val="0"/>
              <w:keepLines w:val="0"/>
              <w:widowControl/>
              <w:suppressLineNumbers w:val="0"/>
              <w:ind w:firstLine="0" w:firstLineChars="0"/>
              <w:jc w:val="center"/>
              <w:textAlignment w:val="center"/>
              <w:rPr>
                <w:rFonts w:eastAsia="宋体"/>
                <w:color w:val="auto"/>
                <w:kern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428.0841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617" w:type="dxa"/>
            <w:vMerge w:val="restart"/>
            <w:tcBorders>
              <w:left w:val="single" w:color="auto" w:sz="8" w:space="0"/>
              <w:right w:val="single" w:color="auto" w:sz="4" w:space="0"/>
            </w:tcBorders>
            <w:vAlign w:val="center"/>
          </w:tcPr>
          <w:p>
            <w:pPr>
              <w:pStyle w:val="96"/>
              <w:ind w:firstLine="0" w:firstLineChars="0"/>
              <w:rPr>
                <w:rFonts w:eastAsia="宋体"/>
                <w:color w:val="auto"/>
                <w:spacing w:val="-6"/>
                <w:kern w:val="21"/>
                <w:highlight w:val="none"/>
              </w:rPr>
            </w:pPr>
            <w:r>
              <w:rPr>
                <w:rFonts w:eastAsia="宋体"/>
                <w:color w:val="auto"/>
                <w:spacing w:val="-6"/>
                <w:kern w:val="21"/>
                <w:highlight w:val="none"/>
              </w:rPr>
              <w:t>危险废物</w:t>
            </w:r>
          </w:p>
        </w:tc>
        <w:tc>
          <w:tcPr>
            <w:tcW w:w="1441" w:type="dxa"/>
            <w:tcBorders>
              <w:top w:val="single" w:color="auto" w:sz="4" w:space="0"/>
              <w:left w:val="single" w:color="auto" w:sz="4" w:space="0"/>
              <w:bottom w:val="single" w:color="auto" w:sz="4" w:space="0"/>
              <w:right w:val="single" w:color="auto" w:sz="4" w:space="0"/>
            </w:tcBorders>
            <w:vAlign w:val="center"/>
          </w:tcPr>
          <w:p>
            <w:pPr>
              <w:pStyle w:val="96"/>
              <w:ind w:firstLine="0" w:firstLineChars="0"/>
              <w:rPr>
                <w:rFonts w:eastAsia="宋体"/>
                <w:color w:val="auto"/>
                <w:spacing w:val="-6"/>
                <w:kern w:val="21"/>
                <w:highlight w:val="none"/>
              </w:rPr>
            </w:pPr>
            <w:r>
              <w:rPr>
                <w:rFonts w:hint="eastAsia" w:eastAsia="宋体"/>
                <w:color w:val="auto"/>
                <w:spacing w:val="-6"/>
                <w:kern w:val="21"/>
                <w:highlight w:val="none"/>
              </w:rPr>
              <w:t>废液压油和润</w:t>
            </w:r>
          </w:p>
          <w:p>
            <w:pPr>
              <w:pStyle w:val="96"/>
              <w:ind w:firstLine="0" w:firstLineChars="0"/>
              <w:rPr>
                <w:rFonts w:eastAsia="宋体"/>
                <w:color w:val="auto"/>
                <w:spacing w:val="-6"/>
                <w:kern w:val="21"/>
                <w:highlight w:val="none"/>
              </w:rPr>
            </w:pPr>
            <w:r>
              <w:rPr>
                <w:rFonts w:hint="eastAsia" w:eastAsia="宋体"/>
                <w:color w:val="auto"/>
                <w:spacing w:val="-6"/>
                <w:kern w:val="21"/>
                <w:highlight w:val="none"/>
              </w:rPr>
              <w:t>滑油</w:t>
            </w:r>
          </w:p>
        </w:tc>
        <w:tc>
          <w:tcPr>
            <w:tcW w:w="1736" w:type="dxa"/>
            <w:tcBorders>
              <w:top w:val="single" w:color="auto" w:sz="4" w:space="0"/>
              <w:left w:val="single" w:color="auto" w:sz="4" w:space="0"/>
              <w:bottom w:val="single" w:color="auto" w:sz="4" w:space="0"/>
              <w:right w:val="single" w:color="auto" w:sz="4" w:space="0"/>
            </w:tcBorders>
            <w:vAlign w:val="center"/>
          </w:tcPr>
          <w:p>
            <w:pPr>
              <w:pStyle w:val="96"/>
              <w:ind w:firstLine="0" w:firstLineChars="0"/>
              <w:rPr>
                <w:rFonts w:eastAsia="宋体"/>
                <w:color w:val="auto"/>
                <w:spacing w:val="-6"/>
                <w:kern w:val="21"/>
                <w:highlight w:val="none"/>
              </w:rPr>
            </w:pPr>
            <w:r>
              <w:rPr>
                <w:rFonts w:eastAsia="宋体"/>
                <w:color w:val="auto"/>
                <w:spacing w:val="-6"/>
                <w:kern w:val="21"/>
                <w:highlight w:val="none"/>
              </w:rPr>
              <w:t>/</w:t>
            </w:r>
          </w:p>
        </w:tc>
        <w:tc>
          <w:tcPr>
            <w:tcW w:w="130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ind w:firstLine="0" w:firstLineChars="0"/>
              <w:jc w:val="center"/>
              <w:textAlignment w:val="center"/>
              <w:rPr>
                <w:rFonts w:hint="eastAsia" w:eastAsia="宋体"/>
                <w:color w:val="auto"/>
                <w:spacing w:val="-6"/>
                <w:kern w:val="21"/>
                <w:highlight w:val="none"/>
                <w:lang w:eastAsia="zh-CN"/>
              </w:rPr>
            </w:pPr>
            <w:r>
              <w:rPr>
                <w:rFonts w:hint="default" w:ascii="Times New Roman" w:hAnsi="Times New Roman" w:eastAsia="宋体" w:cs="Times New Roman"/>
                <w:i w:val="0"/>
                <w:iCs w:val="0"/>
                <w:color w:val="auto"/>
                <w:kern w:val="0"/>
                <w:sz w:val="20"/>
                <w:szCs w:val="20"/>
                <w:highlight w:val="none"/>
                <w:u w:val="none"/>
                <w:lang w:val="en-US" w:eastAsia="zh-CN" w:bidi="ar"/>
              </w:rPr>
              <w:t>2</w:t>
            </w:r>
          </w:p>
        </w:tc>
        <w:tc>
          <w:tcPr>
            <w:tcW w:w="173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ind w:firstLine="0" w:firstLineChars="0"/>
              <w:jc w:val="center"/>
              <w:textAlignment w:val="center"/>
              <w:rPr>
                <w:rFonts w:eastAsia="宋体"/>
                <w:color w:val="auto"/>
                <w:spacing w:val="-6"/>
                <w:kern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58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ind w:firstLine="0" w:firstLineChars="0"/>
              <w:jc w:val="center"/>
              <w:textAlignment w:val="center"/>
              <w:rPr>
                <w:rFonts w:hint="default" w:eastAsia="宋体"/>
                <w:color w:val="auto"/>
                <w:spacing w:val="-6"/>
                <w:kern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0.2</w:t>
            </w:r>
          </w:p>
        </w:tc>
        <w:tc>
          <w:tcPr>
            <w:tcW w:w="135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ind w:firstLine="0" w:firstLineChars="0"/>
              <w:jc w:val="center"/>
              <w:textAlignment w:val="center"/>
              <w:rPr>
                <w:rFonts w:eastAsia="宋体"/>
                <w:color w:val="auto"/>
                <w:kern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59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ind w:firstLine="0" w:firstLineChars="0"/>
              <w:jc w:val="center"/>
              <w:textAlignment w:val="center"/>
              <w:rPr>
                <w:rFonts w:hint="default" w:eastAsia="宋体"/>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2.2</w:t>
            </w:r>
          </w:p>
        </w:tc>
        <w:tc>
          <w:tcPr>
            <w:tcW w:w="1694" w:type="dxa"/>
            <w:tcBorders>
              <w:top w:val="single" w:color="auto" w:sz="4" w:space="0"/>
              <w:left w:val="single" w:color="auto" w:sz="4" w:space="0"/>
              <w:bottom w:val="single" w:color="auto" w:sz="4" w:space="0"/>
              <w:right w:val="single" w:color="auto" w:sz="8" w:space="0"/>
            </w:tcBorders>
            <w:vAlign w:val="center"/>
          </w:tcPr>
          <w:p>
            <w:pPr>
              <w:keepNext w:val="0"/>
              <w:keepLines w:val="0"/>
              <w:widowControl/>
              <w:suppressLineNumbers w:val="0"/>
              <w:ind w:firstLine="0" w:firstLineChars="0"/>
              <w:jc w:val="center"/>
              <w:textAlignment w:val="center"/>
              <w:rPr>
                <w:rFonts w:hint="default" w:eastAsia="宋体"/>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617" w:type="dxa"/>
            <w:vMerge w:val="continue"/>
            <w:tcBorders>
              <w:left w:val="single" w:color="auto" w:sz="8" w:space="0"/>
              <w:bottom w:val="single" w:color="auto" w:sz="4" w:space="0"/>
              <w:right w:val="single" w:color="auto" w:sz="4" w:space="0"/>
            </w:tcBorders>
            <w:vAlign w:val="center"/>
          </w:tcPr>
          <w:p>
            <w:pPr>
              <w:pStyle w:val="96"/>
              <w:ind w:firstLine="0" w:firstLineChars="0"/>
              <w:rPr>
                <w:rFonts w:eastAsia="宋体"/>
                <w:color w:val="auto"/>
                <w:spacing w:val="-6"/>
                <w:kern w:val="21"/>
                <w:highlight w:val="none"/>
              </w:rPr>
            </w:pPr>
          </w:p>
        </w:tc>
        <w:tc>
          <w:tcPr>
            <w:tcW w:w="1441" w:type="dxa"/>
            <w:tcBorders>
              <w:top w:val="single" w:color="auto" w:sz="4" w:space="0"/>
              <w:left w:val="single" w:color="auto" w:sz="4" w:space="0"/>
              <w:bottom w:val="single" w:color="auto" w:sz="4" w:space="0"/>
              <w:right w:val="single" w:color="auto" w:sz="4" w:space="0"/>
            </w:tcBorders>
            <w:vAlign w:val="center"/>
          </w:tcPr>
          <w:p>
            <w:pPr>
              <w:pStyle w:val="96"/>
              <w:ind w:firstLine="0" w:firstLineChars="0"/>
              <w:rPr>
                <w:rFonts w:eastAsia="宋体"/>
                <w:color w:val="auto"/>
                <w:spacing w:val="-6"/>
                <w:kern w:val="21"/>
                <w:highlight w:val="none"/>
              </w:rPr>
            </w:pPr>
            <w:r>
              <w:rPr>
                <w:rFonts w:eastAsia="宋体"/>
                <w:color w:val="auto"/>
                <w:spacing w:val="-6"/>
                <w:kern w:val="21"/>
                <w:highlight w:val="none"/>
              </w:rPr>
              <w:t>含油抹布</w:t>
            </w:r>
          </w:p>
        </w:tc>
        <w:tc>
          <w:tcPr>
            <w:tcW w:w="1736" w:type="dxa"/>
            <w:tcBorders>
              <w:top w:val="single" w:color="auto" w:sz="4" w:space="0"/>
              <w:left w:val="single" w:color="auto" w:sz="4" w:space="0"/>
              <w:bottom w:val="single" w:color="auto" w:sz="4" w:space="0"/>
              <w:right w:val="single" w:color="auto" w:sz="4" w:space="0"/>
            </w:tcBorders>
            <w:vAlign w:val="center"/>
          </w:tcPr>
          <w:p>
            <w:pPr>
              <w:pStyle w:val="96"/>
              <w:ind w:firstLine="0" w:firstLineChars="0"/>
              <w:rPr>
                <w:rFonts w:eastAsia="宋体"/>
                <w:color w:val="auto"/>
                <w:spacing w:val="-6"/>
                <w:kern w:val="21"/>
                <w:highlight w:val="none"/>
              </w:rPr>
            </w:pPr>
            <w:r>
              <w:rPr>
                <w:rFonts w:hint="eastAsia" w:eastAsia="宋体"/>
                <w:color w:val="auto"/>
                <w:spacing w:val="-6"/>
                <w:kern w:val="21"/>
                <w:highlight w:val="none"/>
              </w:rPr>
              <w:t>/</w:t>
            </w:r>
          </w:p>
        </w:tc>
        <w:tc>
          <w:tcPr>
            <w:tcW w:w="130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ind w:firstLine="0" w:firstLineChars="0"/>
              <w:jc w:val="center"/>
              <w:textAlignment w:val="center"/>
              <w:rPr>
                <w:rFonts w:eastAsia="宋体"/>
                <w:color w:val="auto"/>
                <w:spacing w:val="-6"/>
                <w:kern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736"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ind w:firstLine="0" w:firstLineChars="0"/>
              <w:jc w:val="center"/>
              <w:textAlignment w:val="center"/>
              <w:rPr>
                <w:rFonts w:eastAsia="宋体"/>
                <w:color w:val="auto"/>
                <w:spacing w:val="-6"/>
                <w:kern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587"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ind w:firstLine="0" w:firstLineChars="0"/>
              <w:jc w:val="center"/>
              <w:textAlignment w:val="center"/>
              <w:rPr>
                <w:rFonts w:hint="eastAsia" w:eastAsia="宋体"/>
                <w:color w:val="auto"/>
                <w:spacing w:val="-6"/>
                <w:kern w:val="21"/>
                <w:highlight w:val="no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1351"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ind w:firstLine="0" w:firstLineChars="0"/>
              <w:jc w:val="center"/>
              <w:textAlignment w:val="center"/>
              <w:rPr>
                <w:rFonts w:eastAsia="宋体"/>
                <w:color w:val="auto"/>
                <w:kern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159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ind w:firstLine="0" w:firstLineChars="0"/>
              <w:jc w:val="center"/>
              <w:textAlignment w:val="center"/>
              <w:rPr>
                <w:rFonts w:eastAsia="宋体"/>
                <w:color w:val="auto"/>
                <w:kern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694" w:type="dxa"/>
            <w:tcBorders>
              <w:top w:val="single" w:color="auto" w:sz="4" w:space="0"/>
              <w:left w:val="single" w:color="auto" w:sz="4" w:space="0"/>
              <w:bottom w:val="single" w:color="auto" w:sz="4" w:space="0"/>
              <w:right w:val="single" w:color="auto" w:sz="8" w:space="0"/>
            </w:tcBorders>
            <w:vAlign w:val="center"/>
          </w:tcPr>
          <w:p>
            <w:pPr>
              <w:keepNext w:val="0"/>
              <w:keepLines w:val="0"/>
              <w:widowControl/>
              <w:suppressLineNumbers w:val="0"/>
              <w:ind w:firstLine="0" w:firstLineChars="0"/>
              <w:jc w:val="center"/>
              <w:textAlignment w:val="center"/>
              <w:rPr>
                <w:rFonts w:eastAsia="宋体"/>
                <w:color w:val="auto"/>
                <w:kern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r>
    </w:tbl>
    <w:p>
      <w:pPr>
        <w:ind w:firstLine="480"/>
        <w:rPr>
          <w:color w:val="auto"/>
          <w:highlight w:val="none"/>
        </w:rPr>
      </w:pPr>
      <w:r>
        <w:rPr>
          <w:color w:val="auto"/>
          <w:kern w:val="21"/>
          <w:highlight w:val="none"/>
        </w:rPr>
        <w:t>注：</w:t>
      </w:r>
      <w:r>
        <w:rPr>
          <w:rFonts w:hint="eastAsia" w:ascii="宋体" w:hAnsi="宋体" w:cs="宋体"/>
          <w:color w:val="auto"/>
          <w:highlight w:val="none"/>
        </w:rPr>
        <w:t>⑥</w:t>
      </w:r>
      <w:r>
        <w:rPr>
          <w:color w:val="auto"/>
          <w:spacing w:val="-16"/>
          <w:kern w:val="21"/>
          <w:highlight w:val="none"/>
        </w:rPr>
        <w:t>=</w:t>
      </w:r>
      <w:r>
        <w:rPr>
          <w:rFonts w:hint="eastAsia" w:ascii="宋体" w:hAnsi="宋体" w:cs="宋体"/>
          <w:color w:val="auto"/>
          <w:highlight w:val="none"/>
        </w:rPr>
        <w:t>①</w:t>
      </w:r>
      <w:r>
        <w:rPr>
          <w:color w:val="auto"/>
          <w:spacing w:val="-6"/>
          <w:kern w:val="21"/>
          <w:highlight w:val="none"/>
        </w:rPr>
        <w:t>+</w:t>
      </w:r>
      <w:r>
        <w:rPr>
          <w:rFonts w:hint="eastAsia" w:ascii="宋体" w:hAnsi="宋体" w:cs="宋体"/>
          <w:color w:val="auto"/>
          <w:highlight w:val="none"/>
        </w:rPr>
        <w:t>③</w:t>
      </w:r>
      <w:r>
        <w:rPr>
          <w:color w:val="auto"/>
          <w:spacing w:val="-6"/>
          <w:kern w:val="21"/>
          <w:highlight w:val="none"/>
        </w:rPr>
        <w:t>+</w:t>
      </w:r>
      <w:r>
        <w:rPr>
          <w:rFonts w:hint="eastAsia" w:ascii="宋体" w:hAnsi="宋体" w:cs="宋体"/>
          <w:color w:val="auto"/>
          <w:highlight w:val="none"/>
        </w:rPr>
        <w:t>④</w:t>
      </w:r>
      <w:r>
        <w:rPr>
          <w:color w:val="auto"/>
          <w:spacing w:val="-6"/>
          <w:kern w:val="21"/>
          <w:highlight w:val="none"/>
        </w:rPr>
        <w:t>-</w:t>
      </w:r>
      <w:r>
        <w:rPr>
          <w:rFonts w:hint="eastAsia" w:ascii="宋体" w:hAnsi="宋体" w:cs="宋体"/>
          <w:color w:val="auto"/>
          <w:highlight w:val="none"/>
        </w:rPr>
        <w:t>⑤</w:t>
      </w:r>
      <w:r>
        <w:rPr>
          <w:color w:val="auto"/>
          <w:spacing w:val="-16"/>
          <w:kern w:val="21"/>
          <w:highlight w:val="none"/>
        </w:rPr>
        <w:t>；</w:t>
      </w:r>
      <w:r>
        <w:rPr>
          <w:rFonts w:hint="eastAsia" w:ascii="宋体" w:hAnsi="宋体" w:cs="宋体"/>
          <w:color w:val="auto"/>
          <w:highlight w:val="none"/>
        </w:rPr>
        <w:t>⑦</w:t>
      </w:r>
      <w:r>
        <w:rPr>
          <w:color w:val="auto"/>
          <w:spacing w:val="-6"/>
          <w:kern w:val="21"/>
          <w:highlight w:val="none"/>
        </w:rPr>
        <w:t>=</w:t>
      </w:r>
      <w:r>
        <w:rPr>
          <w:rFonts w:hint="eastAsia" w:ascii="宋体" w:hAnsi="宋体" w:cs="宋体"/>
          <w:color w:val="auto"/>
          <w:highlight w:val="none"/>
        </w:rPr>
        <w:t>⑥</w:t>
      </w:r>
      <w:r>
        <w:rPr>
          <w:color w:val="auto"/>
          <w:spacing w:val="-16"/>
          <w:kern w:val="21"/>
          <w:highlight w:val="none"/>
        </w:rPr>
        <w:t>-</w:t>
      </w:r>
      <w:r>
        <w:rPr>
          <w:rFonts w:hint="eastAsia" w:ascii="宋体" w:hAnsi="宋体" w:cs="宋体"/>
          <w:color w:val="auto"/>
          <w:highlight w:val="none"/>
        </w:rPr>
        <w:t>①</w:t>
      </w:r>
    </w:p>
    <w:p>
      <w:pPr>
        <w:ind w:firstLine="480"/>
        <w:rPr>
          <w:color w:val="auto"/>
          <w:highlight w:val="none"/>
        </w:rPr>
      </w:pPr>
    </w:p>
    <w:p>
      <w:pPr>
        <w:ind w:firstLine="0" w:firstLineChars="0"/>
        <w:rPr>
          <w:color w:val="auto"/>
          <w:highlight w:val="none"/>
        </w:rPr>
        <w:sectPr>
          <w:pgSz w:w="16838" w:h="11906" w:orient="landscape"/>
          <w:pgMar w:top="1418" w:right="1418" w:bottom="1418" w:left="1418" w:header="851" w:footer="851" w:gutter="0"/>
          <w:pgBorders>
            <w:top w:val="none" w:sz="0" w:space="0"/>
            <w:left w:val="none" w:sz="0" w:space="0"/>
            <w:bottom w:val="none" w:sz="0" w:space="0"/>
            <w:right w:val="none" w:sz="0" w:space="0"/>
          </w:pgBorders>
          <w:cols w:space="720" w:num="1"/>
          <w:docGrid w:linePitch="326" w:charSpace="0"/>
        </w:sectPr>
      </w:pPr>
    </w:p>
    <w:p>
      <w:pPr>
        <w:rPr>
          <w:color w:val="auto"/>
          <w:highlight w:val="none"/>
        </w:rPr>
      </w:pPr>
    </w:p>
    <w:sectPr>
      <w:footerReference r:id="rId11" w:type="default"/>
      <w:type w:val="continuous"/>
      <w:pgSz w:w="11907" w:h="16839"/>
      <w:pgMar w:top="1418" w:right="1418" w:bottom="1418" w:left="1418" w:header="851" w:footer="851" w:gutter="0"/>
      <w:pgBorders>
        <w:top w:val="none" w:sz="0" w:space="0"/>
        <w:left w:val="none" w:sz="0" w:space="0"/>
        <w:bottom w:val="none" w:sz="0" w:space="0"/>
        <w:right w:val="none" w:sz="0" w:space="0"/>
      </w:pgBorders>
      <w:cols w:space="720" w:num="1"/>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Cambria">
    <w:panose1 w:val="02040503050406030204"/>
    <w:charset w:val="00"/>
    <w:family w:val="roman"/>
    <w:pitch w:val="default"/>
    <w:sig w:usb0="E00002FF" w:usb1="400004FF" w:usb2="00000000"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Helvetica Neue">
    <w:altName w:val="微软雅黑"/>
    <w:panose1 w:val="00000000000000000000"/>
    <w:charset w:val="00"/>
    <w:family w:val="auto"/>
    <w:pitch w:val="default"/>
    <w:sig w:usb0="00000000" w:usb1="00000000" w:usb2="00000000" w:usb3="00000000" w:csb0="00040001" w:csb1="00000000"/>
  </w:font>
  <w:font w:name="MingLiU">
    <w:panose1 w:val="02020509000000000000"/>
    <w:charset w:val="88"/>
    <w:family w:val="modern"/>
    <w:pitch w:val="default"/>
    <w:sig w:usb0="A00002FF" w:usb1="28CFFCFA" w:usb2="00000016" w:usb3="00000000" w:csb0="00100001" w:csb1="00000000"/>
  </w:font>
  <w:font w:name="Times">
    <w:altName w:val="Times New Roman"/>
    <w:panose1 w:val="02020603050405020304"/>
    <w:charset w:val="00"/>
    <w:family w:val="roman"/>
    <w:pitch w:val="default"/>
    <w:sig w:usb0="00000000" w:usb1="00000000" w:usb2="00000009" w:usb3="00000000" w:csb0="000001FF" w:csb1="00000000"/>
  </w:font>
  <w:font w:name="Arial Unicode MS">
    <w:altName w:val="宋体"/>
    <w:panose1 w:val="020B0604020202020204"/>
    <w:charset w:val="86"/>
    <w:family w:val="swiss"/>
    <w:pitch w:val="default"/>
    <w:sig w:usb0="00000000" w:usb1="00000000" w:usb2="0000007F" w:usb3="00000000" w:csb0="203F01FF" w:csb1="DFFF0000"/>
  </w:font>
  <w:font w:name="MS PGothic">
    <w:panose1 w:val="020B0600070205080204"/>
    <w:charset w:val="80"/>
    <w:family w:val="swiss"/>
    <w:pitch w:val="default"/>
    <w:sig w:usb0="E00002FF" w:usb1="6AC7FDFB" w:usb2="00000012" w:usb3="00000000" w:csb0="4002009F" w:csb1="DFD70000"/>
  </w:font>
  <w:font w:name="ˎ̥">
    <w:altName w:val="Times New Roman"/>
    <w:panose1 w:val="00000000000000000000"/>
    <w:charset w:val="00"/>
    <w:family w:val="roman"/>
    <w:pitch w:val="default"/>
    <w:sig w:usb0="00000000" w:usb1="00000000" w:usb2="00000000" w:usb3="00000000" w:csb0="00040001" w:csb1="00000000"/>
  </w:font>
  <w:font w:name="Lucida Sans">
    <w:altName w:val="Lucida Sans Unicode"/>
    <w:panose1 w:val="020B0602030504020204"/>
    <w:charset w:val="00"/>
    <w:family w:val="swiss"/>
    <w:pitch w:val="default"/>
    <w:sig w:usb0="00000000" w:usb1="00000000" w:usb2="00000000" w:usb3="00000000" w:csb0="20000001" w:csb1="00000000"/>
  </w:font>
  <w:font w:name="方正小标宋_GBK">
    <w:altName w:val="微软雅黑"/>
    <w:panose1 w:val="00000000000000000000"/>
    <w:charset w:val="86"/>
    <w:family w:val="script"/>
    <w:pitch w:val="default"/>
    <w:sig w:usb0="00000000" w:usb1="00000000" w:usb2="00082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PMingLiU">
    <w:panose1 w:val="02020500000000000000"/>
    <w:charset w:val="88"/>
    <w:family w:val="auto"/>
    <w:pitch w:val="default"/>
    <w:sig w:usb0="A00002FF" w:usb1="28CFFCFA" w:usb2="00000016" w:usb3="00000000" w:csb0="00100001" w:csb1="00000000"/>
  </w:font>
  <w:font w:name="Lucida Sans Unicode">
    <w:panose1 w:val="020B0602030504020204"/>
    <w:charset w:val="00"/>
    <w:family w:val="auto"/>
    <w:pitch w:val="default"/>
    <w:sig w:usb0="80001AFF" w:usb1="0000396B" w:usb2="00000000" w:usb3="00000000" w:csb0="200000BF" w:csb1="D7F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1"/>
                            <w:ind w:firstLine="360"/>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pPr>
                      <w:pStyle w:val="31"/>
                      <w:ind w:firstLine="36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ind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1"/>
                            <w:ind w:firstLine="360"/>
                          </w:pPr>
                          <w:r>
                            <w:fldChar w:fldCharType="begin"/>
                          </w:r>
                          <w:r>
                            <w:instrText xml:space="preserve"> PAGE  \* MERGEFORMAT </w:instrText>
                          </w:r>
                          <w:r>
                            <w:fldChar w:fldCharType="separate"/>
                          </w:r>
                          <w:r>
                            <w:t>96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p>
                    <w:pPr>
                      <w:pStyle w:val="31"/>
                      <w:ind w:firstLine="360"/>
                    </w:pPr>
                    <w:r>
                      <w:fldChar w:fldCharType="begin"/>
                    </w:r>
                    <w:r>
                      <w:instrText xml:space="preserve"> PAGE  \* MERGEFORMAT </w:instrText>
                    </w:r>
                    <w:r>
                      <w:fldChar w:fldCharType="separate"/>
                    </w:r>
                    <w:r>
                      <w:t>96</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spacing w:before="120" w:after="120"/>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A6703B1"/>
    <w:multiLevelType w:val="singleLevel"/>
    <w:tmpl w:val="BA6703B1"/>
    <w:lvl w:ilvl="0" w:tentative="0">
      <w:start w:val="1"/>
      <w:numFmt w:val="decimal"/>
      <w:pStyle w:val="570"/>
      <w:suff w:val="nothing"/>
      <w:lvlText w:val="表3-%1"/>
      <w:lvlJc w:val="left"/>
      <w:pPr>
        <w:tabs>
          <w:tab w:val="left" w:pos="0"/>
        </w:tabs>
      </w:pPr>
      <w:rPr>
        <w:rFonts w:hint="default" w:ascii="Times New Roman" w:hAnsi="Times New Roman" w:eastAsia="宋体" w:cs="宋体"/>
        <w:szCs w:val="24"/>
      </w:rPr>
    </w:lvl>
  </w:abstractNum>
  <w:abstractNum w:abstractNumId="1">
    <w:nsid w:val="C65FFA76"/>
    <w:multiLevelType w:val="singleLevel"/>
    <w:tmpl w:val="C65FFA76"/>
    <w:lvl w:ilvl="0" w:tentative="0">
      <w:start w:val="1"/>
      <w:numFmt w:val="decimal"/>
      <w:suff w:val="nothing"/>
      <w:lvlText w:val="（%1）"/>
      <w:lvlJc w:val="left"/>
    </w:lvl>
  </w:abstractNum>
  <w:abstractNum w:abstractNumId="2">
    <w:nsid w:val="D4AF1D51"/>
    <w:multiLevelType w:val="singleLevel"/>
    <w:tmpl w:val="D4AF1D51"/>
    <w:lvl w:ilvl="0" w:tentative="0">
      <w:start w:val="1"/>
      <w:numFmt w:val="decimal"/>
      <w:pStyle w:val="563"/>
      <w:suff w:val="nothing"/>
      <w:lvlText w:val="表4-%1"/>
      <w:lvlJc w:val="left"/>
      <w:pPr>
        <w:tabs>
          <w:tab w:val="left" w:pos="0"/>
        </w:tabs>
      </w:pPr>
      <w:rPr>
        <w:rFonts w:hint="default" w:ascii="Times New Roman" w:hAnsi="Times New Roman" w:eastAsia="宋体" w:cs="宋体"/>
        <w:szCs w:val="24"/>
      </w:rPr>
    </w:lvl>
  </w:abstractNum>
  <w:abstractNum w:abstractNumId="3">
    <w:nsid w:val="00000003"/>
    <w:multiLevelType w:val="singleLevel"/>
    <w:tmpl w:val="00000003"/>
    <w:lvl w:ilvl="0" w:tentative="0">
      <w:start w:val="1"/>
      <w:numFmt w:val="decimal"/>
      <w:pStyle w:val="336"/>
      <w:lvlText w:val="%1."/>
      <w:lvlJc w:val="left"/>
      <w:pPr>
        <w:tabs>
          <w:tab w:val="left" w:pos="360"/>
        </w:tabs>
        <w:ind w:left="360" w:hanging="360"/>
      </w:pPr>
    </w:lvl>
  </w:abstractNum>
  <w:abstractNum w:abstractNumId="4">
    <w:nsid w:val="176D6DB5"/>
    <w:multiLevelType w:val="multilevel"/>
    <w:tmpl w:val="176D6DB5"/>
    <w:lvl w:ilvl="0" w:tentative="0">
      <w:start w:val="1"/>
      <w:numFmt w:val="chineseCountingThousand"/>
      <w:pStyle w:val="2"/>
      <w:lvlText w:val="%1、"/>
      <w:lvlJc w:val="left"/>
      <w:pPr>
        <w:ind w:left="6516" w:hanging="420"/>
      </w:pPr>
      <w:rPr>
        <w:rFonts w:hint="eastAsia"/>
      </w:rPr>
    </w:lvl>
    <w:lvl w:ilvl="1" w:tentative="0">
      <w:start w:val="1"/>
      <w:numFmt w:val="decimal"/>
      <w:suff w:val="nothing"/>
      <w:lvlText w:val="%2.1"/>
      <w:lvlJc w:val="left"/>
      <w:pPr>
        <w:ind w:left="0" w:firstLine="0"/>
      </w:pPr>
      <w:rPr>
        <w:rFonts w:hint="eastAsia"/>
      </w:rPr>
    </w:lvl>
    <w:lvl w:ilvl="2" w:tentative="0">
      <w:start w:val="1"/>
      <w:numFmt w:val="decimal"/>
      <w:suff w:val="nothing"/>
      <w:lvlText w:val="%3.1.1"/>
      <w:lvlJc w:val="right"/>
      <w:pPr>
        <w:ind w:left="0" w:firstLine="0"/>
      </w:pPr>
      <w:rPr>
        <w:rFonts w:hint="eastAsia"/>
      </w:rPr>
    </w:lvl>
    <w:lvl w:ilvl="3" w:tentative="0">
      <w:start w:val="1"/>
      <w:numFmt w:val="decimal"/>
      <w:suff w:val="nothing"/>
      <w:lvlText w:val="%4.1.1.1"/>
      <w:lvlJc w:val="left"/>
      <w:pPr>
        <w:ind w:left="0" w:firstLine="0"/>
      </w:pPr>
      <w:rPr>
        <w:rFonts w:hint="eastAsia"/>
      </w:rPr>
    </w:lvl>
    <w:lvl w:ilvl="4" w:tentative="0">
      <w:start w:val="1"/>
      <w:numFmt w:val="decimal"/>
      <w:suff w:val="nothing"/>
      <w:lvlText w:val="%5.1.1.1.1"/>
      <w:lvlJc w:val="left"/>
      <w:pPr>
        <w:ind w:left="0" w:firstLine="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5">
    <w:nsid w:val="1E81731B"/>
    <w:multiLevelType w:val="multilevel"/>
    <w:tmpl w:val="1E81731B"/>
    <w:lvl w:ilvl="0" w:tentative="0">
      <w:start w:val="1"/>
      <w:numFmt w:val="decimal"/>
      <w:pStyle w:val="255"/>
      <w:lvlText w:val="%1"/>
      <w:lvlJc w:val="left"/>
      <w:pPr>
        <w:ind w:left="425" w:hanging="425"/>
      </w:pPr>
      <w:rPr>
        <w:rFonts w:hint="eastAsia"/>
      </w:rPr>
    </w:lvl>
    <w:lvl w:ilvl="1" w:tentative="0">
      <w:start w:val="1"/>
      <w:numFmt w:val="decimal"/>
      <w:lvlText w:val="2.%2"/>
      <w:lvlJc w:val="left"/>
      <w:pPr>
        <w:ind w:left="567" w:hanging="567"/>
      </w:pPr>
      <w:rPr>
        <w:rFonts w:hint="default" w:ascii="Times New Roman" w:hAnsi="Times New Roman" w:eastAsia="宋体"/>
      </w:rPr>
    </w:lvl>
    <w:lvl w:ilvl="2" w:tentative="0">
      <w:start w:val="1"/>
      <w:numFmt w:val="decimal"/>
      <w:lvlText w:val="%1.%2.%3"/>
      <w:lvlJc w:val="left"/>
      <w:pPr>
        <w:ind w:left="567" w:hanging="567"/>
      </w:pPr>
      <w:rPr>
        <w:rFonts w:hint="eastAsia"/>
      </w:rPr>
    </w:lvl>
    <w:lvl w:ilvl="3" w:tentative="0">
      <w:start w:val="1"/>
      <w:numFmt w:val="decimal"/>
      <w:lvlText w:val="2.%2.%3.%4"/>
      <w:lvlJc w:val="left"/>
      <w:pPr>
        <w:ind w:left="567" w:hanging="567"/>
      </w:pPr>
      <w:rPr>
        <w:rFonts w:hint="default" w:ascii="Times New Roman" w:hAnsi="Times New Roman" w:eastAsia="宋体"/>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6">
    <w:nsid w:val="2C752119"/>
    <w:multiLevelType w:val="singleLevel"/>
    <w:tmpl w:val="2C752119"/>
    <w:lvl w:ilvl="0" w:tentative="0">
      <w:start w:val="1"/>
      <w:numFmt w:val="decimal"/>
      <w:suff w:val="nothing"/>
      <w:lvlText w:val="（%1）"/>
      <w:lvlJc w:val="left"/>
      <w:pPr>
        <w:ind w:left="-60"/>
      </w:pPr>
    </w:lvl>
  </w:abstractNum>
  <w:abstractNum w:abstractNumId="7">
    <w:nsid w:val="56B381C1"/>
    <w:multiLevelType w:val="singleLevel"/>
    <w:tmpl w:val="56B381C1"/>
    <w:lvl w:ilvl="0" w:tentative="0">
      <w:start w:val="1"/>
      <w:numFmt w:val="bullet"/>
      <w:pStyle w:val="26"/>
      <w:lvlText w:val=""/>
      <w:lvlJc w:val="left"/>
      <w:pPr>
        <w:tabs>
          <w:tab w:val="left" w:pos="2040"/>
        </w:tabs>
        <w:ind w:left="2040" w:hanging="360"/>
      </w:pPr>
      <w:rPr>
        <w:rFonts w:hint="default" w:ascii="Wingdings" w:hAnsi="Wingdings"/>
      </w:rPr>
    </w:lvl>
  </w:abstractNum>
  <w:abstractNum w:abstractNumId="8">
    <w:nsid w:val="623E2558"/>
    <w:multiLevelType w:val="multilevel"/>
    <w:tmpl w:val="623E2558"/>
    <w:lvl w:ilvl="0" w:tentative="0">
      <w:start w:val="1"/>
      <w:numFmt w:val="decimal"/>
      <w:pStyle w:val="13"/>
      <w:lvlText w:val="表4-%1："/>
      <w:lvlJc w:val="left"/>
      <w:pPr>
        <w:tabs>
          <w:tab w:val="left" w:pos="720"/>
        </w:tabs>
        <w:ind w:left="-737" w:firstLine="737"/>
      </w:pPr>
      <w:rPr>
        <w:rFonts w:hint="eastAsia"/>
        <w:b w:val="0"/>
        <w:i w:val="0"/>
        <w:sz w:val="21"/>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65996C0A"/>
    <w:multiLevelType w:val="multilevel"/>
    <w:tmpl w:val="65996C0A"/>
    <w:lvl w:ilvl="0" w:tentative="0">
      <w:start w:val="1"/>
      <w:numFmt w:val="decimal"/>
      <w:pStyle w:val="257"/>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2.%2.%3"/>
      <w:lvlJc w:val="left"/>
      <w:pPr>
        <w:ind w:left="1418" w:hanging="567"/>
      </w:pPr>
      <w:rPr>
        <w:rFonts w:hint="default" w:ascii="Times New Roman" w:hAnsi="Times New Roman" w:eastAsia="宋体"/>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0">
    <w:nsid w:val="6B304E75"/>
    <w:multiLevelType w:val="multilevel"/>
    <w:tmpl w:val="6B304E75"/>
    <w:lvl w:ilvl="0" w:tentative="0">
      <w:start w:val="1"/>
      <w:numFmt w:val="decimal"/>
      <w:pStyle w:val="401"/>
      <w:lvlText w:val="%1."/>
      <w:lvlJc w:val="left"/>
      <w:pPr>
        <w:tabs>
          <w:tab w:val="left" w:pos="425"/>
        </w:tabs>
        <w:ind w:left="425" w:hanging="425"/>
      </w:pPr>
    </w:lvl>
    <w:lvl w:ilvl="1" w:tentative="0">
      <w:start w:val="1"/>
      <w:numFmt w:val="decimal"/>
      <w:lvlText w:val="%1.%2"/>
      <w:lvlJc w:val="left"/>
      <w:pPr>
        <w:tabs>
          <w:tab w:val="left" w:pos="567"/>
        </w:tabs>
        <w:ind w:left="567" w:hanging="567"/>
      </w:pPr>
      <w:rPr>
        <w:rFonts w:hint="eastAsia" w:ascii="宋体" w:hAnsi="Times New Roman" w:eastAsia="宋体"/>
        <w:b/>
        <w:i w:val="0"/>
        <w:sz w:val="24"/>
      </w:rPr>
    </w:lvl>
    <w:lvl w:ilvl="2" w:tentative="0">
      <w:start w:val="1"/>
      <w:numFmt w:val="decimal"/>
      <w:lvlText w:val="%1.%2.%3"/>
      <w:lvlJc w:val="left"/>
      <w:pPr>
        <w:tabs>
          <w:tab w:val="left" w:pos="709"/>
        </w:tabs>
        <w:ind w:left="709" w:hanging="709"/>
      </w:pPr>
      <w:rPr>
        <w:rFonts w:hint="eastAsia" w:ascii="宋体" w:hAnsi="Times New Roman" w:eastAsia="宋体"/>
        <w:b w:val="0"/>
        <w:i w:val="0"/>
        <w:sz w:val="24"/>
      </w:r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11">
    <w:nsid w:val="6E6028CC"/>
    <w:multiLevelType w:val="multilevel"/>
    <w:tmpl w:val="6E6028CC"/>
    <w:lvl w:ilvl="0" w:tentative="0">
      <w:start w:val="1"/>
      <w:numFmt w:val="decimal"/>
      <w:pStyle w:val="253"/>
      <w:suff w:val="space"/>
      <w:lvlText w:val="（%1）"/>
      <w:lvlJc w:val="left"/>
      <w:pPr>
        <w:ind w:left="0" w:firstLine="0"/>
      </w:pPr>
      <w:rPr>
        <w:rFonts w:hint="eastAsia"/>
        <w:lang w:val="en-US"/>
      </w:rPr>
    </w:lvl>
    <w:lvl w:ilvl="1" w:tentative="0">
      <w:start w:val="1"/>
      <w:numFmt w:val="decimal"/>
      <w:lvlText w:val="（%2）"/>
      <w:lvlJc w:val="left"/>
      <w:pPr>
        <w:ind w:left="0" w:firstLine="0"/>
      </w:pPr>
      <w:rPr>
        <w:rFonts w:hint="eastAsia"/>
      </w:rPr>
    </w:lvl>
    <w:lvl w:ilvl="2" w:tentative="0">
      <w:start w:val="1"/>
      <w:numFmt w:val="lowerRoman"/>
      <w:lvlText w:val="%3."/>
      <w:lvlJc w:val="right"/>
      <w:pPr>
        <w:ind w:left="0" w:firstLine="0"/>
      </w:pPr>
      <w:rPr>
        <w:rFonts w:hint="eastAsia"/>
      </w:rPr>
    </w:lvl>
    <w:lvl w:ilvl="3" w:tentative="0">
      <w:start w:val="1"/>
      <w:numFmt w:val="decimal"/>
      <w:lvlText w:val="%4."/>
      <w:lvlJc w:val="left"/>
      <w:pPr>
        <w:ind w:left="0" w:firstLine="0"/>
      </w:pPr>
      <w:rPr>
        <w:rFonts w:hint="eastAsia"/>
      </w:rPr>
    </w:lvl>
    <w:lvl w:ilvl="4" w:tentative="0">
      <w:start w:val="1"/>
      <w:numFmt w:val="lowerLetter"/>
      <w:lvlText w:val="%5)"/>
      <w:lvlJc w:val="left"/>
      <w:pPr>
        <w:ind w:left="0" w:firstLine="0"/>
      </w:pPr>
      <w:rPr>
        <w:rFonts w:hint="eastAsia"/>
      </w:rPr>
    </w:lvl>
    <w:lvl w:ilvl="5" w:tentative="0">
      <w:start w:val="1"/>
      <w:numFmt w:val="lowerRoman"/>
      <w:lvlText w:val="%6."/>
      <w:lvlJc w:val="right"/>
      <w:pPr>
        <w:ind w:left="0" w:firstLine="0"/>
      </w:pPr>
      <w:rPr>
        <w:rFonts w:hint="eastAsia"/>
      </w:rPr>
    </w:lvl>
    <w:lvl w:ilvl="6" w:tentative="0">
      <w:start w:val="1"/>
      <w:numFmt w:val="decimal"/>
      <w:lvlText w:val="%7."/>
      <w:lvlJc w:val="left"/>
      <w:pPr>
        <w:ind w:left="0" w:firstLine="0"/>
      </w:pPr>
      <w:rPr>
        <w:rFonts w:hint="eastAsia"/>
      </w:rPr>
    </w:lvl>
    <w:lvl w:ilvl="7" w:tentative="0">
      <w:start w:val="1"/>
      <w:numFmt w:val="lowerLetter"/>
      <w:lvlText w:val="%8)"/>
      <w:lvlJc w:val="left"/>
      <w:pPr>
        <w:ind w:left="0" w:firstLine="0"/>
      </w:pPr>
      <w:rPr>
        <w:rFonts w:hint="eastAsia"/>
      </w:rPr>
    </w:lvl>
    <w:lvl w:ilvl="8" w:tentative="0">
      <w:start w:val="1"/>
      <w:numFmt w:val="lowerRoman"/>
      <w:lvlText w:val="%9."/>
      <w:lvlJc w:val="right"/>
      <w:pPr>
        <w:ind w:left="0" w:firstLine="0"/>
      </w:pPr>
      <w:rPr>
        <w:rFonts w:hint="eastAsia"/>
      </w:rPr>
    </w:lvl>
  </w:abstractNum>
  <w:num w:numId="1">
    <w:abstractNumId w:val="4"/>
  </w:num>
  <w:num w:numId="2">
    <w:abstractNumId w:val="8"/>
  </w:num>
  <w:num w:numId="3">
    <w:abstractNumId w:val="7"/>
  </w:num>
  <w:num w:numId="4">
    <w:abstractNumId w:val="11"/>
  </w:num>
  <w:num w:numId="5">
    <w:abstractNumId w:val="5"/>
  </w:num>
  <w:num w:numId="6">
    <w:abstractNumId w:val="9"/>
  </w:num>
  <w:num w:numId="7">
    <w:abstractNumId w:val="3"/>
  </w:num>
  <w:num w:numId="8">
    <w:abstractNumId w:val="10"/>
  </w:num>
  <w:num w:numId="9">
    <w:abstractNumId w:val="2"/>
  </w:num>
  <w:num w:numId="10">
    <w:abstractNumId w:val="0"/>
  </w:num>
  <w:num w:numId="11">
    <w:abstractNumId w:val="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bordersDoNotSurroundHeader w:val="0"/>
  <w:bordersDoNotSurroundFooter w:val="0"/>
  <w:gutterAtTop/>
  <w:hideSpellingErrors/>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JmYmRjYjRmOGI4NmIxZTA5ZjIxNmM5NzBhNGVmMDcifQ=="/>
  </w:docVars>
  <w:rsids>
    <w:rsidRoot w:val="00EB259B"/>
    <w:rsid w:val="0000096C"/>
    <w:rsid w:val="00001A74"/>
    <w:rsid w:val="00002095"/>
    <w:rsid w:val="00002296"/>
    <w:rsid w:val="000029A7"/>
    <w:rsid w:val="00002B74"/>
    <w:rsid w:val="00002C61"/>
    <w:rsid w:val="00002E20"/>
    <w:rsid w:val="0000329B"/>
    <w:rsid w:val="000042DF"/>
    <w:rsid w:val="00004887"/>
    <w:rsid w:val="000049EB"/>
    <w:rsid w:val="000057DE"/>
    <w:rsid w:val="00007121"/>
    <w:rsid w:val="000112A2"/>
    <w:rsid w:val="00011A1E"/>
    <w:rsid w:val="00011AF5"/>
    <w:rsid w:val="00012AA7"/>
    <w:rsid w:val="0001368C"/>
    <w:rsid w:val="00013CFF"/>
    <w:rsid w:val="000151C8"/>
    <w:rsid w:val="00016638"/>
    <w:rsid w:val="00021BE7"/>
    <w:rsid w:val="000249E3"/>
    <w:rsid w:val="00025265"/>
    <w:rsid w:val="0002649D"/>
    <w:rsid w:val="00026B40"/>
    <w:rsid w:val="00026C2C"/>
    <w:rsid w:val="00027E49"/>
    <w:rsid w:val="000302C5"/>
    <w:rsid w:val="00031752"/>
    <w:rsid w:val="000330FE"/>
    <w:rsid w:val="00034C7E"/>
    <w:rsid w:val="00034E8B"/>
    <w:rsid w:val="00036497"/>
    <w:rsid w:val="00036956"/>
    <w:rsid w:val="000369AE"/>
    <w:rsid w:val="000379C1"/>
    <w:rsid w:val="00037B7B"/>
    <w:rsid w:val="00040891"/>
    <w:rsid w:val="00041AEF"/>
    <w:rsid w:val="00041C82"/>
    <w:rsid w:val="0004262D"/>
    <w:rsid w:val="00044521"/>
    <w:rsid w:val="0004460C"/>
    <w:rsid w:val="0004591F"/>
    <w:rsid w:val="00045F66"/>
    <w:rsid w:val="0004606C"/>
    <w:rsid w:val="00046915"/>
    <w:rsid w:val="0004719A"/>
    <w:rsid w:val="00047918"/>
    <w:rsid w:val="00050740"/>
    <w:rsid w:val="0005083E"/>
    <w:rsid w:val="000515C4"/>
    <w:rsid w:val="00051A57"/>
    <w:rsid w:val="000528C3"/>
    <w:rsid w:val="00052AFD"/>
    <w:rsid w:val="000604B5"/>
    <w:rsid w:val="00065D8A"/>
    <w:rsid w:val="0006726B"/>
    <w:rsid w:val="00067883"/>
    <w:rsid w:val="00067D60"/>
    <w:rsid w:val="00070B81"/>
    <w:rsid w:val="000718B7"/>
    <w:rsid w:val="00071DC9"/>
    <w:rsid w:val="0007217C"/>
    <w:rsid w:val="00074215"/>
    <w:rsid w:val="000749E3"/>
    <w:rsid w:val="00074E64"/>
    <w:rsid w:val="0007531E"/>
    <w:rsid w:val="00076041"/>
    <w:rsid w:val="00080B58"/>
    <w:rsid w:val="000812C6"/>
    <w:rsid w:val="000814BC"/>
    <w:rsid w:val="000815D8"/>
    <w:rsid w:val="000836F3"/>
    <w:rsid w:val="00083E40"/>
    <w:rsid w:val="000866E1"/>
    <w:rsid w:val="00086AC1"/>
    <w:rsid w:val="0009149E"/>
    <w:rsid w:val="00092397"/>
    <w:rsid w:val="00092E41"/>
    <w:rsid w:val="00092E54"/>
    <w:rsid w:val="00094B2F"/>
    <w:rsid w:val="00096233"/>
    <w:rsid w:val="00097649"/>
    <w:rsid w:val="000A1A38"/>
    <w:rsid w:val="000A1EE7"/>
    <w:rsid w:val="000A239B"/>
    <w:rsid w:val="000A3CA5"/>
    <w:rsid w:val="000A5A7D"/>
    <w:rsid w:val="000A6036"/>
    <w:rsid w:val="000A698B"/>
    <w:rsid w:val="000A69AD"/>
    <w:rsid w:val="000B3062"/>
    <w:rsid w:val="000B51AA"/>
    <w:rsid w:val="000B7A90"/>
    <w:rsid w:val="000B7D6C"/>
    <w:rsid w:val="000B7F63"/>
    <w:rsid w:val="000C04DE"/>
    <w:rsid w:val="000C0627"/>
    <w:rsid w:val="000C0DA0"/>
    <w:rsid w:val="000C183C"/>
    <w:rsid w:val="000C341A"/>
    <w:rsid w:val="000C4883"/>
    <w:rsid w:val="000C4A50"/>
    <w:rsid w:val="000C4AB8"/>
    <w:rsid w:val="000C5A1C"/>
    <w:rsid w:val="000C6FF1"/>
    <w:rsid w:val="000D039C"/>
    <w:rsid w:val="000D1464"/>
    <w:rsid w:val="000D218B"/>
    <w:rsid w:val="000D325A"/>
    <w:rsid w:val="000D6E6D"/>
    <w:rsid w:val="000D7B78"/>
    <w:rsid w:val="000E12EF"/>
    <w:rsid w:val="000E1382"/>
    <w:rsid w:val="000E1F59"/>
    <w:rsid w:val="000E3FB1"/>
    <w:rsid w:val="000E46B9"/>
    <w:rsid w:val="000E4FB1"/>
    <w:rsid w:val="000E64D2"/>
    <w:rsid w:val="000E66C0"/>
    <w:rsid w:val="000E6F79"/>
    <w:rsid w:val="000E749D"/>
    <w:rsid w:val="000F0F97"/>
    <w:rsid w:val="000F1592"/>
    <w:rsid w:val="000F308F"/>
    <w:rsid w:val="000F4574"/>
    <w:rsid w:val="000F4A40"/>
    <w:rsid w:val="000F4FA1"/>
    <w:rsid w:val="000F6CAA"/>
    <w:rsid w:val="000F6EF0"/>
    <w:rsid w:val="000F761D"/>
    <w:rsid w:val="000F7AC0"/>
    <w:rsid w:val="0010048F"/>
    <w:rsid w:val="001016E0"/>
    <w:rsid w:val="001027A3"/>
    <w:rsid w:val="00102A95"/>
    <w:rsid w:val="001030C3"/>
    <w:rsid w:val="00103AFF"/>
    <w:rsid w:val="00103F48"/>
    <w:rsid w:val="00104E4C"/>
    <w:rsid w:val="00105CDD"/>
    <w:rsid w:val="001076A8"/>
    <w:rsid w:val="00110851"/>
    <w:rsid w:val="001109A8"/>
    <w:rsid w:val="00110E27"/>
    <w:rsid w:val="00110EB9"/>
    <w:rsid w:val="00111485"/>
    <w:rsid w:val="00111A06"/>
    <w:rsid w:val="00112B6A"/>
    <w:rsid w:val="00112E37"/>
    <w:rsid w:val="00113FA6"/>
    <w:rsid w:val="00115434"/>
    <w:rsid w:val="00116193"/>
    <w:rsid w:val="001161FF"/>
    <w:rsid w:val="00116D44"/>
    <w:rsid w:val="001231F2"/>
    <w:rsid w:val="00126244"/>
    <w:rsid w:val="00127B9D"/>
    <w:rsid w:val="0013028E"/>
    <w:rsid w:val="00132FBC"/>
    <w:rsid w:val="001336CD"/>
    <w:rsid w:val="0013659C"/>
    <w:rsid w:val="00137E26"/>
    <w:rsid w:val="0014042E"/>
    <w:rsid w:val="00140CF8"/>
    <w:rsid w:val="00141627"/>
    <w:rsid w:val="00142BBC"/>
    <w:rsid w:val="00143AEF"/>
    <w:rsid w:val="00143EE6"/>
    <w:rsid w:val="00144C87"/>
    <w:rsid w:val="00145D66"/>
    <w:rsid w:val="00145F3A"/>
    <w:rsid w:val="00146EA3"/>
    <w:rsid w:val="0015096E"/>
    <w:rsid w:val="00150B97"/>
    <w:rsid w:val="00151C35"/>
    <w:rsid w:val="00151C73"/>
    <w:rsid w:val="00151F65"/>
    <w:rsid w:val="00152C43"/>
    <w:rsid w:val="00152D89"/>
    <w:rsid w:val="00153EF6"/>
    <w:rsid w:val="001544FD"/>
    <w:rsid w:val="00155A0E"/>
    <w:rsid w:val="00156BFE"/>
    <w:rsid w:val="00157A25"/>
    <w:rsid w:val="00157F91"/>
    <w:rsid w:val="00161589"/>
    <w:rsid w:val="001617EE"/>
    <w:rsid w:val="001629FD"/>
    <w:rsid w:val="00163ABE"/>
    <w:rsid w:val="00163F3E"/>
    <w:rsid w:val="001651FE"/>
    <w:rsid w:val="001658D0"/>
    <w:rsid w:val="001674A7"/>
    <w:rsid w:val="00167D53"/>
    <w:rsid w:val="001704D0"/>
    <w:rsid w:val="00172B8E"/>
    <w:rsid w:val="00172E78"/>
    <w:rsid w:val="00173614"/>
    <w:rsid w:val="00173F76"/>
    <w:rsid w:val="0017439F"/>
    <w:rsid w:val="00174CF9"/>
    <w:rsid w:val="001751CB"/>
    <w:rsid w:val="00175FD2"/>
    <w:rsid w:val="00176DD2"/>
    <w:rsid w:val="00176E73"/>
    <w:rsid w:val="001771B6"/>
    <w:rsid w:val="0017784D"/>
    <w:rsid w:val="00180051"/>
    <w:rsid w:val="00181465"/>
    <w:rsid w:val="00181650"/>
    <w:rsid w:val="00182854"/>
    <w:rsid w:val="00183FE5"/>
    <w:rsid w:val="00184156"/>
    <w:rsid w:val="00186F5E"/>
    <w:rsid w:val="0018703B"/>
    <w:rsid w:val="00192128"/>
    <w:rsid w:val="00192369"/>
    <w:rsid w:val="00192BE8"/>
    <w:rsid w:val="00195872"/>
    <w:rsid w:val="00195CBF"/>
    <w:rsid w:val="00195D59"/>
    <w:rsid w:val="00195EFA"/>
    <w:rsid w:val="00196521"/>
    <w:rsid w:val="00197801"/>
    <w:rsid w:val="001A174B"/>
    <w:rsid w:val="001A1B5A"/>
    <w:rsid w:val="001A21FD"/>
    <w:rsid w:val="001A5015"/>
    <w:rsid w:val="001A525A"/>
    <w:rsid w:val="001A6BE6"/>
    <w:rsid w:val="001B14E2"/>
    <w:rsid w:val="001B19F7"/>
    <w:rsid w:val="001B6A7C"/>
    <w:rsid w:val="001B7218"/>
    <w:rsid w:val="001B7C59"/>
    <w:rsid w:val="001C0316"/>
    <w:rsid w:val="001C1263"/>
    <w:rsid w:val="001C38F3"/>
    <w:rsid w:val="001C5148"/>
    <w:rsid w:val="001C5AD1"/>
    <w:rsid w:val="001C75C1"/>
    <w:rsid w:val="001D0336"/>
    <w:rsid w:val="001D1413"/>
    <w:rsid w:val="001D1B98"/>
    <w:rsid w:val="001D1DF4"/>
    <w:rsid w:val="001D2E1A"/>
    <w:rsid w:val="001D2E20"/>
    <w:rsid w:val="001D3059"/>
    <w:rsid w:val="001D4254"/>
    <w:rsid w:val="001D5857"/>
    <w:rsid w:val="001D781A"/>
    <w:rsid w:val="001E0586"/>
    <w:rsid w:val="001E0773"/>
    <w:rsid w:val="001E1378"/>
    <w:rsid w:val="001E2A98"/>
    <w:rsid w:val="001E2F52"/>
    <w:rsid w:val="001E3AC8"/>
    <w:rsid w:val="001E4A00"/>
    <w:rsid w:val="001E4FA8"/>
    <w:rsid w:val="001E5815"/>
    <w:rsid w:val="001E65FA"/>
    <w:rsid w:val="001E69D1"/>
    <w:rsid w:val="001E72BE"/>
    <w:rsid w:val="001F0E83"/>
    <w:rsid w:val="001F13A1"/>
    <w:rsid w:val="001F59DA"/>
    <w:rsid w:val="001F63DE"/>
    <w:rsid w:val="001F7935"/>
    <w:rsid w:val="001F79AC"/>
    <w:rsid w:val="00200996"/>
    <w:rsid w:val="002019E5"/>
    <w:rsid w:val="00204993"/>
    <w:rsid w:val="00204A7A"/>
    <w:rsid w:val="002052F5"/>
    <w:rsid w:val="00206269"/>
    <w:rsid w:val="0021036A"/>
    <w:rsid w:val="00210548"/>
    <w:rsid w:val="0021094C"/>
    <w:rsid w:val="00211248"/>
    <w:rsid w:val="0021197D"/>
    <w:rsid w:val="00212F03"/>
    <w:rsid w:val="002132C7"/>
    <w:rsid w:val="002150BC"/>
    <w:rsid w:val="00215BB6"/>
    <w:rsid w:val="00215F19"/>
    <w:rsid w:val="00220AC9"/>
    <w:rsid w:val="002239F4"/>
    <w:rsid w:val="002243D1"/>
    <w:rsid w:val="00226145"/>
    <w:rsid w:val="00226F40"/>
    <w:rsid w:val="00230079"/>
    <w:rsid w:val="002309A6"/>
    <w:rsid w:val="002322C7"/>
    <w:rsid w:val="0023254C"/>
    <w:rsid w:val="0023378E"/>
    <w:rsid w:val="00234CC4"/>
    <w:rsid w:val="00235033"/>
    <w:rsid w:val="00235825"/>
    <w:rsid w:val="00236BAC"/>
    <w:rsid w:val="00237498"/>
    <w:rsid w:val="00237777"/>
    <w:rsid w:val="00240B91"/>
    <w:rsid w:val="00240CA9"/>
    <w:rsid w:val="00242807"/>
    <w:rsid w:val="00242FD5"/>
    <w:rsid w:val="002433A6"/>
    <w:rsid w:val="00243879"/>
    <w:rsid w:val="002440D5"/>
    <w:rsid w:val="002442D4"/>
    <w:rsid w:val="0024457D"/>
    <w:rsid w:val="00244C5F"/>
    <w:rsid w:val="002461D3"/>
    <w:rsid w:val="00246353"/>
    <w:rsid w:val="00247B34"/>
    <w:rsid w:val="002506FA"/>
    <w:rsid w:val="00253B1A"/>
    <w:rsid w:val="00254817"/>
    <w:rsid w:val="002560FA"/>
    <w:rsid w:val="00256CE7"/>
    <w:rsid w:val="00261085"/>
    <w:rsid w:val="00261961"/>
    <w:rsid w:val="002619FE"/>
    <w:rsid w:val="00261A56"/>
    <w:rsid w:val="00261B53"/>
    <w:rsid w:val="00261C0A"/>
    <w:rsid w:val="00262284"/>
    <w:rsid w:val="00263D6D"/>
    <w:rsid w:val="00264821"/>
    <w:rsid w:val="00265627"/>
    <w:rsid w:val="002657AE"/>
    <w:rsid w:val="00266CC5"/>
    <w:rsid w:val="00270A5C"/>
    <w:rsid w:val="002713C6"/>
    <w:rsid w:val="00271987"/>
    <w:rsid w:val="00273D10"/>
    <w:rsid w:val="0027423F"/>
    <w:rsid w:val="0027428D"/>
    <w:rsid w:val="00275AC0"/>
    <w:rsid w:val="00277EB5"/>
    <w:rsid w:val="00281CE1"/>
    <w:rsid w:val="00282888"/>
    <w:rsid w:val="002842BD"/>
    <w:rsid w:val="00286363"/>
    <w:rsid w:val="00287676"/>
    <w:rsid w:val="00287B65"/>
    <w:rsid w:val="00290234"/>
    <w:rsid w:val="00291D2F"/>
    <w:rsid w:val="002922D1"/>
    <w:rsid w:val="002922DC"/>
    <w:rsid w:val="00296798"/>
    <w:rsid w:val="00297794"/>
    <w:rsid w:val="00297936"/>
    <w:rsid w:val="002A00A9"/>
    <w:rsid w:val="002A0ECB"/>
    <w:rsid w:val="002A2271"/>
    <w:rsid w:val="002A31AF"/>
    <w:rsid w:val="002A362D"/>
    <w:rsid w:val="002A3D8A"/>
    <w:rsid w:val="002A4631"/>
    <w:rsid w:val="002A479C"/>
    <w:rsid w:val="002A65D9"/>
    <w:rsid w:val="002A7B70"/>
    <w:rsid w:val="002B037C"/>
    <w:rsid w:val="002B0B21"/>
    <w:rsid w:val="002B164C"/>
    <w:rsid w:val="002B1715"/>
    <w:rsid w:val="002B223F"/>
    <w:rsid w:val="002B322F"/>
    <w:rsid w:val="002B3D1C"/>
    <w:rsid w:val="002B470E"/>
    <w:rsid w:val="002B4F43"/>
    <w:rsid w:val="002B5AA8"/>
    <w:rsid w:val="002B5FA9"/>
    <w:rsid w:val="002B687D"/>
    <w:rsid w:val="002B731F"/>
    <w:rsid w:val="002C21CA"/>
    <w:rsid w:val="002C22FB"/>
    <w:rsid w:val="002C254C"/>
    <w:rsid w:val="002C3006"/>
    <w:rsid w:val="002C3B0A"/>
    <w:rsid w:val="002C5620"/>
    <w:rsid w:val="002C6536"/>
    <w:rsid w:val="002C68D8"/>
    <w:rsid w:val="002D1F6A"/>
    <w:rsid w:val="002D1FB7"/>
    <w:rsid w:val="002D246E"/>
    <w:rsid w:val="002D2E87"/>
    <w:rsid w:val="002D48D5"/>
    <w:rsid w:val="002D4A9B"/>
    <w:rsid w:val="002D5BA6"/>
    <w:rsid w:val="002D62E3"/>
    <w:rsid w:val="002E0316"/>
    <w:rsid w:val="002E0E14"/>
    <w:rsid w:val="002E0E9F"/>
    <w:rsid w:val="002E153C"/>
    <w:rsid w:val="002E4DC7"/>
    <w:rsid w:val="002E700A"/>
    <w:rsid w:val="002E72DB"/>
    <w:rsid w:val="002E7745"/>
    <w:rsid w:val="002F2366"/>
    <w:rsid w:val="002F2413"/>
    <w:rsid w:val="002F268E"/>
    <w:rsid w:val="002F27A1"/>
    <w:rsid w:val="002F2D59"/>
    <w:rsid w:val="002F3705"/>
    <w:rsid w:val="002F5345"/>
    <w:rsid w:val="002F538D"/>
    <w:rsid w:val="002F67A7"/>
    <w:rsid w:val="002F6D9F"/>
    <w:rsid w:val="003001A7"/>
    <w:rsid w:val="00301E59"/>
    <w:rsid w:val="00302388"/>
    <w:rsid w:val="00306149"/>
    <w:rsid w:val="003062C9"/>
    <w:rsid w:val="00306B3D"/>
    <w:rsid w:val="00306C6B"/>
    <w:rsid w:val="00307B9F"/>
    <w:rsid w:val="00307C77"/>
    <w:rsid w:val="00307D92"/>
    <w:rsid w:val="00310B19"/>
    <w:rsid w:val="00310E7F"/>
    <w:rsid w:val="003117DB"/>
    <w:rsid w:val="003119BF"/>
    <w:rsid w:val="00313034"/>
    <w:rsid w:val="00313114"/>
    <w:rsid w:val="00314C7B"/>
    <w:rsid w:val="00314EBB"/>
    <w:rsid w:val="003157DC"/>
    <w:rsid w:val="00315A7F"/>
    <w:rsid w:val="00316E40"/>
    <w:rsid w:val="00317BF6"/>
    <w:rsid w:val="003208BD"/>
    <w:rsid w:val="003216D1"/>
    <w:rsid w:val="003247F7"/>
    <w:rsid w:val="00324B96"/>
    <w:rsid w:val="003252A2"/>
    <w:rsid w:val="00325D0A"/>
    <w:rsid w:val="0032740F"/>
    <w:rsid w:val="00327F38"/>
    <w:rsid w:val="00332079"/>
    <w:rsid w:val="003323E2"/>
    <w:rsid w:val="00333192"/>
    <w:rsid w:val="003337F9"/>
    <w:rsid w:val="00333CEF"/>
    <w:rsid w:val="00333DD7"/>
    <w:rsid w:val="003345DB"/>
    <w:rsid w:val="00335556"/>
    <w:rsid w:val="00337618"/>
    <w:rsid w:val="0033775C"/>
    <w:rsid w:val="003405B1"/>
    <w:rsid w:val="003417F5"/>
    <w:rsid w:val="0034273A"/>
    <w:rsid w:val="00342CDB"/>
    <w:rsid w:val="00343F89"/>
    <w:rsid w:val="00345427"/>
    <w:rsid w:val="00345747"/>
    <w:rsid w:val="00345F64"/>
    <w:rsid w:val="003463F7"/>
    <w:rsid w:val="0034643A"/>
    <w:rsid w:val="003475B0"/>
    <w:rsid w:val="00350111"/>
    <w:rsid w:val="00351E40"/>
    <w:rsid w:val="00354888"/>
    <w:rsid w:val="00355529"/>
    <w:rsid w:val="003557BA"/>
    <w:rsid w:val="00356FEE"/>
    <w:rsid w:val="00360B6A"/>
    <w:rsid w:val="003643C3"/>
    <w:rsid w:val="00364DF4"/>
    <w:rsid w:val="003674A7"/>
    <w:rsid w:val="003678ED"/>
    <w:rsid w:val="00367FBA"/>
    <w:rsid w:val="00370137"/>
    <w:rsid w:val="00370900"/>
    <w:rsid w:val="00371A23"/>
    <w:rsid w:val="00371EDD"/>
    <w:rsid w:val="00373CDC"/>
    <w:rsid w:val="003746AA"/>
    <w:rsid w:val="00375B3B"/>
    <w:rsid w:val="00377076"/>
    <w:rsid w:val="00380423"/>
    <w:rsid w:val="003816D4"/>
    <w:rsid w:val="003818B9"/>
    <w:rsid w:val="003822E4"/>
    <w:rsid w:val="003823DC"/>
    <w:rsid w:val="00382558"/>
    <w:rsid w:val="0038371B"/>
    <w:rsid w:val="00383CD4"/>
    <w:rsid w:val="00383D5E"/>
    <w:rsid w:val="0038518D"/>
    <w:rsid w:val="00385F2F"/>
    <w:rsid w:val="00386AEE"/>
    <w:rsid w:val="00387618"/>
    <w:rsid w:val="00387B59"/>
    <w:rsid w:val="00387C33"/>
    <w:rsid w:val="0039296B"/>
    <w:rsid w:val="00392EBF"/>
    <w:rsid w:val="003941C8"/>
    <w:rsid w:val="00394BF1"/>
    <w:rsid w:val="00395AD2"/>
    <w:rsid w:val="00397E29"/>
    <w:rsid w:val="003A1076"/>
    <w:rsid w:val="003A1AB7"/>
    <w:rsid w:val="003A1FDE"/>
    <w:rsid w:val="003A2C16"/>
    <w:rsid w:val="003A2E0D"/>
    <w:rsid w:val="003A3C77"/>
    <w:rsid w:val="003A4C1B"/>
    <w:rsid w:val="003A5462"/>
    <w:rsid w:val="003A5B8B"/>
    <w:rsid w:val="003A62B8"/>
    <w:rsid w:val="003A71EE"/>
    <w:rsid w:val="003B0484"/>
    <w:rsid w:val="003B35A7"/>
    <w:rsid w:val="003B410D"/>
    <w:rsid w:val="003B472E"/>
    <w:rsid w:val="003B5173"/>
    <w:rsid w:val="003B64BE"/>
    <w:rsid w:val="003B759C"/>
    <w:rsid w:val="003C0E41"/>
    <w:rsid w:val="003C3496"/>
    <w:rsid w:val="003C3B0D"/>
    <w:rsid w:val="003C3ED3"/>
    <w:rsid w:val="003C44CE"/>
    <w:rsid w:val="003C5541"/>
    <w:rsid w:val="003C5C59"/>
    <w:rsid w:val="003C5E03"/>
    <w:rsid w:val="003C5EC4"/>
    <w:rsid w:val="003C604A"/>
    <w:rsid w:val="003C6950"/>
    <w:rsid w:val="003C7496"/>
    <w:rsid w:val="003C7599"/>
    <w:rsid w:val="003D0C7C"/>
    <w:rsid w:val="003D1797"/>
    <w:rsid w:val="003D21B2"/>
    <w:rsid w:val="003D34C9"/>
    <w:rsid w:val="003D3657"/>
    <w:rsid w:val="003D38BF"/>
    <w:rsid w:val="003D3C34"/>
    <w:rsid w:val="003D556A"/>
    <w:rsid w:val="003D6524"/>
    <w:rsid w:val="003D693A"/>
    <w:rsid w:val="003E040F"/>
    <w:rsid w:val="003E3B7D"/>
    <w:rsid w:val="003E5540"/>
    <w:rsid w:val="003E5628"/>
    <w:rsid w:val="003E6354"/>
    <w:rsid w:val="003F004F"/>
    <w:rsid w:val="003F0ACD"/>
    <w:rsid w:val="003F181B"/>
    <w:rsid w:val="003F21AA"/>
    <w:rsid w:val="003F3311"/>
    <w:rsid w:val="003F3AE3"/>
    <w:rsid w:val="003F6A7B"/>
    <w:rsid w:val="003F7057"/>
    <w:rsid w:val="00400100"/>
    <w:rsid w:val="004006E2"/>
    <w:rsid w:val="00402FF8"/>
    <w:rsid w:val="0040397D"/>
    <w:rsid w:val="00403A9D"/>
    <w:rsid w:val="00403DE9"/>
    <w:rsid w:val="004044F8"/>
    <w:rsid w:val="00404653"/>
    <w:rsid w:val="00404AD8"/>
    <w:rsid w:val="004068EC"/>
    <w:rsid w:val="00406904"/>
    <w:rsid w:val="004102D6"/>
    <w:rsid w:val="00410528"/>
    <w:rsid w:val="004138BE"/>
    <w:rsid w:val="00415038"/>
    <w:rsid w:val="004203E9"/>
    <w:rsid w:val="00420892"/>
    <w:rsid w:val="00420946"/>
    <w:rsid w:val="00421DAC"/>
    <w:rsid w:val="00422044"/>
    <w:rsid w:val="004221E3"/>
    <w:rsid w:val="00422C65"/>
    <w:rsid w:val="00423B33"/>
    <w:rsid w:val="00423CE6"/>
    <w:rsid w:val="004242CF"/>
    <w:rsid w:val="00424325"/>
    <w:rsid w:val="0042435A"/>
    <w:rsid w:val="00425C20"/>
    <w:rsid w:val="00427CE6"/>
    <w:rsid w:val="00427D8B"/>
    <w:rsid w:val="0043058E"/>
    <w:rsid w:val="00432734"/>
    <w:rsid w:val="0043486A"/>
    <w:rsid w:val="00435FD9"/>
    <w:rsid w:val="00435FF6"/>
    <w:rsid w:val="0043714F"/>
    <w:rsid w:val="00437E01"/>
    <w:rsid w:val="00442FC8"/>
    <w:rsid w:val="00443B89"/>
    <w:rsid w:val="0044414E"/>
    <w:rsid w:val="0044539A"/>
    <w:rsid w:val="00450323"/>
    <w:rsid w:val="00450C89"/>
    <w:rsid w:val="00451A47"/>
    <w:rsid w:val="00451BC9"/>
    <w:rsid w:val="0045235E"/>
    <w:rsid w:val="00453097"/>
    <w:rsid w:val="00453D59"/>
    <w:rsid w:val="00454499"/>
    <w:rsid w:val="0045586D"/>
    <w:rsid w:val="004576C7"/>
    <w:rsid w:val="004608CE"/>
    <w:rsid w:val="00460909"/>
    <w:rsid w:val="00463E14"/>
    <w:rsid w:val="00465C58"/>
    <w:rsid w:val="00465D69"/>
    <w:rsid w:val="004669B8"/>
    <w:rsid w:val="00467A47"/>
    <w:rsid w:val="00467EFD"/>
    <w:rsid w:val="0047129B"/>
    <w:rsid w:val="0047253A"/>
    <w:rsid w:val="00473877"/>
    <w:rsid w:val="00474AD5"/>
    <w:rsid w:val="00480066"/>
    <w:rsid w:val="004800E7"/>
    <w:rsid w:val="004805BD"/>
    <w:rsid w:val="00481891"/>
    <w:rsid w:val="00481D5C"/>
    <w:rsid w:val="004823AB"/>
    <w:rsid w:val="00485E2C"/>
    <w:rsid w:val="004879DF"/>
    <w:rsid w:val="00491A4A"/>
    <w:rsid w:val="00492700"/>
    <w:rsid w:val="00494694"/>
    <w:rsid w:val="004949E0"/>
    <w:rsid w:val="00494FF3"/>
    <w:rsid w:val="004957B4"/>
    <w:rsid w:val="00496856"/>
    <w:rsid w:val="004973D5"/>
    <w:rsid w:val="004978DA"/>
    <w:rsid w:val="00497B3C"/>
    <w:rsid w:val="00497E24"/>
    <w:rsid w:val="004A06EF"/>
    <w:rsid w:val="004A28BF"/>
    <w:rsid w:val="004A2915"/>
    <w:rsid w:val="004A2F3B"/>
    <w:rsid w:val="004A4D66"/>
    <w:rsid w:val="004A631B"/>
    <w:rsid w:val="004A6C65"/>
    <w:rsid w:val="004A7135"/>
    <w:rsid w:val="004A71AD"/>
    <w:rsid w:val="004A74C7"/>
    <w:rsid w:val="004B0C94"/>
    <w:rsid w:val="004B2897"/>
    <w:rsid w:val="004B2FC7"/>
    <w:rsid w:val="004B39B2"/>
    <w:rsid w:val="004B402C"/>
    <w:rsid w:val="004B40FD"/>
    <w:rsid w:val="004B451F"/>
    <w:rsid w:val="004B69C0"/>
    <w:rsid w:val="004B6BAC"/>
    <w:rsid w:val="004B74EE"/>
    <w:rsid w:val="004B7BFE"/>
    <w:rsid w:val="004C159F"/>
    <w:rsid w:val="004C3605"/>
    <w:rsid w:val="004C6808"/>
    <w:rsid w:val="004D06CD"/>
    <w:rsid w:val="004D0A95"/>
    <w:rsid w:val="004D27D0"/>
    <w:rsid w:val="004D3C21"/>
    <w:rsid w:val="004E0A68"/>
    <w:rsid w:val="004E3527"/>
    <w:rsid w:val="004E47D0"/>
    <w:rsid w:val="004E4B01"/>
    <w:rsid w:val="004E669F"/>
    <w:rsid w:val="004F111E"/>
    <w:rsid w:val="004F2FEC"/>
    <w:rsid w:val="004F4C37"/>
    <w:rsid w:val="004F6F64"/>
    <w:rsid w:val="00500138"/>
    <w:rsid w:val="0050281D"/>
    <w:rsid w:val="00502B43"/>
    <w:rsid w:val="00504BBE"/>
    <w:rsid w:val="00505DF1"/>
    <w:rsid w:val="0050767F"/>
    <w:rsid w:val="005101E4"/>
    <w:rsid w:val="005116F4"/>
    <w:rsid w:val="00514AE6"/>
    <w:rsid w:val="005224DE"/>
    <w:rsid w:val="00522D7E"/>
    <w:rsid w:val="00523129"/>
    <w:rsid w:val="00525673"/>
    <w:rsid w:val="005302BB"/>
    <w:rsid w:val="005322C5"/>
    <w:rsid w:val="0053295C"/>
    <w:rsid w:val="005344C3"/>
    <w:rsid w:val="00535CBE"/>
    <w:rsid w:val="00535D25"/>
    <w:rsid w:val="00537368"/>
    <w:rsid w:val="005373B5"/>
    <w:rsid w:val="0053798D"/>
    <w:rsid w:val="00537A79"/>
    <w:rsid w:val="005407CA"/>
    <w:rsid w:val="00541A34"/>
    <w:rsid w:val="0054458D"/>
    <w:rsid w:val="00544A38"/>
    <w:rsid w:val="005461B8"/>
    <w:rsid w:val="005469EB"/>
    <w:rsid w:val="00547EB9"/>
    <w:rsid w:val="00551263"/>
    <w:rsid w:val="005528BF"/>
    <w:rsid w:val="005539F8"/>
    <w:rsid w:val="00553AB9"/>
    <w:rsid w:val="00556872"/>
    <w:rsid w:val="00557AC1"/>
    <w:rsid w:val="005600C4"/>
    <w:rsid w:val="005603F4"/>
    <w:rsid w:val="0056120F"/>
    <w:rsid w:val="00561A7B"/>
    <w:rsid w:val="00561E43"/>
    <w:rsid w:val="00562F56"/>
    <w:rsid w:val="00564C1F"/>
    <w:rsid w:val="00566BD4"/>
    <w:rsid w:val="00574085"/>
    <w:rsid w:val="0057415A"/>
    <w:rsid w:val="00574C8F"/>
    <w:rsid w:val="005760E4"/>
    <w:rsid w:val="005766C4"/>
    <w:rsid w:val="00576BDD"/>
    <w:rsid w:val="0057701C"/>
    <w:rsid w:val="005848B4"/>
    <w:rsid w:val="00584B8C"/>
    <w:rsid w:val="00584E00"/>
    <w:rsid w:val="00585FF7"/>
    <w:rsid w:val="00587E65"/>
    <w:rsid w:val="0059034B"/>
    <w:rsid w:val="005908ED"/>
    <w:rsid w:val="00590DBC"/>
    <w:rsid w:val="00592D0F"/>
    <w:rsid w:val="005933A1"/>
    <w:rsid w:val="00594F4D"/>
    <w:rsid w:val="005951BA"/>
    <w:rsid w:val="005954FD"/>
    <w:rsid w:val="005955CB"/>
    <w:rsid w:val="00595F1F"/>
    <w:rsid w:val="005A18E5"/>
    <w:rsid w:val="005B097A"/>
    <w:rsid w:val="005B214C"/>
    <w:rsid w:val="005B2A6E"/>
    <w:rsid w:val="005B36B3"/>
    <w:rsid w:val="005B3959"/>
    <w:rsid w:val="005B48E2"/>
    <w:rsid w:val="005B5343"/>
    <w:rsid w:val="005B619E"/>
    <w:rsid w:val="005B6924"/>
    <w:rsid w:val="005B6C61"/>
    <w:rsid w:val="005B7095"/>
    <w:rsid w:val="005C1F16"/>
    <w:rsid w:val="005C2091"/>
    <w:rsid w:val="005C34F0"/>
    <w:rsid w:val="005C4AAD"/>
    <w:rsid w:val="005C4FFB"/>
    <w:rsid w:val="005C6146"/>
    <w:rsid w:val="005C7A30"/>
    <w:rsid w:val="005D04C4"/>
    <w:rsid w:val="005D233D"/>
    <w:rsid w:val="005D3AA0"/>
    <w:rsid w:val="005D3E52"/>
    <w:rsid w:val="005D3FC1"/>
    <w:rsid w:val="005D59E0"/>
    <w:rsid w:val="005D6C70"/>
    <w:rsid w:val="005E2FE5"/>
    <w:rsid w:val="005E39E1"/>
    <w:rsid w:val="005F0A5D"/>
    <w:rsid w:val="005F1B5D"/>
    <w:rsid w:val="005F2490"/>
    <w:rsid w:val="005F41BA"/>
    <w:rsid w:val="005F4BA4"/>
    <w:rsid w:val="005F558D"/>
    <w:rsid w:val="005F6952"/>
    <w:rsid w:val="005F6DAC"/>
    <w:rsid w:val="00600377"/>
    <w:rsid w:val="006009F2"/>
    <w:rsid w:val="00601353"/>
    <w:rsid w:val="00601356"/>
    <w:rsid w:val="006024A8"/>
    <w:rsid w:val="00602927"/>
    <w:rsid w:val="00602E21"/>
    <w:rsid w:val="00603AAC"/>
    <w:rsid w:val="00604D70"/>
    <w:rsid w:val="00605467"/>
    <w:rsid w:val="006056BF"/>
    <w:rsid w:val="00606333"/>
    <w:rsid w:val="00606DAC"/>
    <w:rsid w:val="00607C69"/>
    <w:rsid w:val="006118CE"/>
    <w:rsid w:val="00611EA4"/>
    <w:rsid w:val="00613FBE"/>
    <w:rsid w:val="0062154A"/>
    <w:rsid w:val="0062165F"/>
    <w:rsid w:val="00622B98"/>
    <w:rsid w:val="00623438"/>
    <w:rsid w:val="006234D8"/>
    <w:rsid w:val="00625655"/>
    <w:rsid w:val="00625E29"/>
    <w:rsid w:val="006264AF"/>
    <w:rsid w:val="00626733"/>
    <w:rsid w:val="00626767"/>
    <w:rsid w:val="0062785F"/>
    <w:rsid w:val="00627DAF"/>
    <w:rsid w:val="0063198D"/>
    <w:rsid w:val="006321D3"/>
    <w:rsid w:val="006346C3"/>
    <w:rsid w:val="006349E6"/>
    <w:rsid w:val="006353C7"/>
    <w:rsid w:val="00635AE9"/>
    <w:rsid w:val="00635DD3"/>
    <w:rsid w:val="00636CDB"/>
    <w:rsid w:val="00637647"/>
    <w:rsid w:val="006401B4"/>
    <w:rsid w:val="0064022B"/>
    <w:rsid w:val="00640372"/>
    <w:rsid w:val="00640BC6"/>
    <w:rsid w:val="00641F1A"/>
    <w:rsid w:val="006435E0"/>
    <w:rsid w:val="00643FDE"/>
    <w:rsid w:val="00644423"/>
    <w:rsid w:val="00645F9F"/>
    <w:rsid w:val="00646A43"/>
    <w:rsid w:val="006504C0"/>
    <w:rsid w:val="006506B2"/>
    <w:rsid w:val="00650804"/>
    <w:rsid w:val="006509B4"/>
    <w:rsid w:val="006510E8"/>
    <w:rsid w:val="00651E06"/>
    <w:rsid w:val="00653430"/>
    <w:rsid w:val="00654D57"/>
    <w:rsid w:val="00655B01"/>
    <w:rsid w:val="00656251"/>
    <w:rsid w:val="0065679C"/>
    <w:rsid w:val="00657071"/>
    <w:rsid w:val="00657FA5"/>
    <w:rsid w:val="00660385"/>
    <w:rsid w:val="00661623"/>
    <w:rsid w:val="006618B3"/>
    <w:rsid w:val="0066299F"/>
    <w:rsid w:val="006712CF"/>
    <w:rsid w:val="006719BD"/>
    <w:rsid w:val="006719C3"/>
    <w:rsid w:val="00672188"/>
    <w:rsid w:val="006726F4"/>
    <w:rsid w:val="00672F68"/>
    <w:rsid w:val="00673EC5"/>
    <w:rsid w:val="00674DF6"/>
    <w:rsid w:val="00676AFD"/>
    <w:rsid w:val="00676E1B"/>
    <w:rsid w:val="00680A22"/>
    <w:rsid w:val="00680AE9"/>
    <w:rsid w:val="00683907"/>
    <w:rsid w:val="00683C66"/>
    <w:rsid w:val="00684A5F"/>
    <w:rsid w:val="00684AB7"/>
    <w:rsid w:val="00685468"/>
    <w:rsid w:val="00685CE2"/>
    <w:rsid w:val="006860BD"/>
    <w:rsid w:val="00686983"/>
    <w:rsid w:val="00687FBB"/>
    <w:rsid w:val="00690D89"/>
    <w:rsid w:val="00691BFF"/>
    <w:rsid w:val="00692BC2"/>
    <w:rsid w:val="00693642"/>
    <w:rsid w:val="00696F8D"/>
    <w:rsid w:val="00696FE5"/>
    <w:rsid w:val="00697C2A"/>
    <w:rsid w:val="006A01AE"/>
    <w:rsid w:val="006A0F99"/>
    <w:rsid w:val="006A106B"/>
    <w:rsid w:val="006A1B6C"/>
    <w:rsid w:val="006A3332"/>
    <w:rsid w:val="006A3385"/>
    <w:rsid w:val="006A522C"/>
    <w:rsid w:val="006A60E6"/>
    <w:rsid w:val="006A6172"/>
    <w:rsid w:val="006A62EC"/>
    <w:rsid w:val="006A6441"/>
    <w:rsid w:val="006A6E1C"/>
    <w:rsid w:val="006A7FF7"/>
    <w:rsid w:val="006B0308"/>
    <w:rsid w:val="006B084F"/>
    <w:rsid w:val="006B14D6"/>
    <w:rsid w:val="006B240F"/>
    <w:rsid w:val="006B2859"/>
    <w:rsid w:val="006B2D70"/>
    <w:rsid w:val="006B2EB2"/>
    <w:rsid w:val="006B2ECD"/>
    <w:rsid w:val="006B3615"/>
    <w:rsid w:val="006B4232"/>
    <w:rsid w:val="006B45C9"/>
    <w:rsid w:val="006B6D1D"/>
    <w:rsid w:val="006B7396"/>
    <w:rsid w:val="006C1EF4"/>
    <w:rsid w:val="006C2705"/>
    <w:rsid w:val="006C302D"/>
    <w:rsid w:val="006C4C56"/>
    <w:rsid w:val="006C5F6E"/>
    <w:rsid w:val="006C696C"/>
    <w:rsid w:val="006C7D6D"/>
    <w:rsid w:val="006D0A2E"/>
    <w:rsid w:val="006D1261"/>
    <w:rsid w:val="006D2A3A"/>
    <w:rsid w:val="006D2E8B"/>
    <w:rsid w:val="006D3CE7"/>
    <w:rsid w:val="006D3E87"/>
    <w:rsid w:val="006D43B0"/>
    <w:rsid w:val="006D6DA2"/>
    <w:rsid w:val="006D7353"/>
    <w:rsid w:val="006D75C4"/>
    <w:rsid w:val="006E06BF"/>
    <w:rsid w:val="006E2B76"/>
    <w:rsid w:val="006E428D"/>
    <w:rsid w:val="006E77F3"/>
    <w:rsid w:val="006F054F"/>
    <w:rsid w:val="006F4185"/>
    <w:rsid w:val="006F56E8"/>
    <w:rsid w:val="006F7EB0"/>
    <w:rsid w:val="00700903"/>
    <w:rsid w:val="007035CA"/>
    <w:rsid w:val="007049A5"/>
    <w:rsid w:val="00705EB4"/>
    <w:rsid w:val="0070742C"/>
    <w:rsid w:val="00712160"/>
    <w:rsid w:val="00713D92"/>
    <w:rsid w:val="00717108"/>
    <w:rsid w:val="00720D4F"/>
    <w:rsid w:val="00721400"/>
    <w:rsid w:val="00722184"/>
    <w:rsid w:val="0072266E"/>
    <w:rsid w:val="00724552"/>
    <w:rsid w:val="00724C98"/>
    <w:rsid w:val="0072657B"/>
    <w:rsid w:val="00727980"/>
    <w:rsid w:val="007308BC"/>
    <w:rsid w:val="00740736"/>
    <w:rsid w:val="00742C13"/>
    <w:rsid w:val="00742E53"/>
    <w:rsid w:val="00743811"/>
    <w:rsid w:val="00744A5B"/>
    <w:rsid w:val="00745F89"/>
    <w:rsid w:val="00746CEB"/>
    <w:rsid w:val="0074721A"/>
    <w:rsid w:val="0075018C"/>
    <w:rsid w:val="00750DD5"/>
    <w:rsid w:val="00752185"/>
    <w:rsid w:val="00752CCA"/>
    <w:rsid w:val="00754A9E"/>
    <w:rsid w:val="00754C92"/>
    <w:rsid w:val="00755BF8"/>
    <w:rsid w:val="007574CD"/>
    <w:rsid w:val="00761211"/>
    <w:rsid w:val="00762451"/>
    <w:rsid w:val="007636E2"/>
    <w:rsid w:val="00771A42"/>
    <w:rsid w:val="00771DD8"/>
    <w:rsid w:val="00773A30"/>
    <w:rsid w:val="007749CF"/>
    <w:rsid w:val="00775649"/>
    <w:rsid w:val="0077566C"/>
    <w:rsid w:val="00775A80"/>
    <w:rsid w:val="00775E2F"/>
    <w:rsid w:val="007773D5"/>
    <w:rsid w:val="00777427"/>
    <w:rsid w:val="00777B69"/>
    <w:rsid w:val="0078065E"/>
    <w:rsid w:val="00780B4B"/>
    <w:rsid w:val="0078143C"/>
    <w:rsid w:val="00781A7D"/>
    <w:rsid w:val="00782675"/>
    <w:rsid w:val="00782D1D"/>
    <w:rsid w:val="00782F35"/>
    <w:rsid w:val="007830A4"/>
    <w:rsid w:val="00783162"/>
    <w:rsid w:val="007840AB"/>
    <w:rsid w:val="00784BAC"/>
    <w:rsid w:val="007857B8"/>
    <w:rsid w:val="007862AF"/>
    <w:rsid w:val="00786C7F"/>
    <w:rsid w:val="00790563"/>
    <w:rsid w:val="007918ED"/>
    <w:rsid w:val="00791F78"/>
    <w:rsid w:val="007931F2"/>
    <w:rsid w:val="007958E0"/>
    <w:rsid w:val="00795920"/>
    <w:rsid w:val="00795DC0"/>
    <w:rsid w:val="007974D7"/>
    <w:rsid w:val="00797A57"/>
    <w:rsid w:val="007A00D7"/>
    <w:rsid w:val="007A01F8"/>
    <w:rsid w:val="007A0830"/>
    <w:rsid w:val="007A5FBD"/>
    <w:rsid w:val="007A6B51"/>
    <w:rsid w:val="007A72D9"/>
    <w:rsid w:val="007A7632"/>
    <w:rsid w:val="007A7C60"/>
    <w:rsid w:val="007B060E"/>
    <w:rsid w:val="007B14C1"/>
    <w:rsid w:val="007B209B"/>
    <w:rsid w:val="007B2863"/>
    <w:rsid w:val="007B3561"/>
    <w:rsid w:val="007B4808"/>
    <w:rsid w:val="007B54CC"/>
    <w:rsid w:val="007B62C1"/>
    <w:rsid w:val="007B6CF9"/>
    <w:rsid w:val="007B73CD"/>
    <w:rsid w:val="007C0FAD"/>
    <w:rsid w:val="007C151C"/>
    <w:rsid w:val="007C1E60"/>
    <w:rsid w:val="007C2103"/>
    <w:rsid w:val="007C2ACA"/>
    <w:rsid w:val="007C4729"/>
    <w:rsid w:val="007C4EB4"/>
    <w:rsid w:val="007C694C"/>
    <w:rsid w:val="007C737A"/>
    <w:rsid w:val="007C7831"/>
    <w:rsid w:val="007C7832"/>
    <w:rsid w:val="007C7B8C"/>
    <w:rsid w:val="007C7BC4"/>
    <w:rsid w:val="007D4397"/>
    <w:rsid w:val="007D455A"/>
    <w:rsid w:val="007D4A11"/>
    <w:rsid w:val="007D4AEE"/>
    <w:rsid w:val="007D6ABF"/>
    <w:rsid w:val="007D7086"/>
    <w:rsid w:val="007E332C"/>
    <w:rsid w:val="007E35E4"/>
    <w:rsid w:val="007E4AEF"/>
    <w:rsid w:val="007E4D32"/>
    <w:rsid w:val="007E4F1A"/>
    <w:rsid w:val="007E5DDE"/>
    <w:rsid w:val="007E6465"/>
    <w:rsid w:val="007E672C"/>
    <w:rsid w:val="007F11FA"/>
    <w:rsid w:val="007F1C17"/>
    <w:rsid w:val="007F3432"/>
    <w:rsid w:val="007F452F"/>
    <w:rsid w:val="007F56FD"/>
    <w:rsid w:val="007F5D7C"/>
    <w:rsid w:val="007F69AC"/>
    <w:rsid w:val="007F69E8"/>
    <w:rsid w:val="007F780D"/>
    <w:rsid w:val="008002DD"/>
    <w:rsid w:val="00801323"/>
    <w:rsid w:val="0080355D"/>
    <w:rsid w:val="00803C57"/>
    <w:rsid w:val="00804099"/>
    <w:rsid w:val="00804815"/>
    <w:rsid w:val="00804930"/>
    <w:rsid w:val="0080590C"/>
    <w:rsid w:val="00806538"/>
    <w:rsid w:val="00806617"/>
    <w:rsid w:val="008069B6"/>
    <w:rsid w:val="00810464"/>
    <w:rsid w:val="0081065F"/>
    <w:rsid w:val="008111FF"/>
    <w:rsid w:val="00811B20"/>
    <w:rsid w:val="00811D62"/>
    <w:rsid w:val="0081220E"/>
    <w:rsid w:val="00812921"/>
    <w:rsid w:val="00813A28"/>
    <w:rsid w:val="00813DB2"/>
    <w:rsid w:val="0081506F"/>
    <w:rsid w:val="00815460"/>
    <w:rsid w:val="00815C1F"/>
    <w:rsid w:val="00815F68"/>
    <w:rsid w:val="00820978"/>
    <w:rsid w:val="008209D8"/>
    <w:rsid w:val="00821066"/>
    <w:rsid w:val="0082274D"/>
    <w:rsid w:val="00822AE0"/>
    <w:rsid w:val="00822FCC"/>
    <w:rsid w:val="00823D5D"/>
    <w:rsid w:val="00826664"/>
    <w:rsid w:val="008272CE"/>
    <w:rsid w:val="008279FA"/>
    <w:rsid w:val="00831E90"/>
    <w:rsid w:val="00832E36"/>
    <w:rsid w:val="00832F6C"/>
    <w:rsid w:val="008337B5"/>
    <w:rsid w:val="00833D50"/>
    <w:rsid w:val="0083431B"/>
    <w:rsid w:val="008343CC"/>
    <w:rsid w:val="00835122"/>
    <w:rsid w:val="0083559A"/>
    <w:rsid w:val="008358FA"/>
    <w:rsid w:val="00836C26"/>
    <w:rsid w:val="0084136C"/>
    <w:rsid w:val="008415BD"/>
    <w:rsid w:val="00843EBC"/>
    <w:rsid w:val="008452DC"/>
    <w:rsid w:val="00845EDD"/>
    <w:rsid w:val="00846640"/>
    <w:rsid w:val="00850D95"/>
    <w:rsid w:val="00852AC5"/>
    <w:rsid w:val="00852FE0"/>
    <w:rsid w:val="00853E5A"/>
    <w:rsid w:val="008556AC"/>
    <w:rsid w:val="00856034"/>
    <w:rsid w:val="00856519"/>
    <w:rsid w:val="00857A21"/>
    <w:rsid w:val="00857A5D"/>
    <w:rsid w:val="008602B9"/>
    <w:rsid w:val="00861DAB"/>
    <w:rsid w:val="008638E2"/>
    <w:rsid w:val="00864809"/>
    <w:rsid w:val="00864835"/>
    <w:rsid w:val="00864AF3"/>
    <w:rsid w:val="008653B4"/>
    <w:rsid w:val="008653E2"/>
    <w:rsid w:val="008654CD"/>
    <w:rsid w:val="00865AB8"/>
    <w:rsid w:val="00866614"/>
    <w:rsid w:val="00866DF4"/>
    <w:rsid w:val="008672A5"/>
    <w:rsid w:val="00867C6C"/>
    <w:rsid w:val="008706B2"/>
    <w:rsid w:val="008719C3"/>
    <w:rsid w:val="00871A23"/>
    <w:rsid w:val="008749F7"/>
    <w:rsid w:val="00874A48"/>
    <w:rsid w:val="00880406"/>
    <w:rsid w:val="00880F4A"/>
    <w:rsid w:val="00881110"/>
    <w:rsid w:val="008819BA"/>
    <w:rsid w:val="00881A4F"/>
    <w:rsid w:val="00882478"/>
    <w:rsid w:val="00882DCF"/>
    <w:rsid w:val="008831B3"/>
    <w:rsid w:val="008832FD"/>
    <w:rsid w:val="008835EA"/>
    <w:rsid w:val="008840E0"/>
    <w:rsid w:val="008843D2"/>
    <w:rsid w:val="0088615D"/>
    <w:rsid w:val="008875AF"/>
    <w:rsid w:val="00887B48"/>
    <w:rsid w:val="00890231"/>
    <w:rsid w:val="008911F7"/>
    <w:rsid w:val="00892094"/>
    <w:rsid w:val="0089411A"/>
    <w:rsid w:val="00895E90"/>
    <w:rsid w:val="008A2244"/>
    <w:rsid w:val="008A448B"/>
    <w:rsid w:val="008A4A2D"/>
    <w:rsid w:val="008A5A24"/>
    <w:rsid w:val="008A7536"/>
    <w:rsid w:val="008B108D"/>
    <w:rsid w:val="008B1460"/>
    <w:rsid w:val="008B194E"/>
    <w:rsid w:val="008B3401"/>
    <w:rsid w:val="008B44C7"/>
    <w:rsid w:val="008B4B18"/>
    <w:rsid w:val="008B636B"/>
    <w:rsid w:val="008B674A"/>
    <w:rsid w:val="008B72A9"/>
    <w:rsid w:val="008C138C"/>
    <w:rsid w:val="008C2859"/>
    <w:rsid w:val="008C2968"/>
    <w:rsid w:val="008C29D6"/>
    <w:rsid w:val="008C2E06"/>
    <w:rsid w:val="008C2F95"/>
    <w:rsid w:val="008C5033"/>
    <w:rsid w:val="008C6660"/>
    <w:rsid w:val="008C77EF"/>
    <w:rsid w:val="008D1E1C"/>
    <w:rsid w:val="008D2245"/>
    <w:rsid w:val="008D23AE"/>
    <w:rsid w:val="008D2E00"/>
    <w:rsid w:val="008D4EE8"/>
    <w:rsid w:val="008D61EB"/>
    <w:rsid w:val="008D7235"/>
    <w:rsid w:val="008D7D23"/>
    <w:rsid w:val="008E019B"/>
    <w:rsid w:val="008E076D"/>
    <w:rsid w:val="008E0946"/>
    <w:rsid w:val="008E0C60"/>
    <w:rsid w:val="008E1E78"/>
    <w:rsid w:val="008E2DA1"/>
    <w:rsid w:val="008E32F4"/>
    <w:rsid w:val="008E3B27"/>
    <w:rsid w:val="008E4C65"/>
    <w:rsid w:val="008E4CD3"/>
    <w:rsid w:val="008E66DD"/>
    <w:rsid w:val="008E6BAE"/>
    <w:rsid w:val="008E6CE9"/>
    <w:rsid w:val="008E7F60"/>
    <w:rsid w:val="008F01AE"/>
    <w:rsid w:val="008F28A9"/>
    <w:rsid w:val="008F2C95"/>
    <w:rsid w:val="008F3C80"/>
    <w:rsid w:val="008F3DC0"/>
    <w:rsid w:val="009000F2"/>
    <w:rsid w:val="0090026E"/>
    <w:rsid w:val="009013A8"/>
    <w:rsid w:val="009024D5"/>
    <w:rsid w:val="0090282A"/>
    <w:rsid w:val="00902CE6"/>
    <w:rsid w:val="00902D48"/>
    <w:rsid w:val="009039EE"/>
    <w:rsid w:val="00903E4B"/>
    <w:rsid w:val="00904D06"/>
    <w:rsid w:val="00905B3C"/>
    <w:rsid w:val="00907379"/>
    <w:rsid w:val="00907760"/>
    <w:rsid w:val="00907AD8"/>
    <w:rsid w:val="00910E77"/>
    <w:rsid w:val="009126F7"/>
    <w:rsid w:val="00913579"/>
    <w:rsid w:val="0091392A"/>
    <w:rsid w:val="00913C74"/>
    <w:rsid w:val="0091421E"/>
    <w:rsid w:val="00914CB1"/>
    <w:rsid w:val="00915276"/>
    <w:rsid w:val="0091568C"/>
    <w:rsid w:val="009163CA"/>
    <w:rsid w:val="00917121"/>
    <w:rsid w:val="00920BC8"/>
    <w:rsid w:val="00920D5C"/>
    <w:rsid w:val="00920F3D"/>
    <w:rsid w:val="00924AF7"/>
    <w:rsid w:val="0092638F"/>
    <w:rsid w:val="009264EE"/>
    <w:rsid w:val="009269A2"/>
    <w:rsid w:val="00927CE8"/>
    <w:rsid w:val="0093012B"/>
    <w:rsid w:val="0093187C"/>
    <w:rsid w:val="009318AE"/>
    <w:rsid w:val="00931A57"/>
    <w:rsid w:val="009326B9"/>
    <w:rsid w:val="0093335F"/>
    <w:rsid w:val="009335CF"/>
    <w:rsid w:val="009343D1"/>
    <w:rsid w:val="0093583A"/>
    <w:rsid w:val="009359C7"/>
    <w:rsid w:val="0093625A"/>
    <w:rsid w:val="0093799B"/>
    <w:rsid w:val="009405B4"/>
    <w:rsid w:val="009453D8"/>
    <w:rsid w:val="0095042F"/>
    <w:rsid w:val="00952648"/>
    <w:rsid w:val="00952822"/>
    <w:rsid w:val="00952F2A"/>
    <w:rsid w:val="00952FEC"/>
    <w:rsid w:val="009541D6"/>
    <w:rsid w:val="00954438"/>
    <w:rsid w:val="009544DE"/>
    <w:rsid w:val="00954997"/>
    <w:rsid w:val="00954BC7"/>
    <w:rsid w:val="00954BE9"/>
    <w:rsid w:val="00955142"/>
    <w:rsid w:val="009559E0"/>
    <w:rsid w:val="00956A17"/>
    <w:rsid w:val="00956A41"/>
    <w:rsid w:val="00961F50"/>
    <w:rsid w:val="00961FF2"/>
    <w:rsid w:val="00963301"/>
    <w:rsid w:val="00964B3F"/>
    <w:rsid w:val="00966E45"/>
    <w:rsid w:val="00970CC7"/>
    <w:rsid w:val="009710FA"/>
    <w:rsid w:val="00971635"/>
    <w:rsid w:val="00971D1F"/>
    <w:rsid w:val="00972C17"/>
    <w:rsid w:val="0097636B"/>
    <w:rsid w:val="009773A0"/>
    <w:rsid w:val="009816CC"/>
    <w:rsid w:val="00981C59"/>
    <w:rsid w:val="0098388D"/>
    <w:rsid w:val="00983B78"/>
    <w:rsid w:val="009840FF"/>
    <w:rsid w:val="0098423D"/>
    <w:rsid w:val="009842F9"/>
    <w:rsid w:val="00985ADE"/>
    <w:rsid w:val="00985E6B"/>
    <w:rsid w:val="00986043"/>
    <w:rsid w:val="00991436"/>
    <w:rsid w:val="0099158E"/>
    <w:rsid w:val="00991CFF"/>
    <w:rsid w:val="0099203C"/>
    <w:rsid w:val="0099277F"/>
    <w:rsid w:val="00994328"/>
    <w:rsid w:val="00994EF5"/>
    <w:rsid w:val="00995229"/>
    <w:rsid w:val="00995E77"/>
    <w:rsid w:val="009A0AEA"/>
    <w:rsid w:val="009A2930"/>
    <w:rsid w:val="009A2EAA"/>
    <w:rsid w:val="009A3C0F"/>
    <w:rsid w:val="009A402D"/>
    <w:rsid w:val="009A493D"/>
    <w:rsid w:val="009A4944"/>
    <w:rsid w:val="009A4C85"/>
    <w:rsid w:val="009A54A0"/>
    <w:rsid w:val="009A5CC9"/>
    <w:rsid w:val="009A7075"/>
    <w:rsid w:val="009A7605"/>
    <w:rsid w:val="009A7D65"/>
    <w:rsid w:val="009B0884"/>
    <w:rsid w:val="009B10FE"/>
    <w:rsid w:val="009B2266"/>
    <w:rsid w:val="009B2696"/>
    <w:rsid w:val="009B299C"/>
    <w:rsid w:val="009B3499"/>
    <w:rsid w:val="009B384E"/>
    <w:rsid w:val="009B5E28"/>
    <w:rsid w:val="009B5E88"/>
    <w:rsid w:val="009B6192"/>
    <w:rsid w:val="009B78C2"/>
    <w:rsid w:val="009C04BD"/>
    <w:rsid w:val="009C1805"/>
    <w:rsid w:val="009C1CE1"/>
    <w:rsid w:val="009C1F23"/>
    <w:rsid w:val="009C2082"/>
    <w:rsid w:val="009C2C97"/>
    <w:rsid w:val="009C3C96"/>
    <w:rsid w:val="009C4C13"/>
    <w:rsid w:val="009C4C3A"/>
    <w:rsid w:val="009C4EE2"/>
    <w:rsid w:val="009C4F3C"/>
    <w:rsid w:val="009C5EE7"/>
    <w:rsid w:val="009C7427"/>
    <w:rsid w:val="009C74DE"/>
    <w:rsid w:val="009D0EA3"/>
    <w:rsid w:val="009D2969"/>
    <w:rsid w:val="009D2C4E"/>
    <w:rsid w:val="009D2C9A"/>
    <w:rsid w:val="009D2F6B"/>
    <w:rsid w:val="009D3187"/>
    <w:rsid w:val="009D3466"/>
    <w:rsid w:val="009D4D44"/>
    <w:rsid w:val="009D581B"/>
    <w:rsid w:val="009D6AC0"/>
    <w:rsid w:val="009D7E19"/>
    <w:rsid w:val="009E2BE5"/>
    <w:rsid w:val="009E36AC"/>
    <w:rsid w:val="009E4BA2"/>
    <w:rsid w:val="009E5D79"/>
    <w:rsid w:val="009E7E14"/>
    <w:rsid w:val="009F14C8"/>
    <w:rsid w:val="009F1734"/>
    <w:rsid w:val="009F47DF"/>
    <w:rsid w:val="009F5175"/>
    <w:rsid w:val="009F5E89"/>
    <w:rsid w:val="009F62F4"/>
    <w:rsid w:val="009F7C25"/>
    <w:rsid w:val="00A01373"/>
    <w:rsid w:val="00A02A91"/>
    <w:rsid w:val="00A02AB0"/>
    <w:rsid w:val="00A03516"/>
    <w:rsid w:val="00A0690A"/>
    <w:rsid w:val="00A10EE9"/>
    <w:rsid w:val="00A1377C"/>
    <w:rsid w:val="00A138CD"/>
    <w:rsid w:val="00A14A2D"/>
    <w:rsid w:val="00A157CA"/>
    <w:rsid w:val="00A167BC"/>
    <w:rsid w:val="00A203FB"/>
    <w:rsid w:val="00A213B4"/>
    <w:rsid w:val="00A220EE"/>
    <w:rsid w:val="00A22E40"/>
    <w:rsid w:val="00A22EC8"/>
    <w:rsid w:val="00A23335"/>
    <w:rsid w:val="00A244A1"/>
    <w:rsid w:val="00A24E4B"/>
    <w:rsid w:val="00A25000"/>
    <w:rsid w:val="00A25385"/>
    <w:rsid w:val="00A255B0"/>
    <w:rsid w:val="00A27C9C"/>
    <w:rsid w:val="00A316C5"/>
    <w:rsid w:val="00A31D8F"/>
    <w:rsid w:val="00A344E8"/>
    <w:rsid w:val="00A364B9"/>
    <w:rsid w:val="00A43F7C"/>
    <w:rsid w:val="00A44CB5"/>
    <w:rsid w:val="00A50C72"/>
    <w:rsid w:val="00A510CE"/>
    <w:rsid w:val="00A510F3"/>
    <w:rsid w:val="00A5330F"/>
    <w:rsid w:val="00A5346D"/>
    <w:rsid w:val="00A53689"/>
    <w:rsid w:val="00A5417B"/>
    <w:rsid w:val="00A54939"/>
    <w:rsid w:val="00A54A1E"/>
    <w:rsid w:val="00A56517"/>
    <w:rsid w:val="00A57726"/>
    <w:rsid w:val="00A57CC7"/>
    <w:rsid w:val="00A60C52"/>
    <w:rsid w:val="00A6244D"/>
    <w:rsid w:val="00A648AF"/>
    <w:rsid w:val="00A65809"/>
    <w:rsid w:val="00A6600C"/>
    <w:rsid w:val="00A663A2"/>
    <w:rsid w:val="00A717F4"/>
    <w:rsid w:val="00A71840"/>
    <w:rsid w:val="00A71B20"/>
    <w:rsid w:val="00A726C8"/>
    <w:rsid w:val="00A7278E"/>
    <w:rsid w:val="00A72FC3"/>
    <w:rsid w:val="00A736BC"/>
    <w:rsid w:val="00A755F1"/>
    <w:rsid w:val="00A773B0"/>
    <w:rsid w:val="00A80874"/>
    <w:rsid w:val="00A80CE6"/>
    <w:rsid w:val="00A80D3C"/>
    <w:rsid w:val="00A81648"/>
    <w:rsid w:val="00A81F4E"/>
    <w:rsid w:val="00A854B4"/>
    <w:rsid w:val="00A86B97"/>
    <w:rsid w:val="00A86BF9"/>
    <w:rsid w:val="00A87B9D"/>
    <w:rsid w:val="00A87FC8"/>
    <w:rsid w:val="00A90782"/>
    <w:rsid w:val="00A910EF"/>
    <w:rsid w:val="00A931C3"/>
    <w:rsid w:val="00A932BC"/>
    <w:rsid w:val="00A93A7B"/>
    <w:rsid w:val="00AA09A3"/>
    <w:rsid w:val="00AA18A5"/>
    <w:rsid w:val="00AA3C27"/>
    <w:rsid w:val="00AA599C"/>
    <w:rsid w:val="00AA5CCF"/>
    <w:rsid w:val="00AA6A9E"/>
    <w:rsid w:val="00AA6D10"/>
    <w:rsid w:val="00AA7532"/>
    <w:rsid w:val="00AA7640"/>
    <w:rsid w:val="00AB3D83"/>
    <w:rsid w:val="00AB3DCE"/>
    <w:rsid w:val="00AB4396"/>
    <w:rsid w:val="00AB5689"/>
    <w:rsid w:val="00AB589A"/>
    <w:rsid w:val="00AB720B"/>
    <w:rsid w:val="00AC13D9"/>
    <w:rsid w:val="00AC1551"/>
    <w:rsid w:val="00AC1BC7"/>
    <w:rsid w:val="00AC40F7"/>
    <w:rsid w:val="00AC4174"/>
    <w:rsid w:val="00AC4A13"/>
    <w:rsid w:val="00AC4A67"/>
    <w:rsid w:val="00AC67F8"/>
    <w:rsid w:val="00AC6D8D"/>
    <w:rsid w:val="00AC710F"/>
    <w:rsid w:val="00AC7186"/>
    <w:rsid w:val="00AC74C4"/>
    <w:rsid w:val="00AD05F8"/>
    <w:rsid w:val="00AD08FD"/>
    <w:rsid w:val="00AD529C"/>
    <w:rsid w:val="00AD53FE"/>
    <w:rsid w:val="00AD58AB"/>
    <w:rsid w:val="00AD59DB"/>
    <w:rsid w:val="00AD70B6"/>
    <w:rsid w:val="00AD71F4"/>
    <w:rsid w:val="00AD7504"/>
    <w:rsid w:val="00AE114E"/>
    <w:rsid w:val="00AE1682"/>
    <w:rsid w:val="00AE28B1"/>
    <w:rsid w:val="00AE3B78"/>
    <w:rsid w:val="00AE4688"/>
    <w:rsid w:val="00AE4DF2"/>
    <w:rsid w:val="00AE6087"/>
    <w:rsid w:val="00AE7EF1"/>
    <w:rsid w:val="00AF0868"/>
    <w:rsid w:val="00AF2B44"/>
    <w:rsid w:val="00AF4A44"/>
    <w:rsid w:val="00AF4C97"/>
    <w:rsid w:val="00AF5FA9"/>
    <w:rsid w:val="00B04009"/>
    <w:rsid w:val="00B07FAD"/>
    <w:rsid w:val="00B07FD9"/>
    <w:rsid w:val="00B15129"/>
    <w:rsid w:val="00B1664E"/>
    <w:rsid w:val="00B17204"/>
    <w:rsid w:val="00B17583"/>
    <w:rsid w:val="00B17B63"/>
    <w:rsid w:val="00B20892"/>
    <w:rsid w:val="00B23390"/>
    <w:rsid w:val="00B267BE"/>
    <w:rsid w:val="00B30AD6"/>
    <w:rsid w:val="00B323D3"/>
    <w:rsid w:val="00B33F39"/>
    <w:rsid w:val="00B34CEE"/>
    <w:rsid w:val="00B350E8"/>
    <w:rsid w:val="00B353F9"/>
    <w:rsid w:val="00B35DC8"/>
    <w:rsid w:val="00B4057F"/>
    <w:rsid w:val="00B406CE"/>
    <w:rsid w:val="00B433EA"/>
    <w:rsid w:val="00B44709"/>
    <w:rsid w:val="00B448BE"/>
    <w:rsid w:val="00B45DB6"/>
    <w:rsid w:val="00B46558"/>
    <w:rsid w:val="00B5124C"/>
    <w:rsid w:val="00B53D6C"/>
    <w:rsid w:val="00B54FDA"/>
    <w:rsid w:val="00B55E86"/>
    <w:rsid w:val="00B56D7B"/>
    <w:rsid w:val="00B5703E"/>
    <w:rsid w:val="00B626A6"/>
    <w:rsid w:val="00B6474E"/>
    <w:rsid w:val="00B65324"/>
    <w:rsid w:val="00B65976"/>
    <w:rsid w:val="00B66F65"/>
    <w:rsid w:val="00B703AC"/>
    <w:rsid w:val="00B708DF"/>
    <w:rsid w:val="00B70CC3"/>
    <w:rsid w:val="00B70DFB"/>
    <w:rsid w:val="00B73B13"/>
    <w:rsid w:val="00B74A1C"/>
    <w:rsid w:val="00B74EDF"/>
    <w:rsid w:val="00B75D22"/>
    <w:rsid w:val="00B765CB"/>
    <w:rsid w:val="00B80274"/>
    <w:rsid w:val="00B805EE"/>
    <w:rsid w:val="00B80D27"/>
    <w:rsid w:val="00B82310"/>
    <w:rsid w:val="00B840BD"/>
    <w:rsid w:val="00B84A8E"/>
    <w:rsid w:val="00B8515B"/>
    <w:rsid w:val="00B87659"/>
    <w:rsid w:val="00B878C9"/>
    <w:rsid w:val="00B87906"/>
    <w:rsid w:val="00B93502"/>
    <w:rsid w:val="00B9392D"/>
    <w:rsid w:val="00B95EDE"/>
    <w:rsid w:val="00B95FD1"/>
    <w:rsid w:val="00B970E3"/>
    <w:rsid w:val="00B97C98"/>
    <w:rsid w:val="00B97D11"/>
    <w:rsid w:val="00B97EF3"/>
    <w:rsid w:val="00BA05A0"/>
    <w:rsid w:val="00BA05FC"/>
    <w:rsid w:val="00BA4475"/>
    <w:rsid w:val="00BA5136"/>
    <w:rsid w:val="00BA5858"/>
    <w:rsid w:val="00BA67CB"/>
    <w:rsid w:val="00BA7643"/>
    <w:rsid w:val="00BB0816"/>
    <w:rsid w:val="00BB0B37"/>
    <w:rsid w:val="00BB21D6"/>
    <w:rsid w:val="00BB2502"/>
    <w:rsid w:val="00BB41DC"/>
    <w:rsid w:val="00BC0203"/>
    <w:rsid w:val="00BC2E68"/>
    <w:rsid w:val="00BC41EC"/>
    <w:rsid w:val="00BC4CFA"/>
    <w:rsid w:val="00BC4F2A"/>
    <w:rsid w:val="00BC660F"/>
    <w:rsid w:val="00BC6640"/>
    <w:rsid w:val="00BC677D"/>
    <w:rsid w:val="00BC69BA"/>
    <w:rsid w:val="00BC6B92"/>
    <w:rsid w:val="00BC6DCF"/>
    <w:rsid w:val="00BD0341"/>
    <w:rsid w:val="00BD2A1F"/>
    <w:rsid w:val="00BD3C3B"/>
    <w:rsid w:val="00BD4518"/>
    <w:rsid w:val="00BD618D"/>
    <w:rsid w:val="00BD7027"/>
    <w:rsid w:val="00BD77E0"/>
    <w:rsid w:val="00BD79D6"/>
    <w:rsid w:val="00BD7E8F"/>
    <w:rsid w:val="00BE1E66"/>
    <w:rsid w:val="00BE223F"/>
    <w:rsid w:val="00BE44F3"/>
    <w:rsid w:val="00BE4856"/>
    <w:rsid w:val="00BE7081"/>
    <w:rsid w:val="00BE7107"/>
    <w:rsid w:val="00BE7C04"/>
    <w:rsid w:val="00BF1829"/>
    <w:rsid w:val="00BF3639"/>
    <w:rsid w:val="00BF3D82"/>
    <w:rsid w:val="00BF3F40"/>
    <w:rsid w:val="00BF53BA"/>
    <w:rsid w:val="00BF6EE7"/>
    <w:rsid w:val="00BF74C3"/>
    <w:rsid w:val="00C00265"/>
    <w:rsid w:val="00C01400"/>
    <w:rsid w:val="00C01E54"/>
    <w:rsid w:val="00C02196"/>
    <w:rsid w:val="00C030EB"/>
    <w:rsid w:val="00C03506"/>
    <w:rsid w:val="00C03AB2"/>
    <w:rsid w:val="00C03E98"/>
    <w:rsid w:val="00C05EC0"/>
    <w:rsid w:val="00C06C8A"/>
    <w:rsid w:val="00C07396"/>
    <w:rsid w:val="00C07BEB"/>
    <w:rsid w:val="00C10826"/>
    <w:rsid w:val="00C1235F"/>
    <w:rsid w:val="00C124D1"/>
    <w:rsid w:val="00C13460"/>
    <w:rsid w:val="00C139FA"/>
    <w:rsid w:val="00C14AE6"/>
    <w:rsid w:val="00C14C78"/>
    <w:rsid w:val="00C156D7"/>
    <w:rsid w:val="00C159CC"/>
    <w:rsid w:val="00C15D45"/>
    <w:rsid w:val="00C17272"/>
    <w:rsid w:val="00C206FD"/>
    <w:rsid w:val="00C20E7E"/>
    <w:rsid w:val="00C212B8"/>
    <w:rsid w:val="00C2219D"/>
    <w:rsid w:val="00C224E6"/>
    <w:rsid w:val="00C242A6"/>
    <w:rsid w:val="00C26236"/>
    <w:rsid w:val="00C27C9C"/>
    <w:rsid w:val="00C31077"/>
    <w:rsid w:val="00C31285"/>
    <w:rsid w:val="00C32D3D"/>
    <w:rsid w:val="00C33133"/>
    <w:rsid w:val="00C334FF"/>
    <w:rsid w:val="00C342B2"/>
    <w:rsid w:val="00C34806"/>
    <w:rsid w:val="00C349F8"/>
    <w:rsid w:val="00C407A8"/>
    <w:rsid w:val="00C41450"/>
    <w:rsid w:val="00C439C6"/>
    <w:rsid w:val="00C43ACB"/>
    <w:rsid w:val="00C4432E"/>
    <w:rsid w:val="00C44558"/>
    <w:rsid w:val="00C45F64"/>
    <w:rsid w:val="00C464B2"/>
    <w:rsid w:val="00C46A7C"/>
    <w:rsid w:val="00C47D73"/>
    <w:rsid w:val="00C51706"/>
    <w:rsid w:val="00C5184C"/>
    <w:rsid w:val="00C53935"/>
    <w:rsid w:val="00C550DA"/>
    <w:rsid w:val="00C55DD2"/>
    <w:rsid w:val="00C56480"/>
    <w:rsid w:val="00C5728D"/>
    <w:rsid w:val="00C60671"/>
    <w:rsid w:val="00C61042"/>
    <w:rsid w:val="00C611F9"/>
    <w:rsid w:val="00C61949"/>
    <w:rsid w:val="00C61B09"/>
    <w:rsid w:val="00C61D7F"/>
    <w:rsid w:val="00C62CB2"/>
    <w:rsid w:val="00C63D0A"/>
    <w:rsid w:val="00C65573"/>
    <w:rsid w:val="00C664D4"/>
    <w:rsid w:val="00C70211"/>
    <w:rsid w:val="00C76F66"/>
    <w:rsid w:val="00C773CA"/>
    <w:rsid w:val="00C80AF2"/>
    <w:rsid w:val="00C814C4"/>
    <w:rsid w:val="00C81A30"/>
    <w:rsid w:val="00C86835"/>
    <w:rsid w:val="00C86AC4"/>
    <w:rsid w:val="00C872A4"/>
    <w:rsid w:val="00C9043E"/>
    <w:rsid w:val="00C95847"/>
    <w:rsid w:val="00C96D54"/>
    <w:rsid w:val="00C97398"/>
    <w:rsid w:val="00C97837"/>
    <w:rsid w:val="00C97D7F"/>
    <w:rsid w:val="00CA0A46"/>
    <w:rsid w:val="00CA207C"/>
    <w:rsid w:val="00CA209C"/>
    <w:rsid w:val="00CA23A4"/>
    <w:rsid w:val="00CA2951"/>
    <w:rsid w:val="00CA3C52"/>
    <w:rsid w:val="00CA3D45"/>
    <w:rsid w:val="00CA77AF"/>
    <w:rsid w:val="00CB0038"/>
    <w:rsid w:val="00CB03E5"/>
    <w:rsid w:val="00CB11BC"/>
    <w:rsid w:val="00CB1D93"/>
    <w:rsid w:val="00CB2BB0"/>
    <w:rsid w:val="00CB3F4A"/>
    <w:rsid w:val="00CB40AD"/>
    <w:rsid w:val="00CB5673"/>
    <w:rsid w:val="00CB5BCD"/>
    <w:rsid w:val="00CB608E"/>
    <w:rsid w:val="00CB7062"/>
    <w:rsid w:val="00CB72C4"/>
    <w:rsid w:val="00CB732D"/>
    <w:rsid w:val="00CC0360"/>
    <w:rsid w:val="00CC25E3"/>
    <w:rsid w:val="00CC6016"/>
    <w:rsid w:val="00CC6AF5"/>
    <w:rsid w:val="00CC7715"/>
    <w:rsid w:val="00CC7AA9"/>
    <w:rsid w:val="00CD090D"/>
    <w:rsid w:val="00CD1173"/>
    <w:rsid w:val="00CD169B"/>
    <w:rsid w:val="00CD193F"/>
    <w:rsid w:val="00CD1CF0"/>
    <w:rsid w:val="00CD251B"/>
    <w:rsid w:val="00CD29DB"/>
    <w:rsid w:val="00CD3ABD"/>
    <w:rsid w:val="00CD4679"/>
    <w:rsid w:val="00CD51C3"/>
    <w:rsid w:val="00CD59C6"/>
    <w:rsid w:val="00CD7468"/>
    <w:rsid w:val="00CE1252"/>
    <w:rsid w:val="00CE171F"/>
    <w:rsid w:val="00CE259C"/>
    <w:rsid w:val="00CE2941"/>
    <w:rsid w:val="00CE2BFD"/>
    <w:rsid w:val="00CE2E4A"/>
    <w:rsid w:val="00CE378F"/>
    <w:rsid w:val="00CE5EBF"/>
    <w:rsid w:val="00CE6FFD"/>
    <w:rsid w:val="00CF04F6"/>
    <w:rsid w:val="00CF18A3"/>
    <w:rsid w:val="00CF24C6"/>
    <w:rsid w:val="00CF256F"/>
    <w:rsid w:val="00CF2AEF"/>
    <w:rsid w:val="00CF2F3B"/>
    <w:rsid w:val="00CF33D2"/>
    <w:rsid w:val="00CF3B65"/>
    <w:rsid w:val="00CF422C"/>
    <w:rsid w:val="00CF457C"/>
    <w:rsid w:val="00CF459A"/>
    <w:rsid w:val="00CF6B62"/>
    <w:rsid w:val="00CF74A7"/>
    <w:rsid w:val="00D00415"/>
    <w:rsid w:val="00D01585"/>
    <w:rsid w:val="00D01F09"/>
    <w:rsid w:val="00D0263D"/>
    <w:rsid w:val="00D0375A"/>
    <w:rsid w:val="00D03D4A"/>
    <w:rsid w:val="00D04049"/>
    <w:rsid w:val="00D067E3"/>
    <w:rsid w:val="00D06809"/>
    <w:rsid w:val="00D0696D"/>
    <w:rsid w:val="00D07853"/>
    <w:rsid w:val="00D10208"/>
    <w:rsid w:val="00D10727"/>
    <w:rsid w:val="00D111F2"/>
    <w:rsid w:val="00D116ED"/>
    <w:rsid w:val="00D11859"/>
    <w:rsid w:val="00D1276A"/>
    <w:rsid w:val="00D12B4D"/>
    <w:rsid w:val="00D16EA7"/>
    <w:rsid w:val="00D175C3"/>
    <w:rsid w:val="00D207C1"/>
    <w:rsid w:val="00D211DC"/>
    <w:rsid w:val="00D213C4"/>
    <w:rsid w:val="00D22147"/>
    <w:rsid w:val="00D222BA"/>
    <w:rsid w:val="00D22833"/>
    <w:rsid w:val="00D22B6C"/>
    <w:rsid w:val="00D22D92"/>
    <w:rsid w:val="00D237BB"/>
    <w:rsid w:val="00D242B6"/>
    <w:rsid w:val="00D2487A"/>
    <w:rsid w:val="00D250D5"/>
    <w:rsid w:val="00D2614D"/>
    <w:rsid w:val="00D26787"/>
    <w:rsid w:val="00D267AA"/>
    <w:rsid w:val="00D26D30"/>
    <w:rsid w:val="00D26EE2"/>
    <w:rsid w:val="00D30F53"/>
    <w:rsid w:val="00D31F2E"/>
    <w:rsid w:val="00D32707"/>
    <w:rsid w:val="00D33B3D"/>
    <w:rsid w:val="00D33E17"/>
    <w:rsid w:val="00D351F0"/>
    <w:rsid w:val="00D352BF"/>
    <w:rsid w:val="00D361F0"/>
    <w:rsid w:val="00D369D3"/>
    <w:rsid w:val="00D37BA4"/>
    <w:rsid w:val="00D40B32"/>
    <w:rsid w:val="00D41947"/>
    <w:rsid w:val="00D41B9A"/>
    <w:rsid w:val="00D41E9B"/>
    <w:rsid w:val="00D42B17"/>
    <w:rsid w:val="00D448B8"/>
    <w:rsid w:val="00D4594E"/>
    <w:rsid w:val="00D468E7"/>
    <w:rsid w:val="00D50859"/>
    <w:rsid w:val="00D52396"/>
    <w:rsid w:val="00D53361"/>
    <w:rsid w:val="00D533BF"/>
    <w:rsid w:val="00D539D2"/>
    <w:rsid w:val="00D544F0"/>
    <w:rsid w:val="00D54950"/>
    <w:rsid w:val="00D54F33"/>
    <w:rsid w:val="00D55115"/>
    <w:rsid w:val="00D5564A"/>
    <w:rsid w:val="00D5616D"/>
    <w:rsid w:val="00D56F1C"/>
    <w:rsid w:val="00D60AB9"/>
    <w:rsid w:val="00D621FA"/>
    <w:rsid w:val="00D62D2E"/>
    <w:rsid w:val="00D62F07"/>
    <w:rsid w:val="00D6381B"/>
    <w:rsid w:val="00D63C81"/>
    <w:rsid w:val="00D65532"/>
    <w:rsid w:val="00D656F0"/>
    <w:rsid w:val="00D661BB"/>
    <w:rsid w:val="00D66B96"/>
    <w:rsid w:val="00D66DDE"/>
    <w:rsid w:val="00D671F3"/>
    <w:rsid w:val="00D6737A"/>
    <w:rsid w:val="00D70147"/>
    <w:rsid w:val="00D7189C"/>
    <w:rsid w:val="00D71C19"/>
    <w:rsid w:val="00D72505"/>
    <w:rsid w:val="00D7269B"/>
    <w:rsid w:val="00D73ADB"/>
    <w:rsid w:val="00D74810"/>
    <w:rsid w:val="00D74E7F"/>
    <w:rsid w:val="00D7586F"/>
    <w:rsid w:val="00D75986"/>
    <w:rsid w:val="00D777D7"/>
    <w:rsid w:val="00D80BD5"/>
    <w:rsid w:val="00D81122"/>
    <w:rsid w:val="00D811C5"/>
    <w:rsid w:val="00D81EA8"/>
    <w:rsid w:val="00D83BF3"/>
    <w:rsid w:val="00D84108"/>
    <w:rsid w:val="00D85E64"/>
    <w:rsid w:val="00D86D36"/>
    <w:rsid w:val="00D87250"/>
    <w:rsid w:val="00D91385"/>
    <w:rsid w:val="00D92958"/>
    <w:rsid w:val="00D95134"/>
    <w:rsid w:val="00D97041"/>
    <w:rsid w:val="00DA1518"/>
    <w:rsid w:val="00DA2EDC"/>
    <w:rsid w:val="00DA401D"/>
    <w:rsid w:val="00DA7B60"/>
    <w:rsid w:val="00DA7DE6"/>
    <w:rsid w:val="00DB023A"/>
    <w:rsid w:val="00DB0F4E"/>
    <w:rsid w:val="00DB1642"/>
    <w:rsid w:val="00DB2FB2"/>
    <w:rsid w:val="00DB6C91"/>
    <w:rsid w:val="00DC03DF"/>
    <w:rsid w:val="00DC09BA"/>
    <w:rsid w:val="00DC0ABA"/>
    <w:rsid w:val="00DC0B17"/>
    <w:rsid w:val="00DC1C32"/>
    <w:rsid w:val="00DC3079"/>
    <w:rsid w:val="00DC5D78"/>
    <w:rsid w:val="00DC74E4"/>
    <w:rsid w:val="00DC7C1D"/>
    <w:rsid w:val="00DD050C"/>
    <w:rsid w:val="00DD0955"/>
    <w:rsid w:val="00DD0BF7"/>
    <w:rsid w:val="00DD1854"/>
    <w:rsid w:val="00DD25EA"/>
    <w:rsid w:val="00DD2C58"/>
    <w:rsid w:val="00DD471D"/>
    <w:rsid w:val="00DD4E26"/>
    <w:rsid w:val="00DD5B33"/>
    <w:rsid w:val="00DE1FD6"/>
    <w:rsid w:val="00DE26D0"/>
    <w:rsid w:val="00DE2E35"/>
    <w:rsid w:val="00DE4826"/>
    <w:rsid w:val="00DE4D73"/>
    <w:rsid w:val="00DE6801"/>
    <w:rsid w:val="00DE6BA3"/>
    <w:rsid w:val="00DF030B"/>
    <w:rsid w:val="00DF05DC"/>
    <w:rsid w:val="00DF09EA"/>
    <w:rsid w:val="00DF0F7C"/>
    <w:rsid w:val="00DF1F2C"/>
    <w:rsid w:val="00DF2EAE"/>
    <w:rsid w:val="00DF3269"/>
    <w:rsid w:val="00E00728"/>
    <w:rsid w:val="00E01E5F"/>
    <w:rsid w:val="00E026CB"/>
    <w:rsid w:val="00E0326C"/>
    <w:rsid w:val="00E056B1"/>
    <w:rsid w:val="00E07316"/>
    <w:rsid w:val="00E0736E"/>
    <w:rsid w:val="00E112A5"/>
    <w:rsid w:val="00E12071"/>
    <w:rsid w:val="00E12440"/>
    <w:rsid w:val="00E142D7"/>
    <w:rsid w:val="00E16D5E"/>
    <w:rsid w:val="00E17773"/>
    <w:rsid w:val="00E207A1"/>
    <w:rsid w:val="00E2125A"/>
    <w:rsid w:val="00E222C1"/>
    <w:rsid w:val="00E228B3"/>
    <w:rsid w:val="00E2605F"/>
    <w:rsid w:val="00E26A5C"/>
    <w:rsid w:val="00E26CE5"/>
    <w:rsid w:val="00E27A98"/>
    <w:rsid w:val="00E31E6B"/>
    <w:rsid w:val="00E3232F"/>
    <w:rsid w:val="00E3238A"/>
    <w:rsid w:val="00E32C21"/>
    <w:rsid w:val="00E3344C"/>
    <w:rsid w:val="00E3612B"/>
    <w:rsid w:val="00E37261"/>
    <w:rsid w:val="00E37DAB"/>
    <w:rsid w:val="00E400D4"/>
    <w:rsid w:val="00E40DF5"/>
    <w:rsid w:val="00E43403"/>
    <w:rsid w:val="00E43C6E"/>
    <w:rsid w:val="00E4411A"/>
    <w:rsid w:val="00E459AD"/>
    <w:rsid w:val="00E4607E"/>
    <w:rsid w:val="00E4668E"/>
    <w:rsid w:val="00E467FA"/>
    <w:rsid w:val="00E47B96"/>
    <w:rsid w:val="00E47C73"/>
    <w:rsid w:val="00E5095F"/>
    <w:rsid w:val="00E50A7B"/>
    <w:rsid w:val="00E53A4F"/>
    <w:rsid w:val="00E56108"/>
    <w:rsid w:val="00E56812"/>
    <w:rsid w:val="00E573FE"/>
    <w:rsid w:val="00E609A2"/>
    <w:rsid w:val="00E60B16"/>
    <w:rsid w:val="00E617B1"/>
    <w:rsid w:val="00E61D1F"/>
    <w:rsid w:val="00E6228B"/>
    <w:rsid w:val="00E63022"/>
    <w:rsid w:val="00E64642"/>
    <w:rsid w:val="00E673FD"/>
    <w:rsid w:val="00E67677"/>
    <w:rsid w:val="00E67EED"/>
    <w:rsid w:val="00E70BBC"/>
    <w:rsid w:val="00E71EF2"/>
    <w:rsid w:val="00E71FE4"/>
    <w:rsid w:val="00E72AB0"/>
    <w:rsid w:val="00E743EE"/>
    <w:rsid w:val="00E75DFC"/>
    <w:rsid w:val="00E75EA1"/>
    <w:rsid w:val="00E77695"/>
    <w:rsid w:val="00E77A6A"/>
    <w:rsid w:val="00E80278"/>
    <w:rsid w:val="00E81AFB"/>
    <w:rsid w:val="00E82522"/>
    <w:rsid w:val="00E83E81"/>
    <w:rsid w:val="00E845BF"/>
    <w:rsid w:val="00E84617"/>
    <w:rsid w:val="00E8516C"/>
    <w:rsid w:val="00E85C97"/>
    <w:rsid w:val="00E86391"/>
    <w:rsid w:val="00E872D2"/>
    <w:rsid w:val="00E9159A"/>
    <w:rsid w:val="00E918F6"/>
    <w:rsid w:val="00E920DF"/>
    <w:rsid w:val="00E92215"/>
    <w:rsid w:val="00E93DDA"/>
    <w:rsid w:val="00E95201"/>
    <w:rsid w:val="00E96323"/>
    <w:rsid w:val="00E96A2C"/>
    <w:rsid w:val="00EA01EF"/>
    <w:rsid w:val="00EA1DCC"/>
    <w:rsid w:val="00EA35E8"/>
    <w:rsid w:val="00EA4898"/>
    <w:rsid w:val="00EB1109"/>
    <w:rsid w:val="00EB259B"/>
    <w:rsid w:val="00EB372C"/>
    <w:rsid w:val="00EB6132"/>
    <w:rsid w:val="00EB7498"/>
    <w:rsid w:val="00EB7DE7"/>
    <w:rsid w:val="00EC0451"/>
    <w:rsid w:val="00EC17E3"/>
    <w:rsid w:val="00EC236E"/>
    <w:rsid w:val="00EC32FE"/>
    <w:rsid w:val="00EC472D"/>
    <w:rsid w:val="00EC6A54"/>
    <w:rsid w:val="00ED085E"/>
    <w:rsid w:val="00ED2678"/>
    <w:rsid w:val="00ED2FC6"/>
    <w:rsid w:val="00ED30D5"/>
    <w:rsid w:val="00ED356C"/>
    <w:rsid w:val="00ED3F53"/>
    <w:rsid w:val="00ED65E6"/>
    <w:rsid w:val="00ED70D1"/>
    <w:rsid w:val="00ED70FB"/>
    <w:rsid w:val="00EE0806"/>
    <w:rsid w:val="00EE0EA7"/>
    <w:rsid w:val="00EE1AD0"/>
    <w:rsid w:val="00EE1BB3"/>
    <w:rsid w:val="00EE250E"/>
    <w:rsid w:val="00EE263C"/>
    <w:rsid w:val="00EE2854"/>
    <w:rsid w:val="00EE2C2F"/>
    <w:rsid w:val="00EE2C7B"/>
    <w:rsid w:val="00EE3DB7"/>
    <w:rsid w:val="00EE5BC4"/>
    <w:rsid w:val="00EE5D5C"/>
    <w:rsid w:val="00EE6EA9"/>
    <w:rsid w:val="00EF0BC6"/>
    <w:rsid w:val="00EF17F9"/>
    <w:rsid w:val="00EF1D92"/>
    <w:rsid w:val="00EF1DC6"/>
    <w:rsid w:val="00EF327F"/>
    <w:rsid w:val="00EF4114"/>
    <w:rsid w:val="00EF4FBB"/>
    <w:rsid w:val="00EF51EC"/>
    <w:rsid w:val="00EF53FB"/>
    <w:rsid w:val="00EF684A"/>
    <w:rsid w:val="00EF69C1"/>
    <w:rsid w:val="00EF6A71"/>
    <w:rsid w:val="00EF709B"/>
    <w:rsid w:val="00F0089D"/>
    <w:rsid w:val="00F015FA"/>
    <w:rsid w:val="00F024B6"/>
    <w:rsid w:val="00F03737"/>
    <w:rsid w:val="00F05E6B"/>
    <w:rsid w:val="00F06122"/>
    <w:rsid w:val="00F10FE3"/>
    <w:rsid w:val="00F121F4"/>
    <w:rsid w:val="00F136B0"/>
    <w:rsid w:val="00F140EB"/>
    <w:rsid w:val="00F14D12"/>
    <w:rsid w:val="00F15393"/>
    <w:rsid w:val="00F164FF"/>
    <w:rsid w:val="00F1682B"/>
    <w:rsid w:val="00F17CD2"/>
    <w:rsid w:val="00F20042"/>
    <w:rsid w:val="00F200CA"/>
    <w:rsid w:val="00F20A58"/>
    <w:rsid w:val="00F210FF"/>
    <w:rsid w:val="00F21DE2"/>
    <w:rsid w:val="00F22CD9"/>
    <w:rsid w:val="00F24A54"/>
    <w:rsid w:val="00F256D6"/>
    <w:rsid w:val="00F26172"/>
    <w:rsid w:val="00F27C8E"/>
    <w:rsid w:val="00F30A61"/>
    <w:rsid w:val="00F3355D"/>
    <w:rsid w:val="00F3453F"/>
    <w:rsid w:val="00F36E64"/>
    <w:rsid w:val="00F372F6"/>
    <w:rsid w:val="00F373F7"/>
    <w:rsid w:val="00F41737"/>
    <w:rsid w:val="00F430E2"/>
    <w:rsid w:val="00F44426"/>
    <w:rsid w:val="00F45D61"/>
    <w:rsid w:val="00F468A1"/>
    <w:rsid w:val="00F46B6F"/>
    <w:rsid w:val="00F50F26"/>
    <w:rsid w:val="00F520AD"/>
    <w:rsid w:val="00F52A39"/>
    <w:rsid w:val="00F534B2"/>
    <w:rsid w:val="00F534C9"/>
    <w:rsid w:val="00F544C0"/>
    <w:rsid w:val="00F54699"/>
    <w:rsid w:val="00F546BD"/>
    <w:rsid w:val="00F54D64"/>
    <w:rsid w:val="00F55075"/>
    <w:rsid w:val="00F556CA"/>
    <w:rsid w:val="00F56DD4"/>
    <w:rsid w:val="00F57167"/>
    <w:rsid w:val="00F60F29"/>
    <w:rsid w:val="00F61B59"/>
    <w:rsid w:val="00F64F63"/>
    <w:rsid w:val="00F66307"/>
    <w:rsid w:val="00F6793C"/>
    <w:rsid w:val="00F71E06"/>
    <w:rsid w:val="00F721B1"/>
    <w:rsid w:val="00F73260"/>
    <w:rsid w:val="00F73B0B"/>
    <w:rsid w:val="00F74B3E"/>
    <w:rsid w:val="00F75310"/>
    <w:rsid w:val="00F75490"/>
    <w:rsid w:val="00F761DB"/>
    <w:rsid w:val="00F76BD8"/>
    <w:rsid w:val="00F80545"/>
    <w:rsid w:val="00F812C6"/>
    <w:rsid w:val="00F86633"/>
    <w:rsid w:val="00F92E03"/>
    <w:rsid w:val="00F94B18"/>
    <w:rsid w:val="00F95A10"/>
    <w:rsid w:val="00F96BED"/>
    <w:rsid w:val="00FA07C9"/>
    <w:rsid w:val="00FA24CE"/>
    <w:rsid w:val="00FA4EC5"/>
    <w:rsid w:val="00FA58CF"/>
    <w:rsid w:val="00FA612D"/>
    <w:rsid w:val="00FB0F59"/>
    <w:rsid w:val="00FB11E5"/>
    <w:rsid w:val="00FB39DD"/>
    <w:rsid w:val="00FB3E26"/>
    <w:rsid w:val="00FB57AF"/>
    <w:rsid w:val="00FC1F84"/>
    <w:rsid w:val="00FC2B59"/>
    <w:rsid w:val="00FC31C5"/>
    <w:rsid w:val="00FC56D6"/>
    <w:rsid w:val="00FC6342"/>
    <w:rsid w:val="00FC65EE"/>
    <w:rsid w:val="00FD1303"/>
    <w:rsid w:val="00FD14BA"/>
    <w:rsid w:val="00FD1F32"/>
    <w:rsid w:val="00FD2600"/>
    <w:rsid w:val="00FD358B"/>
    <w:rsid w:val="00FD364F"/>
    <w:rsid w:val="00FD646A"/>
    <w:rsid w:val="00FD6E1F"/>
    <w:rsid w:val="00FD7E14"/>
    <w:rsid w:val="00FE1898"/>
    <w:rsid w:val="00FE1DDB"/>
    <w:rsid w:val="00FE20EF"/>
    <w:rsid w:val="00FE2A51"/>
    <w:rsid w:val="00FE3729"/>
    <w:rsid w:val="00FE4037"/>
    <w:rsid w:val="00FF0671"/>
    <w:rsid w:val="00FF110F"/>
    <w:rsid w:val="00FF1451"/>
    <w:rsid w:val="00FF1B48"/>
    <w:rsid w:val="00FF1EFB"/>
    <w:rsid w:val="00FF2EF5"/>
    <w:rsid w:val="00FF3E93"/>
    <w:rsid w:val="00FF477D"/>
    <w:rsid w:val="00FF6544"/>
    <w:rsid w:val="01010DC0"/>
    <w:rsid w:val="010B1489"/>
    <w:rsid w:val="01104981"/>
    <w:rsid w:val="01115E6A"/>
    <w:rsid w:val="01186149"/>
    <w:rsid w:val="011C44BE"/>
    <w:rsid w:val="012670EA"/>
    <w:rsid w:val="012F2E8E"/>
    <w:rsid w:val="01350AD8"/>
    <w:rsid w:val="013C690E"/>
    <w:rsid w:val="013E61E2"/>
    <w:rsid w:val="01510BEF"/>
    <w:rsid w:val="01585107"/>
    <w:rsid w:val="0160084E"/>
    <w:rsid w:val="01802C9E"/>
    <w:rsid w:val="0187402D"/>
    <w:rsid w:val="018856AF"/>
    <w:rsid w:val="0194674A"/>
    <w:rsid w:val="01987FE8"/>
    <w:rsid w:val="019A4082"/>
    <w:rsid w:val="01A1564D"/>
    <w:rsid w:val="01A7647D"/>
    <w:rsid w:val="01AA68AB"/>
    <w:rsid w:val="01B34E22"/>
    <w:rsid w:val="01C923C2"/>
    <w:rsid w:val="01DE5C92"/>
    <w:rsid w:val="01E7687A"/>
    <w:rsid w:val="01F441EC"/>
    <w:rsid w:val="01FA02E3"/>
    <w:rsid w:val="01FD7E4B"/>
    <w:rsid w:val="02005B8D"/>
    <w:rsid w:val="02074908"/>
    <w:rsid w:val="02107405"/>
    <w:rsid w:val="021C5309"/>
    <w:rsid w:val="021F15B6"/>
    <w:rsid w:val="021F4265"/>
    <w:rsid w:val="02203B3A"/>
    <w:rsid w:val="022C3E83"/>
    <w:rsid w:val="02355837"/>
    <w:rsid w:val="0237290D"/>
    <w:rsid w:val="02377801"/>
    <w:rsid w:val="023C4E17"/>
    <w:rsid w:val="024535A0"/>
    <w:rsid w:val="024E68F9"/>
    <w:rsid w:val="02571A07"/>
    <w:rsid w:val="026779BA"/>
    <w:rsid w:val="027125E7"/>
    <w:rsid w:val="027345B1"/>
    <w:rsid w:val="02750329"/>
    <w:rsid w:val="02770D11"/>
    <w:rsid w:val="0281396C"/>
    <w:rsid w:val="02833C3C"/>
    <w:rsid w:val="028B18FB"/>
    <w:rsid w:val="028D7421"/>
    <w:rsid w:val="02917E80"/>
    <w:rsid w:val="02985677"/>
    <w:rsid w:val="02994018"/>
    <w:rsid w:val="029F7154"/>
    <w:rsid w:val="02A46519"/>
    <w:rsid w:val="02A91331"/>
    <w:rsid w:val="02B32C00"/>
    <w:rsid w:val="02B40E52"/>
    <w:rsid w:val="02C47780"/>
    <w:rsid w:val="02D92666"/>
    <w:rsid w:val="02DA03B9"/>
    <w:rsid w:val="02DE47A8"/>
    <w:rsid w:val="02E34AE6"/>
    <w:rsid w:val="02E76F48"/>
    <w:rsid w:val="02F92D08"/>
    <w:rsid w:val="02F949FE"/>
    <w:rsid w:val="030D5F76"/>
    <w:rsid w:val="030E7E36"/>
    <w:rsid w:val="030F6088"/>
    <w:rsid w:val="031E451D"/>
    <w:rsid w:val="031F2043"/>
    <w:rsid w:val="031F6DBB"/>
    <w:rsid w:val="032558AB"/>
    <w:rsid w:val="032875BA"/>
    <w:rsid w:val="032D648D"/>
    <w:rsid w:val="032F672A"/>
    <w:rsid w:val="033027A0"/>
    <w:rsid w:val="03372ABD"/>
    <w:rsid w:val="0338441D"/>
    <w:rsid w:val="0338545D"/>
    <w:rsid w:val="033F3317"/>
    <w:rsid w:val="03412F6A"/>
    <w:rsid w:val="034321D6"/>
    <w:rsid w:val="034445B5"/>
    <w:rsid w:val="034A6B2C"/>
    <w:rsid w:val="035C6DF3"/>
    <w:rsid w:val="035E218C"/>
    <w:rsid w:val="03621184"/>
    <w:rsid w:val="036839EA"/>
    <w:rsid w:val="03685798"/>
    <w:rsid w:val="03726617"/>
    <w:rsid w:val="03766107"/>
    <w:rsid w:val="037C7496"/>
    <w:rsid w:val="038D16A3"/>
    <w:rsid w:val="039842CF"/>
    <w:rsid w:val="039A4A40"/>
    <w:rsid w:val="039C03C2"/>
    <w:rsid w:val="03A32C74"/>
    <w:rsid w:val="03B409DD"/>
    <w:rsid w:val="03BF1FE3"/>
    <w:rsid w:val="03C9092D"/>
    <w:rsid w:val="03D66F48"/>
    <w:rsid w:val="03E77005"/>
    <w:rsid w:val="03EF7C67"/>
    <w:rsid w:val="03F13194"/>
    <w:rsid w:val="03FA4418"/>
    <w:rsid w:val="04043713"/>
    <w:rsid w:val="04136C7E"/>
    <w:rsid w:val="041F679F"/>
    <w:rsid w:val="04273005"/>
    <w:rsid w:val="04307D33"/>
    <w:rsid w:val="044C0C16"/>
    <w:rsid w:val="044F0889"/>
    <w:rsid w:val="045B52FD"/>
    <w:rsid w:val="045F303F"/>
    <w:rsid w:val="045F6B9B"/>
    <w:rsid w:val="04602913"/>
    <w:rsid w:val="04621A56"/>
    <w:rsid w:val="04706FFA"/>
    <w:rsid w:val="04731D7A"/>
    <w:rsid w:val="04763EE5"/>
    <w:rsid w:val="04792DD2"/>
    <w:rsid w:val="04820ADC"/>
    <w:rsid w:val="049031F8"/>
    <w:rsid w:val="04B844FD"/>
    <w:rsid w:val="04BB2916"/>
    <w:rsid w:val="04BF2C00"/>
    <w:rsid w:val="04C03ACA"/>
    <w:rsid w:val="04CB4231"/>
    <w:rsid w:val="04CE3D21"/>
    <w:rsid w:val="04D10642"/>
    <w:rsid w:val="04DC0CC3"/>
    <w:rsid w:val="04DF5F2E"/>
    <w:rsid w:val="04F63B35"/>
    <w:rsid w:val="050F2D97"/>
    <w:rsid w:val="05110248"/>
    <w:rsid w:val="0512093A"/>
    <w:rsid w:val="05131FEE"/>
    <w:rsid w:val="052102F4"/>
    <w:rsid w:val="05235E1B"/>
    <w:rsid w:val="05253CF1"/>
    <w:rsid w:val="052B025D"/>
    <w:rsid w:val="05341DD6"/>
    <w:rsid w:val="05370B32"/>
    <w:rsid w:val="054B299E"/>
    <w:rsid w:val="05524952"/>
    <w:rsid w:val="055B3806"/>
    <w:rsid w:val="055C132D"/>
    <w:rsid w:val="056535F9"/>
    <w:rsid w:val="05662DB1"/>
    <w:rsid w:val="056B77C2"/>
    <w:rsid w:val="056D7096"/>
    <w:rsid w:val="057479B1"/>
    <w:rsid w:val="05761CE9"/>
    <w:rsid w:val="05762E98"/>
    <w:rsid w:val="058D14E6"/>
    <w:rsid w:val="059211F2"/>
    <w:rsid w:val="059E1945"/>
    <w:rsid w:val="05A30D0A"/>
    <w:rsid w:val="05A8641E"/>
    <w:rsid w:val="05AE01F3"/>
    <w:rsid w:val="05B431A7"/>
    <w:rsid w:val="05B64EE1"/>
    <w:rsid w:val="05B922DB"/>
    <w:rsid w:val="05BB4BC3"/>
    <w:rsid w:val="05C5193F"/>
    <w:rsid w:val="05C7138E"/>
    <w:rsid w:val="05C72C4A"/>
    <w:rsid w:val="05D76C05"/>
    <w:rsid w:val="05E51322"/>
    <w:rsid w:val="05E76E48"/>
    <w:rsid w:val="05E85511"/>
    <w:rsid w:val="05EC713F"/>
    <w:rsid w:val="05EE467B"/>
    <w:rsid w:val="05FB5C4F"/>
    <w:rsid w:val="05FF77A0"/>
    <w:rsid w:val="06024233"/>
    <w:rsid w:val="06043170"/>
    <w:rsid w:val="060B5603"/>
    <w:rsid w:val="061338E3"/>
    <w:rsid w:val="0616772D"/>
    <w:rsid w:val="06173888"/>
    <w:rsid w:val="06224BBE"/>
    <w:rsid w:val="062730A7"/>
    <w:rsid w:val="062736E9"/>
    <w:rsid w:val="06276715"/>
    <w:rsid w:val="063445E5"/>
    <w:rsid w:val="06475B39"/>
    <w:rsid w:val="064B6B81"/>
    <w:rsid w:val="064C13A1"/>
    <w:rsid w:val="06514B7E"/>
    <w:rsid w:val="0661309E"/>
    <w:rsid w:val="06652463"/>
    <w:rsid w:val="0665277B"/>
    <w:rsid w:val="06660E66"/>
    <w:rsid w:val="066C37F1"/>
    <w:rsid w:val="066C5E75"/>
    <w:rsid w:val="0673692E"/>
    <w:rsid w:val="067B1C86"/>
    <w:rsid w:val="06815AFC"/>
    <w:rsid w:val="06935EDF"/>
    <w:rsid w:val="069468A4"/>
    <w:rsid w:val="069F3BC7"/>
    <w:rsid w:val="06A20FC1"/>
    <w:rsid w:val="06AC48EE"/>
    <w:rsid w:val="06B050AF"/>
    <w:rsid w:val="06B31420"/>
    <w:rsid w:val="06B50CF4"/>
    <w:rsid w:val="06BA5035"/>
    <w:rsid w:val="06BD2BEF"/>
    <w:rsid w:val="06D32584"/>
    <w:rsid w:val="06D64430"/>
    <w:rsid w:val="06D64668"/>
    <w:rsid w:val="06DA11AC"/>
    <w:rsid w:val="06DD703D"/>
    <w:rsid w:val="06F021D3"/>
    <w:rsid w:val="06F4641F"/>
    <w:rsid w:val="06FB1F22"/>
    <w:rsid w:val="070103DE"/>
    <w:rsid w:val="070D6D82"/>
    <w:rsid w:val="071271FE"/>
    <w:rsid w:val="071346FC"/>
    <w:rsid w:val="07153728"/>
    <w:rsid w:val="071C4779"/>
    <w:rsid w:val="071D4945"/>
    <w:rsid w:val="072276D0"/>
    <w:rsid w:val="072D11D3"/>
    <w:rsid w:val="073C6528"/>
    <w:rsid w:val="07414C7E"/>
    <w:rsid w:val="074402CA"/>
    <w:rsid w:val="07453886"/>
    <w:rsid w:val="074A1AF4"/>
    <w:rsid w:val="075449B1"/>
    <w:rsid w:val="07550729"/>
    <w:rsid w:val="076C42FC"/>
    <w:rsid w:val="077E558A"/>
    <w:rsid w:val="077E77B7"/>
    <w:rsid w:val="0781151E"/>
    <w:rsid w:val="0781507A"/>
    <w:rsid w:val="078152A3"/>
    <w:rsid w:val="07830DF3"/>
    <w:rsid w:val="078409A4"/>
    <w:rsid w:val="078B4F60"/>
    <w:rsid w:val="078C289A"/>
    <w:rsid w:val="078C5FAC"/>
    <w:rsid w:val="07921036"/>
    <w:rsid w:val="079270C9"/>
    <w:rsid w:val="079528D4"/>
    <w:rsid w:val="07982737"/>
    <w:rsid w:val="079E5C2C"/>
    <w:rsid w:val="07A11014"/>
    <w:rsid w:val="07A11279"/>
    <w:rsid w:val="07A25075"/>
    <w:rsid w:val="07AA2823"/>
    <w:rsid w:val="07AC659B"/>
    <w:rsid w:val="07AF7E3A"/>
    <w:rsid w:val="07B0027C"/>
    <w:rsid w:val="07B436A2"/>
    <w:rsid w:val="07B85BDD"/>
    <w:rsid w:val="07BA233A"/>
    <w:rsid w:val="07C328D5"/>
    <w:rsid w:val="07C37441"/>
    <w:rsid w:val="07C84A57"/>
    <w:rsid w:val="07C8647A"/>
    <w:rsid w:val="07CF1972"/>
    <w:rsid w:val="07D4246E"/>
    <w:rsid w:val="07D5361C"/>
    <w:rsid w:val="07D57174"/>
    <w:rsid w:val="07DE7C83"/>
    <w:rsid w:val="07EA4131"/>
    <w:rsid w:val="07EA5283"/>
    <w:rsid w:val="07F01DB4"/>
    <w:rsid w:val="07F817E1"/>
    <w:rsid w:val="07FB6BDB"/>
    <w:rsid w:val="07FF6E75"/>
    <w:rsid w:val="08030185"/>
    <w:rsid w:val="0807562E"/>
    <w:rsid w:val="08092730"/>
    <w:rsid w:val="080B0C84"/>
    <w:rsid w:val="080F7D24"/>
    <w:rsid w:val="08253C58"/>
    <w:rsid w:val="082779D0"/>
    <w:rsid w:val="082F4AD6"/>
    <w:rsid w:val="083B347B"/>
    <w:rsid w:val="084F5179"/>
    <w:rsid w:val="0852332D"/>
    <w:rsid w:val="08592040"/>
    <w:rsid w:val="086B47A6"/>
    <w:rsid w:val="08732C15"/>
    <w:rsid w:val="08743C5F"/>
    <w:rsid w:val="08824CDD"/>
    <w:rsid w:val="08864AEE"/>
    <w:rsid w:val="08975775"/>
    <w:rsid w:val="08A26697"/>
    <w:rsid w:val="08A41020"/>
    <w:rsid w:val="08B41F6D"/>
    <w:rsid w:val="08BF5E5A"/>
    <w:rsid w:val="08C06931"/>
    <w:rsid w:val="08D51B22"/>
    <w:rsid w:val="08DA0EE6"/>
    <w:rsid w:val="08DB6A0C"/>
    <w:rsid w:val="08DB6CDD"/>
    <w:rsid w:val="08DD09D6"/>
    <w:rsid w:val="08DD2784"/>
    <w:rsid w:val="08E14806"/>
    <w:rsid w:val="08F31FA8"/>
    <w:rsid w:val="08FD2E27"/>
    <w:rsid w:val="08FE779A"/>
    <w:rsid w:val="09006F08"/>
    <w:rsid w:val="090109D5"/>
    <w:rsid w:val="09095B20"/>
    <w:rsid w:val="090D5D99"/>
    <w:rsid w:val="09135DCA"/>
    <w:rsid w:val="09214A58"/>
    <w:rsid w:val="092263E9"/>
    <w:rsid w:val="09273A00"/>
    <w:rsid w:val="09385C0D"/>
    <w:rsid w:val="093D137F"/>
    <w:rsid w:val="093F28F7"/>
    <w:rsid w:val="09414AC1"/>
    <w:rsid w:val="094B230F"/>
    <w:rsid w:val="094C3466"/>
    <w:rsid w:val="09570789"/>
    <w:rsid w:val="096133B5"/>
    <w:rsid w:val="097B4C27"/>
    <w:rsid w:val="098106DD"/>
    <w:rsid w:val="098147A7"/>
    <w:rsid w:val="0983332C"/>
    <w:rsid w:val="098341DD"/>
    <w:rsid w:val="0985576B"/>
    <w:rsid w:val="0992531D"/>
    <w:rsid w:val="09992B4F"/>
    <w:rsid w:val="099A2423"/>
    <w:rsid w:val="09A11A04"/>
    <w:rsid w:val="09A908B8"/>
    <w:rsid w:val="09B707B9"/>
    <w:rsid w:val="09C92F7C"/>
    <w:rsid w:val="09CD27F9"/>
    <w:rsid w:val="09D11016"/>
    <w:rsid w:val="09E813E1"/>
    <w:rsid w:val="09EB2C7F"/>
    <w:rsid w:val="09F05266"/>
    <w:rsid w:val="09FC1926"/>
    <w:rsid w:val="09FC6C3A"/>
    <w:rsid w:val="0A0027B5"/>
    <w:rsid w:val="0A006668"/>
    <w:rsid w:val="0A0501E5"/>
    <w:rsid w:val="0A057D93"/>
    <w:rsid w:val="0A0771E4"/>
    <w:rsid w:val="0A0C1573"/>
    <w:rsid w:val="0A171CC6"/>
    <w:rsid w:val="0A256191"/>
    <w:rsid w:val="0A342878"/>
    <w:rsid w:val="0A3665F0"/>
    <w:rsid w:val="0A3D4450"/>
    <w:rsid w:val="0A527705"/>
    <w:rsid w:val="0A530F50"/>
    <w:rsid w:val="0A551336"/>
    <w:rsid w:val="0A6507B0"/>
    <w:rsid w:val="0A6842D0"/>
    <w:rsid w:val="0A6F1B02"/>
    <w:rsid w:val="0A71587A"/>
    <w:rsid w:val="0A7964DD"/>
    <w:rsid w:val="0A901E2C"/>
    <w:rsid w:val="0A9450C5"/>
    <w:rsid w:val="0A982E07"/>
    <w:rsid w:val="0A9D666F"/>
    <w:rsid w:val="0AA277E2"/>
    <w:rsid w:val="0AA7304A"/>
    <w:rsid w:val="0AA779E6"/>
    <w:rsid w:val="0AAE262A"/>
    <w:rsid w:val="0AB3379D"/>
    <w:rsid w:val="0AB94B2B"/>
    <w:rsid w:val="0ABA2D7D"/>
    <w:rsid w:val="0ABB6AF5"/>
    <w:rsid w:val="0AC260D6"/>
    <w:rsid w:val="0ADC3ECF"/>
    <w:rsid w:val="0AE2093A"/>
    <w:rsid w:val="0AEC6CAF"/>
    <w:rsid w:val="0AEE1042"/>
    <w:rsid w:val="0AF10769"/>
    <w:rsid w:val="0AF142C5"/>
    <w:rsid w:val="0AF3003D"/>
    <w:rsid w:val="0AF43971"/>
    <w:rsid w:val="0AF53DB5"/>
    <w:rsid w:val="0AFA5870"/>
    <w:rsid w:val="0AFE4C26"/>
    <w:rsid w:val="0B04049C"/>
    <w:rsid w:val="0B073AE9"/>
    <w:rsid w:val="0B0E4E77"/>
    <w:rsid w:val="0B116715"/>
    <w:rsid w:val="0B136931"/>
    <w:rsid w:val="0B165F83"/>
    <w:rsid w:val="0B196157"/>
    <w:rsid w:val="0B212DFC"/>
    <w:rsid w:val="0B26152B"/>
    <w:rsid w:val="0B2C17A1"/>
    <w:rsid w:val="0B2D4EE7"/>
    <w:rsid w:val="0B3462E8"/>
    <w:rsid w:val="0B3531E8"/>
    <w:rsid w:val="0B35566E"/>
    <w:rsid w:val="0B3F3E5F"/>
    <w:rsid w:val="0B4368DB"/>
    <w:rsid w:val="0B613C0F"/>
    <w:rsid w:val="0B61769D"/>
    <w:rsid w:val="0B620E2A"/>
    <w:rsid w:val="0B656849"/>
    <w:rsid w:val="0B6672DB"/>
    <w:rsid w:val="0B686E11"/>
    <w:rsid w:val="0B6A36D6"/>
    <w:rsid w:val="0B8E57A5"/>
    <w:rsid w:val="0B8F617F"/>
    <w:rsid w:val="0B9510F4"/>
    <w:rsid w:val="0B9E269F"/>
    <w:rsid w:val="0B9F4CE8"/>
    <w:rsid w:val="0BB73761"/>
    <w:rsid w:val="0BBC2B25"/>
    <w:rsid w:val="0BC11C5D"/>
    <w:rsid w:val="0BC419DA"/>
    <w:rsid w:val="0BC67353"/>
    <w:rsid w:val="0BCA50C2"/>
    <w:rsid w:val="0BCD6AE0"/>
    <w:rsid w:val="0BD25EA5"/>
    <w:rsid w:val="0BD31C1D"/>
    <w:rsid w:val="0BDB6711"/>
    <w:rsid w:val="0BE633F6"/>
    <w:rsid w:val="0BE83D55"/>
    <w:rsid w:val="0BF76380"/>
    <w:rsid w:val="0BFA5F79"/>
    <w:rsid w:val="0C041AB7"/>
    <w:rsid w:val="0C0D3381"/>
    <w:rsid w:val="0C1F5B5D"/>
    <w:rsid w:val="0C25691C"/>
    <w:rsid w:val="0C361A2E"/>
    <w:rsid w:val="0C394176"/>
    <w:rsid w:val="0C4A0131"/>
    <w:rsid w:val="0C4D1F3A"/>
    <w:rsid w:val="0C5353C0"/>
    <w:rsid w:val="0C5965C6"/>
    <w:rsid w:val="0C623224"/>
    <w:rsid w:val="0C670CE3"/>
    <w:rsid w:val="0C684108"/>
    <w:rsid w:val="0C71390F"/>
    <w:rsid w:val="0C803B53"/>
    <w:rsid w:val="0C833643"/>
    <w:rsid w:val="0C853538"/>
    <w:rsid w:val="0C944B14"/>
    <w:rsid w:val="0CA912FB"/>
    <w:rsid w:val="0CAB59C5"/>
    <w:rsid w:val="0CB437FC"/>
    <w:rsid w:val="0CBB4B8B"/>
    <w:rsid w:val="0CC07278"/>
    <w:rsid w:val="0CC223BD"/>
    <w:rsid w:val="0CC55A09"/>
    <w:rsid w:val="0CC72DAB"/>
    <w:rsid w:val="0CCD48BE"/>
    <w:rsid w:val="0CD12552"/>
    <w:rsid w:val="0CD540D5"/>
    <w:rsid w:val="0CDF6390"/>
    <w:rsid w:val="0CE83E33"/>
    <w:rsid w:val="0CEE31B2"/>
    <w:rsid w:val="0CF307C8"/>
    <w:rsid w:val="0CFB142B"/>
    <w:rsid w:val="0D2766C4"/>
    <w:rsid w:val="0D3610CA"/>
    <w:rsid w:val="0D3C254C"/>
    <w:rsid w:val="0D4071FE"/>
    <w:rsid w:val="0D4B23B2"/>
    <w:rsid w:val="0D505C1B"/>
    <w:rsid w:val="0D5648B3"/>
    <w:rsid w:val="0D576FA9"/>
    <w:rsid w:val="0D766D04"/>
    <w:rsid w:val="0D814026"/>
    <w:rsid w:val="0D84294D"/>
    <w:rsid w:val="0D8475E1"/>
    <w:rsid w:val="0D857C63"/>
    <w:rsid w:val="0D870F11"/>
    <w:rsid w:val="0D891414"/>
    <w:rsid w:val="0D894C89"/>
    <w:rsid w:val="0D8F76E7"/>
    <w:rsid w:val="0D907DC5"/>
    <w:rsid w:val="0D9C4D5F"/>
    <w:rsid w:val="0DA47D15"/>
    <w:rsid w:val="0DA84934"/>
    <w:rsid w:val="0DAA28D1"/>
    <w:rsid w:val="0DAD56E1"/>
    <w:rsid w:val="0DAE2941"/>
    <w:rsid w:val="0DBE74C2"/>
    <w:rsid w:val="0DBF06AB"/>
    <w:rsid w:val="0DC25399"/>
    <w:rsid w:val="0DCB7866"/>
    <w:rsid w:val="0DCB7F67"/>
    <w:rsid w:val="0DCE6B40"/>
    <w:rsid w:val="0DD17CC7"/>
    <w:rsid w:val="0DD97D86"/>
    <w:rsid w:val="0DDA7292"/>
    <w:rsid w:val="0DE70E3F"/>
    <w:rsid w:val="0DEC377D"/>
    <w:rsid w:val="0DED346A"/>
    <w:rsid w:val="0DF0755C"/>
    <w:rsid w:val="0DFA16E3"/>
    <w:rsid w:val="0E00255D"/>
    <w:rsid w:val="0E004DA8"/>
    <w:rsid w:val="0E010CC3"/>
    <w:rsid w:val="0E016F15"/>
    <w:rsid w:val="0E1108FE"/>
    <w:rsid w:val="0E17362A"/>
    <w:rsid w:val="0E192E50"/>
    <w:rsid w:val="0E1C78AB"/>
    <w:rsid w:val="0E211365"/>
    <w:rsid w:val="0E350E82"/>
    <w:rsid w:val="0E370B89"/>
    <w:rsid w:val="0E380782"/>
    <w:rsid w:val="0E3D2AE0"/>
    <w:rsid w:val="0E456E02"/>
    <w:rsid w:val="0E4A266A"/>
    <w:rsid w:val="0E4D215A"/>
    <w:rsid w:val="0E601E8E"/>
    <w:rsid w:val="0E6179B4"/>
    <w:rsid w:val="0E6A4ABA"/>
    <w:rsid w:val="0E6D6359"/>
    <w:rsid w:val="0E707BF7"/>
    <w:rsid w:val="0E712448"/>
    <w:rsid w:val="0E737419"/>
    <w:rsid w:val="0E7771D7"/>
    <w:rsid w:val="0E796AAB"/>
    <w:rsid w:val="0E8D1EBF"/>
    <w:rsid w:val="0E9A2138"/>
    <w:rsid w:val="0EA55AF2"/>
    <w:rsid w:val="0EAD49A7"/>
    <w:rsid w:val="0EB3626A"/>
    <w:rsid w:val="0EB71C6C"/>
    <w:rsid w:val="0EC51CF1"/>
    <w:rsid w:val="0EC726BC"/>
    <w:rsid w:val="0EC87A33"/>
    <w:rsid w:val="0ECF491D"/>
    <w:rsid w:val="0ED10695"/>
    <w:rsid w:val="0EDA5607"/>
    <w:rsid w:val="0EDC554A"/>
    <w:rsid w:val="0EDD5FBB"/>
    <w:rsid w:val="0EEE56EB"/>
    <w:rsid w:val="0EF81D8A"/>
    <w:rsid w:val="0F022F45"/>
    <w:rsid w:val="0F220EF1"/>
    <w:rsid w:val="0F2227BC"/>
    <w:rsid w:val="0F227143"/>
    <w:rsid w:val="0F353F7B"/>
    <w:rsid w:val="0F3F5F47"/>
    <w:rsid w:val="0F4C0664"/>
    <w:rsid w:val="0F4E33F4"/>
    <w:rsid w:val="0F5441BB"/>
    <w:rsid w:val="0F5449B6"/>
    <w:rsid w:val="0F582B65"/>
    <w:rsid w:val="0F58783C"/>
    <w:rsid w:val="0F5D017B"/>
    <w:rsid w:val="0F6C4862"/>
    <w:rsid w:val="0F786D63"/>
    <w:rsid w:val="0F7F4595"/>
    <w:rsid w:val="0F8E2A2A"/>
    <w:rsid w:val="0F904E98"/>
    <w:rsid w:val="0FA22032"/>
    <w:rsid w:val="0FAB0EE6"/>
    <w:rsid w:val="0FBF0E36"/>
    <w:rsid w:val="0FCD558A"/>
    <w:rsid w:val="0FD04DF1"/>
    <w:rsid w:val="0FD146C5"/>
    <w:rsid w:val="0FD97D81"/>
    <w:rsid w:val="0FDA5C70"/>
    <w:rsid w:val="0FDD2557"/>
    <w:rsid w:val="0FE110E4"/>
    <w:rsid w:val="0FE8038D"/>
    <w:rsid w:val="0FE8213B"/>
    <w:rsid w:val="0FE97C61"/>
    <w:rsid w:val="0FEB5AE1"/>
    <w:rsid w:val="0FF70C06"/>
    <w:rsid w:val="0FFD0FD3"/>
    <w:rsid w:val="100131FC"/>
    <w:rsid w:val="10042429"/>
    <w:rsid w:val="100B3D7D"/>
    <w:rsid w:val="100F5E76"/>
    <w:rsid w:val="10164837"/>
    <w:rsid w:val="10196798"/>
    <w:rsid w:val="101A42BE"/>
    <w:rsid w:val="1022744D"/>
    <w:rsid w:val="10390BE8"/>
    <w:rsid w:val="103C4234"/>
    <w:rsid w:val="10404FDF"/>
    <w:rsid w:val="10436CAF"/>
    <w:rsid w:val="104430E9"/>
    <w:rsid w:val="104D5576"/>
    <w:rsid w:val="104D7E9E"/>
    <w:rsid w:val="1057062E"/>
    <w:rsid w:val="106043C7"/>
    <w:rsid w:val="10692AA0"/>
    <w:rsid w:val="106A7C46"/>
    <w:rsid w:val="106B68C8"/>
    <w:rsid w:val="106C04B5"/>
    <w:rsid w:val="106F460A"/>
    <w:rsid w:val="107440FC"/>
    <w:rsid w:val="10772B6A"/>
    <w:rsid w:val="10835914"/>
    <w:rsid w:val="10853E2D"/>
    <w:rsid w:val="109155C8"/>
    <w:rsid w:val="109776BD"/>
    <w:rsid w:val="10B01222"/>
    <w:rsid w:val="10B25ED0"/>
    <w:rsid w:val="10CA7D05"/>
    <w:rsid w:val="10D606A6"/>
    <w:rsid w:val="10DD1F34"/>
    <w:rsid w:val="10E8616A"/>
    <w:rsid w:val="10E943BC"/>
    <w:rsid w:val="10F22B45"/>
    <w:rsid w:val="10F46BA2"/>
    <w:rsid w:val="11214918"/>
    <w:rsid w:val="11230F50"/>
    <w:rsid w:val="113413B0"/>
    <w:rsid w:val="11365128"/>
    <w:rsid w:val="11421D1E"/>
    <w:rsid w:val="114333A1"/>
    <w:rsid w:val="1146319E"/>
    <w:rsid w:val="11474803"/>
    <w:rsid w:val="11521883"/>
    <w:rsid w:val="115C7F5D"/>
    <w:rsid w:val="115E01DA"/>
    <w:rsid w:val="116003F7"/>
    <w:rsid w:val="116326A0"/>
    <w:rsid w:val="11673B0C"/>
    <w:rsid w:val="117479FE"/>
    <w:rsid w:val="117F262B"/>
    <w:rsid w:val="1182211B"/>
    <w:rsid w:val="118B10CF"/>
    <w:rsid w:val="118F65E6"/>
    <w:rsid w:val="119105B0"/>
    <w:rsid w:val="119B4F6B"/>
    <w:rsid w:val="11A025A1"/>
    <w:rsid w:val="11A26319"/>
    <w:rsid w:val="11A62E0B"/>
    <w:rsid w:val="11B60016"/>
    <w:rsid w:val="11C41EDE"/>
    <w:rsid w:val="11C444E1"/>
    <w:rsid w:val="11C8797C"/>
    <w:rsid w:val="11D16BFE"/>
    <w:rsid w:val="11D24E50"/>
    <w:rsid w:val="11D45373"/>
    <w:rsid w:val="11D677CC"/>
    <w:rsid w:val="11DA38EA"/>
    <w:rsid w:val="11DC5FC8"/>
    <w:rsid w:val="11DF131B"/>
    <w:rsid w:val="11DF30C9"/>
    <w:rsid w:val="11E46932"/>
    <w:rsid w:val="11EB66ED"/>
    <w:rsid w:val="11F327BE"/>
    <w:rsid w:val="11F36B75"/>
    <w:rsid w:val="11F72B09"/>
    <w:rsid w:val="11FC3C7B"/>
    <w:rsid w:val="120365A6"/>
    <w:rsid w:val="120963A4"/>
    <w:rsid w:val="12107727"/>
    <w:rsid w:val="121277D8"/>
    <w:rsid w:val="12135469"/>
    <w:rsid w:val="12207F49"/>
    <w:rsid w:val="122136E2"/>
    <w:rsid w:val="12280F14"/>
    <w:rsid w:val="12282CC2"/>
    <w:rsid w:val="1234541B"/>
    <w:rsid w:val="123A29F6"/>
    <w:rsid w:val="12413D84"/>
    <w:rsid w:val="124675EC"/>
    <w:rsid w:val="124A7F90"/>
    <w:rsid w:val="124F64A1"/>
    <w:rsid w:val="125515DD"/>
    <w:rsid w:val="125900A3"/>
    <w:rsid w:val="12635AA8"/>
    <w:rsid w:val="12665599"/>
    <w:rsid w:val="12771554"/>
    <w:rsid w:val="127A1C29"/>
    <w:rsid w:val="12942106"/>
    <w:rsid w:val="129A3494"/>
    <w:rsid w:val="129D4368"/>
    <w:rsid w:val="129E32AD"/>
    <w:rsid w:val="12A746D6"/>
    <w:rsid w:val="12B23BCA"/>
    <w:rsid w:val="12C20F3D"/>
    <w:rsid w:val="12CA5B28"/>
    <w:rsid w:val="12CD5618"/>
    <w:rsid w:val="12D26CF5"/>
    <w:rsid w:val="12EB53B3"/>
    <w:rsid w:val="12EF6F57"/>
    <w:rsid w:val="12F34B5E"/>
    <w:rsid w:val="12F62DC0"/>
    <w:rsid w:val="12F6543D"/>
    <w:rsid w:val="12F6691D"/>
    <w:rsid w:val="130B032B"/>
    <w:rsid w:val="130D515A"/>
    <w:rsid w:val="131274CE"/>
    <w:rsid w:val="13196AAF"/>
    <w:rsid w:val="13211C21"/>
    <w:rsid w:val="132C233E"/>
    <w:rsid w:val="132C67E2"/>
    <w:rsid w:val="13315BA7"/>
    <w:rsid w:val="133236CD"/>
    <w:rsid w:val="133B6A25"/>
    <w:rsid w:val="13477178"/>
    <w:rsid w:val="134E6759"/>
    <w:rsid w:val="1351449B"/>
    <w:rsid w:val="135922E1"/>
    <w:rsid w:val="135950FD"/>
    <w:rsid w:val="135E2714"/>
    <w:rsid w:val="135F527E"/>
    <w:rsid w:val="13620456"/>
    <w:rsid w:val="13653AA2"/>
    <w:rsid w:val="137D719C"/>
    <w:rsid w:val="137D7E60"/>
    <w:rsid w:val="137F4B64"/>
    <w:rsid w:val="138228A6"/>
    <w:rsid w:val="13893C35"/>
    <w:rsid w:val="13925C08"/>
    <w:rsid w:val="13981647"/>
    <w:rsid w:val="13987C4E"/>
    <w:rsid w:val="139F5206"/>
    <w:rsid w:val="13B16CE7"/>
    <w:rsid w:val="13B924F4"/>
    <w:rsid w:val="13B978C1"/>
    <w:rsid w:val="13C156F5"/>
    <w:rsid w:val="13C54541"/>
    <w:rsid w:val="13C8306A"/>
    <w:rsid w:val="13C94031"/>
    <w:rsid w:val="13C95DDF"/>
    <w:rsid w:val="13CF716E"/>
    <w:rsid w:val="13D027D0"/>
    <w:rsid w:val="13DA7FEC"/>
    <w:rsid w:val="13DB3D64"/>
    <w:rsid w:val="13E0137B"/>
    <w:rsid w:val="13E946D3"/>
    <w:rsid w:val="13EB2378"/>
    <w:rsid w:val="13F401F1"/>
    <w:rsid w:val="13FF286F"/>
    <w:rsid w:val="140D7736"/>
    <w:rsid w:val="140E7C96"/>
    <w:rsid w:val="140F46BB"/>
    <w:rsid w:val="14101C60"/>
    <w:rsid w:val="14107B5E"/>
    <w:rsid w:val="141D437D"/>
    <w:rsid w:val="14280A30"/>
    <w:rsid w:val="143A0A8B"/>
    <w:rsid w:val="143E3DC9"/>
    <w:rsid w:val="14404441"/>
    <w:rsid w:val="14423DE3"/>
    <w:rsid w:val="144B787C"/>
    <w:rsid w:val="144E2788"/>
    <w:rsid w:val="144E4536"/>
    <w:rsid w:val="14504752"/>
    <w:rsid w:val="14517850"/>
    <w:rsid w:val="1457163D"/>
    <w:rsid w:val="146124BC"/>
    <w:rsid w:val="1469268B"/>
    <w:rsid w:val="14760059"/>
    <w:rsid w:val="148F139B"/>
    <w:rsid w:val="14943AA4"/>
    <w:rsid w:val="14947B48"/>
    <w:rsid w:val="14954337"/>
    <w:rsid w:val="149C1273"/>
    <w:rsid w:val="14A60143"/>
    <w:rsid w:val="14A625C4"/>
    <w:rsid w:val="14A8633C"/>
    <w:rsid w:val="14B20F69"/>
    <w:rsid w:val="14B545B5"/>
    <w:rsid w:val="14C111AC"/>
    <w:rsid w:val="14C173FE"/>
    <w:rsid w:val="14C30A80"/>
    <w:rsid w:val="14C32EE9"/>
    <w:rsid w:val="14C34F24"/>
    <w:rsid w:val="14E27541"/>
    <w:rsid w:val="14F670A8"/>
    <w:rsid w:val="14F96B98"/>
    <w:rsid w:val="15051099"/>
    <w:rsid w:val="150A1146"/>
    <w:rsid w:val="151C60C5"/>
    <w:rsid w:val="151E57CF"/>
    <w:rsid w:val="15204125"/>
    <w:rsid w:val="15260625"/>
    <w:rsid w:val="15284D87"/>
    <w:rsid w:val="15324BD2"/>
    <w:rsid w:val="15334487"/>
    <w:rsid w:val="15406575"/>
    <w:rsid w:val="15456142"/>
    <w:rsid w:val="15464809"/>
    <w:rsid w:val="155314CB"/>
    <w:rsid w:val="15595889"/>
    <w:rsid w:val="155B282E"/>
    <w:rsid w:val="15744470"/>
    <w:rsid w:val="15757273"/>
    <w:rsid w:val="15762B4F"/>
    <w:rsid w:val="15787ABD"/>
    <w:rsid w:val="157955E3"/>
    <w:rsid w:val="157F52EF"/>
    <w:rsid w:val="158E5532"/>
    <w:rsid w:val="158F27E5"/>
    <w:rsid w:val="159D7EB0"/>
    <w:rsid w:val="15A308B2"/>
    <w:rsid w:val="15AE6DBB"/>
    <w:rsid w:val="15BB3E4D"/>
    <w:rsid w:val="15BE084A"/>
    <w:rsid w:val="15BF5C2B"/>
    <w:rsid w:val="15C54CCC"/>
    <w:rsid w:val="15C727F2"/>
    <w:rsid w:val="15D232F3"/>
    <w:rsid w:val="15D6358C"/>
    <w:rsid w:val="15D65076"/>
    <w:rsid w:val="15D8055B"/>
    <w:rsid w:val="15D849FF"/>
    <w:rsid w:val="15DA7B59"/>
    <w:rsid w:val="15DB004C"/>
    <w:rsid w:val="15DF2024"/>
    <w:rsid w:val="15DF4FBF"/>
    <w:rsid w:val="15EE5971"/>
    <w:rsid w:val="15F80BFE"/>
    <w:rsid w:val="15F97EB4"/>
    <w:rsid w:val="16010B0C"/>
    <w:rsid w:val="160C28FB"/>
    <w:rsid w:val="160E0421"/>
    <w:rsid w:val="1618304E"/>
    <w:rsid w:val="162714E3"/>
    <w:rsid w:val="16324081"/>
    <w:rsid w:val="16365385"/>
    <w:rsid w:val="1640178A"/>
    <w:rsid w:val="164107F7"/>
    <w:rsid w:val="164417F2"/>
    <w:rsid w:val="164C7CFB"/>
    <w:rsid w:val="16502966"/>
    <w:rsid w:val="165D097F"/>
    <w:rsid w:val="166415B8"/>
    <w:rsid w:val="16663DB9"/>
    <w:rsid w:val="166E2C6E"/>
    <w:rsid w:val="16724E26"/>
    <w:rsid w:val="167501E6"/>
    <w:rsid w:val="16753FFC"/>
    <w:rsid w:val="167C049A"/>
    <w:rsid w:val="167D1103"/>
    <w:rsid w:val="168626AD"/>
    <w:rsid w:val="169C3C7F"/>
    <w:rsid w:val="16A17CF5"/>
    <w:rsid w:val="16A3500D"/>
    <w:rsid w:val="16A55FBE"/>
    <w:rsid w:val="16A6065A"/>
    <w:rsid w:val="16BA2357"/>
    <w:rsid w:val="16BD4245"/>
    <w:rsid w:val="16D03928"/>
    <w:rsid w:val="16DD382F"/>
    <w:rsid w:val="16EA49EA"/>
    <w:rsid w:val="16EB2510"/>
    <w:rsid w:val="16ED44DA"/>
    <w:rsid w:val="16F21AF1"/>
    <w:rsid w:val="16F34BE6"/>
    <w:rsid w:val="170B2BB3"/>
    <w:rsid w:val="171001C9"/>
    <w:rsid w:val="171454A4"/>
    <w:rsid w:val="17163A31"/>
    <w:rsid w:val="171E1DFE"/>
    <w:rsid w:val="1726732E"/>
    <w:rsid w:val="172B6D8B"/>
    <w:rsid w:val="172D0D7B"/>
    <w:rsid w:val="17342109"/>
    <w:rsid w:val="17424826"/>
    <w:rsid w:val="17464B70"/>
    <w:rsid w:val="174723A0"/>
    <w:rsid w:val="174E359A"/>
    <w:rsid w:val="17517CF8"/>
    <w:rsid w:val="175400B6"/>
    <w:rsid w:val="175E0F34"/>
    <w:rsid w:val="17667DE9"/>
    <w:rsid w:val="17674D67"/>
    <w:rsid w:val="1767603B"/>
    <w:rsid w:val="176B7B12"/>
    <w:rsid w:val="17760616"/>
    <w:rsid w:val="177E342D"/>
    <w:rsid w:val="178036B9"/>
    <w:rsid w:val="178C5AA1"/>
    <w:rsid w:val="179A60F6"/>
    <w:rsid w:val="17BB1EE3"/>
    <w:rsid w:val="17BB6387"/>
    <w:rsid w:val="17BD20FF"/>
    <w:rsid w:val="17C35253"/>
    <w:rsid w:val="17D9680D"/>
    <w:rsid w:val="17EA38DE"/>
    <w:rsid w:val="17EA515F"/>
    <w:rsid w:val="17EC425D"/>
    <w:rsid w:val="17F21810"/>
    <w:rsid w:val="17F378CF"/>
    <w:rsid w:val="17F91257"/>
    <w:rsid w:val="180945F0"/>
    <w:rsid w:val="180E4708"/>
    <w:rsid w:val="182A7068"/>
    <w:rsid w:val="183250F4"/>
    <w:rsid w:val="18356139"/>
    <w:rsid w:val="18422604"/>
    <w:rsid w:val="184243B2"/>
    <w:rsid w:val="18451E9C"/>
    <w:rsid w:val="185428BD"/>
    <w:rsid w:val="18581E27"/>
    <w:rsid w:val="185C36C6"/>
    <w:rsid w:val="185C5B9E"/>
    <w:rsid w:val="185D1C5F"/>
    <w:rsid w:val="185F6D12"/>
    <w:rsid w:val="186E33F9"/>
    <w:rsid w:val="187622AE"/>
    <w:rsid w:val="187F7500"/>
    <w:rsid w:val="18866995"/>
    <w:rsid w:val="18950986"/>
    <w:rsid w:val="189561D3"/>
    <w:rsid w:val="189A2440"/>
    <w:rsid w:val="189D1291"/>
    <w:rsid w:val="189E2829"/>
    <w:rsid w:val="18A8482E"/>
    <w:rsid w:val="18B2778A"/>
    <w:rsid w:val="18BA4890"/>
    <w:rsid w:val="18C54711"/>
    <w:rsid w:val="18C741AE"/>
    <w:rsid w:val="18D21BDA"/>
    <w:rsid w:val="18D426C3"/>
    <w:rsid w:val="18E21187"/>
    <w:rsid w:val="18E82F8F"/>
    <w:rsid w:val="18EF453A"/>
    <w:rsid w:val="18F27B86"/>
    <w:rsid w:val="18F41B50"/>
    <w:rsid w:val="18F41E91"/>
    <w:rsid w:val="18F558C8"/>
    <w:rsid w:val="1903629F"/>
    <w:rsid w:val="190B0C48"/>
    <w:rsid w:val="190C1C63"/>
    <w:rsid w:val="190C3220"/>
    <w:rsid w:val="190F2F5A"/>
    <w:rsid w:val="192341E3"/>
    <w:rsid w:val="192A1275"/>
    <w:rsid w:val="19330E26"/>
    <w:rsid w:val="1934019F"/>
    <w:rsid w:val="19374917"/>
    <w:rsid w:val="19375EE1"/>
    <w:rsid w:val="193C7053"/>
    <w:rsid w:val="193F08F1"/>
    <w:rsid w:val="19405A0C"/>
    <w:rsid w:val="19410B0E"/>
    <w:rsid w:val="19461C80"/>
    <w:rsid w:val="1954439D"/>
    <w:rsid w:val="195E7886"/>
    <w:rsid w:val="19636CD6"/>
    <w:rsid w:val="19654E9C"/>
    <w:rsid w:val="19666311"/>
    <w:rsid w:val="19681569"/>
    <w:rsid w:val="19750605"/>
    <w:rsid w:val="19766A09"/>
    <w:rsid w:val="1977008B"/>
    <w:rsid w:val="197B7B7C"/>
    <w:rsid w:val="198B45F5"/>
    <w:rsid w:val="19914E85"/>
    <w:rsid w:val="1993357B"/>
    <w:rsid w:val="199649B5"/>
    <w:rsid w:val="19A1335A"/>
    <w:rsid w:val="19A4163F"/>
    <w:rsid w:val="19B27315"/>
    <w:rsid w:val="19B47531"/>
    <w:rsid w:val="19C474E8"/>
    <w:rsid w:val="19C72DC1"/>
    <w:rsid w:val="19CF7EC7"/>
    <w:rsid w:val="19D159ED"/>
    <w:rsid w:val="19D46FDD"/>
    <w:rsid w:val="19D710C2"/>
    <w:rsid w:val="19D92AF4"/>
    <w:rsid w:val="19DA19B7"/>
    <w:rsid w:val="19DD0836"/>
    <w:rsid w:val="19E25E4D"/>
    <w:rsid w:val="19E6045B"/>
    <w:rsid w:val="19F053AE"/>
    <w:rsid w:val="1A0C4C78"/>
    <w:rsid w:val="1A147FD0"/>
    <w:rsid w:val="1A1F0F13"/>
    <w:rsid w:val="1A204BC7"/>
    <w:rsid w:val="1A224591"/>
    <w:rsid w:val="1A27385F"/>
    <w:rsid w:val="1A31145D"/>
    <w:rsid w:val="1A424B3D"/>
    <w:rsid w:val="1A5439C0"/>
    <w:rsid w:val="1A545102"/>
    <w:rsid w:val="1A574747"/>
    <w:rsid w:val="1A5C4991"/>
    <w:rsid w:val="1A5E27F1"/>
    <w:rsid w:val="1A5F2FF9"/>
    <w:rsid w:val="1A616F49"/>
    <w:rsid w:val="1A6220C1"/>
    <w:rsid w:val="1A626DED"/>
    <w:rsid w:val="1A6B021D"/>
    <w:rsid w:val="1A6C5716"/>
    <w:rsid w:val="1A6D529C"/>
    <w:rsid w:val="1A705D24"/>
    <w:rsid w:val="1A725422"/>
    <w:rsid w:val="1A750A6F"/>
    <w:rsid w:val="1A7F369B"/>
    <w:rsid w:val="1A807414"/>
    <w:rsid w:val="1A822279"/>
    <w:rsid w:val="1A846F04"/>
    <w:rsid w:val="1A8B64E4"/>
    <w:rsid w:val="1A8E1B30"/>
    <w:rsid w:val="1A974A47"/>
    <w:rsid w:val="1A9F4D57"/>
    <w:rsid w:val="1AA41354"/>
    <w:rsid w:val="1AA50C28"/>
    <w:rsid w:val="1AAD6142"/>
    <w:rsid w:val="1AAE21D3"/>
    <w:rsid w:val="1ABC1092"/>
    <w:rsid w:val="1ABD2416"/>
    <w:rsid w:val="1ABF2F84"/>
    <w:rsid w:val="1AC437A4"/>
    <w:rsid w:val="1AC5282E"/>
    <w:rsid w:val="1AC90DBB"/>
    <w:rsid w:val="1ACD37C0"/>
    <w:rsid w:val="1ACF4EEE"/>
    <w:rsid w:val="1AD43235"/>
    <w:rsid w:val="1ADA7C93"/>
    <w:rsid w:val="1AEC2D5F"/>
    <w:rsid w:val="1AEC6857"/>
    <w:rsid w:val="1AEF1992"/>
    <w:rsid w:val="1AFB571B"/>
    <w:rsid w:val="1B0B13D3"/>
    <w:rsid w:val="1B0E451B"/>
    <w:rsid w:val="1B1738D4"/>
    <w:rsid w:val="1B186D00"/>
    <w:rsid w:val="1B190004"/>
    <w:rsid w:val="1B226BBD"/>
    <w:rsid w:val="1B271F10"/>
    <w:rsid w:val="1B2C6201"/>
    <w:rsid w:val="1B2D35C5"/>
    <w:rsid w:val="1B3C158C"/>
    <w:rsid w:val="1B3E5305"/>
    <w:rsid w:val="1B3F161E"/>
    <w:rsid w:val="1B46065D"/>
    <w:rsid w:val="1B5543FC"/>
    <w:rsid w:val="1B771A44"/>
    <w:rsid w:val="1B79458F"/>
    <w:rsid w:val="1B7E66CF"/>
    <w:rsid w:val="1B8160A5"/>
    <w:rsid w:val="1B8C7F79"/>
    <w:rsid w:val="1BAC24BF"/>
    <w:rsid w:val="1BB12E4B"/>
    <w:rsid w:val="1BB71370"/>
    <w:rsid w:val="1BBF7E22"/>
    <w:rsid w:val="1BCC2910"/>
    <w:rsid w:val="1BD35937"/>
    <w:rsid w:val="1BDD37F8"/>
    <w:rsid w:val="1BF157B5"/>
    <w:rsid w:val="1BFC588B"/>
    <w:rsid w:val="1BFE6842"/>
    <w:rsid w:val="1C01523F"/>
    <w:rsid w:val="1C09421B"/>
    <w:rsid w:val="1C0E2F29"/>
    <w:rsid w:val="1C24274C"/>
    <w:rsid w:val="1C393D1E"/>
    <w:rsid w:val="1C435E51"/>
    <w:rsid w:val="1C4C1CA3"/>
    <w:rsid w:val="1C4F709D"/>
    <w:rsid w:val="1C512E16"/>
    <w:rsid w:val="1C5A0D1A"/>
    <w:rsid w:val="1C712E51"/>
    <w:rsid w:val="1C721F0E"/>
    <w:rsid w:val="1C7E47A3"/>
    <w:rsid w:val="1C8C20A0"/>
    <w:rsid w:val="1C9C4B52"/>
    <w:rsid w:val="1C9D2648"/>
    <w:rsid w:val="1C9D42AD"/>
    <w:rsid w:val="1C9F1DD3"/>
    <w:rsid w:val="1CA90EA4"/>
    <w:rsid w:val="1CAE64BA"/>
    <w:rsid w:val="1CB515F6"/>
    <w:rsid w:val="1CBA09BB"/>
    <w:rsid w:val="1CC23D13"/>
    <w:rsid w:val="1CC407A0"/>
    <w:rsid w:val="1CCC052B"/>
    <w:rsid w:val="1CCC4B92"/>
    <w:rsid w:val="1CD239BF"/>
    <w:rsid w:val="1CDA2E0B"/>
    <w:rsid w:val="1CDD0B4D"/>
    <w:rsid w:val="1CE75528"/>
    <w:rsid w:val="1CEB14BC"/>
    <w:rsid w:val="1CEB3B11"/>
    <w:rsid w:val="1CF87735"/>
    <w:rsid w:val="1CFA463B"/>
    <w:rsid w:val="1CFC0FD3"/>
    <w:rsid w:val="1D047E88"/>
    <w:rsid w:val="1D0514FC"/>
    <w:rsid w:val="1D1207F7"/>
    <w:rsid w:val="1D1C3424"/>
    <w:rsid w:val="1D2C40BC"/>
    <w:rsid w:val="1D2E7BDB"/>
    <w:rsid w:val="1D3615CA"/>
    <w:rsid w:val="1D385D84"/>
    <w:rsid w:val="1D3D6A4B"/>
    <w:rsid w:val="1D4806BC"/>
    <w:rsid w:val="1D48246B"/>
    <w:rsid w:val="1D4901AD"/>
    <w:rsid w:val="1D491A88"/>
    <w:rsid w:val="1D4C36EE"/>
    <w:rsid w:val="1D51073B"/>
    <w:rsid w:val="1D554F5C"/>
    <w:rsid w:val="1D61352C"/>
    <w:rsid w:val="1D800675"/>
    <w:rsid w:val="1D845CE8"/>
    <w:rsid w:val="1D8D0A2C"/>
    <w:rsid w:val="1D9258CE"/>
    <w:rsid w:val="1D9C43B8"/>
    <w:rsid w:val="1DAB47A7"/>
    <w:rsid w:val="1DAC581B"/>
    <w:rsid w:val="1DAF441C"/>
    <w:rsid w:val="1DB14389"/>
    <w:rsid w:val="1DBE44DB"/>
    <w:rsid w:val="1DC7141A"/>
    <w:rsid w:val="1DCF66E8"/>
    <w:rsid w:val="1DD27F86"/>
    <w:rsid w:val="1DDB37DB"/>
    <w:rsid w:val="1DE008F5"/>
    <w:rsid w:val="1DE57CB9"/>
    <w:rsid w:val="1DE972FF"/>
    <w:rsid w:val="1DEA5B92"/>
    <w:rsid w:val="1E0F11DA"/>
    <w:rsid w:val="1E110AAE"/>
    <w:rsid w:val="1E1A132E"/>
    <w:rsid w:val="1E1C34D9"/>
    <w:rsid w:val="1E256308"/>
    <w:rsid w:val="1E2C6BB5"/>
    <w:rsid w:val="1E322D84"/>
    <w:rsid w:val="1E35087D"/>
    <w:rsid w:val="1E3A0E9C"/>
    <w:rsid w:val="1E3B3D7D"/>
    <w:rsid w:val="1E5310C7"/>
    <w:rsid w:val="1E544E3F"/>
    <w:rsid w:val="1E5633AE"/>
    <w:rsid w:val="1E666349"/>
    <w:rsid w:val="1E6E53EC"/>
    <w:rsid w:val="1E783A11"/>
    <w:rsid w:val="1E7B2E90"/>
    <w:rsid w:val="1E7B4E17"/>
    <w:rsid w:val="1E7E0092"/>
    <w:rsid w:val="1E8219AC"/>
    <w:rsid w:val="1E8617C9"/>
    <w:rsid w:val="1E870D71"/>
    <w:rsid w:val="1E8F5E77"/>
    <w:rsid w:val="1EA00084"/>
    <w:rsid w:val="1EA00A8B"/>
    <w:rsid w:val="1EA638ED"/>
    <w:rsid w:val="1EA8020B"/>
    <w:rsid w:val="1EB51737"/>
    <w:rsid w:val="1EB61656"/>
    <w:rsid w:val="1EBA1146"/>
    <w:rsid w:val="1EBD0C36"/>
    <w:rsid w:val="1EBE2959"/>
    <w:rsid w:val="1EBF3B9B"/>
    <w:rsid w:val="1ECB542C"/>
    <w:rsid w:val="1ED37BB9"/>
    <w:rsid w:val="1ED55F80"/>
    <w:rsid w:val="1EDA3596"/>
    <w:rsid w:val="1EE461C3"/>
    <w:rsid w:val="1EEB54F0"/>
    <w:rsid w:val="1EF0629B"/>
    <w:rsid w:val="1EF503D0"/>
    <w:rsid w:val="1EFB0E1B"/>
    <w:rsid w:val="1F066139"/>
    <w:rsid w:val="1F080E63"/>
    <w:rsid w:val="1F170346"/>
    <w:rsid w:val="1F1F544D"/>
    <w:rsid w:val="1F271381"/>
    <w:rsid w:val="1F2C748C"/>
    <w:rsid w:val="1F444EB4"/>
    <w:rsid w:val="1F447C08"/>
    <w:rsid w:val="1F4924CA"/>
    <w:rsid w:val="1F4E7AE0"/>
    <w:rsid w:val="1F4F2430"/>
    <w:rsid w:val="1F5A5E33"/>
    <w:rsid w:val="1F5C21FD"/>
    <w:rsid w:val="1F5C3FAB"/>
    <w:rsid w:val="1F6D61B8"/>
    <w:rsid w:val="1F6E6BD1"/>
    <w:rsid w:val="1F6F77E9"/>
    <w:rsid w:val="1F703BF1"/>
    <w:rsid w:val="1F813A12"/>
    <w:rsid w:val="1F816F49"/>
    <w:rsid w:val="1F830C5D"/>
    <w:rsid w:val="1F881244"/>
    <w:rsid w:val="1F89225F"/>
    <w:rsid w:val="1F9574BD"/>
    <w:rsid w:val="1F973261"/>
    <w:rsid w:val="1F996FAD"/>
    <w:rsid w:val="1F9D2F4E"/>
    <w:rsid w:val="1FA574B4"/>
    <w:rsid w:val="1FA73A45"/>
    <w:rsid w:val="1FAA11BB"/>
    <w:rsid w:val="1FB63322"/>
    <w:rsid w:val="1FB931AC"/>
    <w:rsid w:val="1FC361E8"/>
    <w:rsid w:val="1FC406EF"/>
    <w:rsid w:val="1FC41B50"/>
    <w:rsid w:val="1FC42B0D"/>
    <w:rsid w:val="1FCF5501"/>
    <w:rsid w:val="1FD06747"/>
    <w:rsid w:val="1FD53D5E"/>
    <w:rsid w:val="1FD71884"/>
    <w:rsid w:val="1FDB75C6"/>
    <w:rsid w:val="1FDC333E"/>
    <w:rsid w:val="1FE219A2"/>
    <w:rsid w:val="1FE43FA1"/>
    <w:rsid w:val="1FED69B0"/>
    <w:rsid w:val="1FF16DE9"/>
    <w:rsid w:val="1FF20683"/>
    <w:rsid w:val="1FF561AE"/>
    <w:rsid w:val="1FF82DDD"/>
    <w:rsid w:val="200946E1"/>
    <w:rsid w:val="2020147D"/>
    <w:rsid w:val="202860B0"/>
    <w:rsid w:val="202A6E6C"/>
    <w:rsid w:val="20340A84"/>
    <w:rsid w:val="20444E4F"/>
    <w:rsid w:val="20450EE3"/>
    <w:rsid w:val="20457135"/>
    <w:rsid w:val="204D1B46"/>
    <w:rsid w:val="205253AE"/>
    <w:rsid w:val="20543A51"/>
    <w:rsid w:val="20601CC4"/>
    <w:rsid w:val="20655C28"/>
    <w:rsid w:val="20695C66"/>
    <w:rsid w:val="20705AC5"/>
    <w:rsid w:val="20735A50"/>
    <w:rsid w:val="207D287C"/>
    <w:rsid w:val="207F2647"/>
    <w:rsid w:val="20801F1B"/>
    <w:rsid w:val="208347C6"/>
    <w:rsid w:val="20991071"/>
    <w:rsid w:val="209B0B03"/>
    <w:rsid w:val="20AE7EA4"/>
    <w:rsid w:val="20B63B8F"/>
    <w:rsid w:val="20BA5DC0"/>
    <w:rsid w:val="20C10D12"/>
    <w:rsid w:val="20CD60E6"/>
    <w:rsid w:val="20CF69FF"/>
    <w:rsid w:val="20D604E9"/>
    <w:rsid w:val="20D91840"/>
    <w:rsid w:val="20DA5ACF"/>
    <w:rsid w:val="20DD55C0"/>
    <w:rsid w:val="20DF30E6"/>
    <w:rsid w:val="20EA77E5"/>
    <w:rsid w:val="20EB2342"/>
    <w:rsid w:val="20EE1616"/>
    <w:rsid w:val="20F12E19"/>
    <w:rsid w:val="20F6042F"/>
    <w:rsid w:val="20F63442"/>
    <w:rsid w:val="20F87D04"/>
    <w:rsid w:val="21035A46"/>
    <w:rsid w:val="210743EB"/>
    <w:rsid w:val="21102C11"/>
    <w:rsid w:val="21156B08"/>
    <w:rsid w:val="213B4094"/>
    <w:rsid w:val="21423675"/>
    <w:rsid w:val="21425423"/>
    <w:rsid w:val="21432608"/>
    <w:rsid w:val="21463165"/>
    <w:rsid w:val="21577120"/>
    <w:rsid w:val="216135B2"/>
    <w:rsid w:val="216B75EB"/>
    <w:rsid w:val="216E6218"/>
    <w:rsid w:val="216E68E8"/>
    <w:rsid w:val="21703D3E"/>
    <w:rsid w:val="21770726"/>
    <w:rsid w:val="217750CC"/>
    <w:rsid w:val="21780E44"/>
    <w:rsid w:val="21834242"/>
    <w:rsid w:val="21843C8D"/>
    <w:rsid w:val="218912A4"/>
    <w:rsid w:val="219914E7"/>
    <w:rsid w:val="219A0DBB"/>
    <w:rsid w:val="219F4623"/>
    <w:rsid w:val="21A90C35"/>
    <w:rsid w:val="21AF0D0A"/>
    <w:rsid w:val="21B26104"/>
    <w:rsid w:val="21B7196D"/>
    <w:rsid w:val="21B87DD3"/>
    <w:rsid w:val="21BC51D5"/>
    <w:rsid w:val="21BC6F83"/>
    <w:rsid w:val="21C127EB"/>
    <w:rsid w:val="21C30C02"/>
    <w:rsid w:val="21C77B7E"/>
    <w:rsid w:val="21CF4F08"/>
    <w:rsid w:val="21E22971"/>
    <w:rsid w:val="21E25945"/>
    <w:rsid w:val="21E64000"/>
    <w:rsid w:val="21F12856"/>
    <w:rsid w:val="2208041A"/>
    <w:rsid w:val="221C42E4"/>
    <w:rsid w:val="2220203D"/>
    <w:rsid w:val="222B0897"/>
    <w:rsid w:val="22384627"/>
    <w:rsid w:val="22405E06"/>
    <w:rsid w:val="224B7522"/>
    <w:rsid w:val="2250591D"/>
    <w:rsid w:val="22545C17"/>
    <w:rsid w:val="22590C76"/>
    <w:rsid w:val="225F30B5"/>
    <w:rsid w:val="22600256"/>
    <w:rsid w:val="22630F61"/>
    <w:rsid w:val="226513C9"/>
    <w:rsid w:val="22661D7D"/>
    <w:rsid w:val="22714212"/>
    <w:rsid w:val="2277154F"/>
    <w:rsid w:val="227A777F"/>
    <w:rsid w:val="227E06DD"/>
    <w:rsid w:val="22892CF5"/>
    <w:rsid w:val="228C7257"/>
    <w:rsid w:val="228D6B72"/>
    <w:rsid w:val="229E0D7F"/>
    <w:rsid w:val="22A04AF7"/>
    <w:rsid w:val="22A26F36"/>
    <w:rsid w:val="22A45A89"/>
    <w:rsid w:val="22B91715"/>
    <w:rsid w:val="22C34341"/>
    <w:rsid w:val="22C84860"/>
    <w:rsid w:val="22D46CF5"/>
    <w:rsid w:val="22DF5CEF"/>
    <w:rsid w:val="22E1401A"/>
    <w:rsid w:val="22E85E2F"/>
    <w:rsid w:val="22EE5862"/>
    <w:rsid w:val="22EF5A05"/>
    <w:rsid w:val="23006765"/>
    <w:rsid w:val="2302130E"/>
    <w:rsid w:val="23045086"/>
    <w:rsid w:val="231318C5"/>
    <w:rsid w:val="231E77CA"/>
    <w:rsid w:val="231F5A1C"/>
    <w:rsid w:val="232B5C53"/>
    <w:rsid w:val="232D4CCC"/>
    <w:rsid w:val="232F327F"/>
    <w:rsid w:val="23305E7B"/>
    <w:rsid w:val="23323CFF"/>
    <w:rsid w:val="23370B93"/>
    <w:rsid w:val="233F1C1A"/>
    <w:rsid w:val="234A004E"/>
    <w:rsid w:val="234F5BD5"/>
    <w:rsid w:val="235A6A54"/>
    <w:rsid w:val="235E5C65"/>
    <w:rsid w:val="23614F24"/>
    <w:rsid w:val="23665B38"/>
    <w:rsid w:val="23696C97"/>
    <w:rsid w:val="236E24FF"/>
    <w:rsid w:val="237044C9"/>
    <w:rsid w:val="23713D9D"/>
    <w:rsid w:val="237578A3"/>
    <w:rsid w:val="237968B7"/>
    <w:rsid w:val="237D6BE6"/>
    <w:rsid w:val="237E662A"/>
    <w:rsid w:val="238C0BD7"/>
    <w:rsid w:val="239441EA"/>
    <w:rsid w:val="23971A56"/>
    <w:rsid w:val="239922E2"/>
    <w:rsid w:val="239D1C07"/>
    <w:rsid w:val="239F4DAE"/>
    <w:rsid w:val="23A61C99"/>
    <w:rsid w:val="23AE0B4E"/>
    <w:rsid w:val="23B1063E"/>
    <w:rsid w:val="23B24D6E"/>
    <w:rsid w:val="23B46226"/>
    <w:rsid w:val="23C71C0F"/>
    <w:rsid w:val="23CB0949"/>
    <w:rsid w:val="23D42CAA"/>
    <w:rsid w:val="23D700A4"/>
    <w:rsid w:val="23E33192"/>
    <w:rsid w:val="23E40A13"/>
    <w:rsid w:val="23F30C56"/>
    <w:rsid w:val="23FC0DEC"/>
    <w:rsid w:val="23FE4FA4"/>
    <w:rsid w:val="240C3129"/>
    <w:rsid w:val="241237D2"/>
    <w:rsid w:val="24213A15"/>
    <w:rsid w:val="242343C0"/>
    <w:rsid w:val="24246D53"/>
    <w:rsid w:val="243E45C7"/>
    <w:rsid w:val="243F5C4A"/>
    <w:rsid w:val="244A5D13"/>
    <w:rsid w:val="244A6AC8"/>
    <w:rsid w:val="245416F5"/>
    <w:rsid w:val="245A56EF"/>
    <w:rsid w:val="246A16A9"/>
    <w:rsid w:val="246D0A09"/>
    <w:rsid w:val="247B1377"/>
    <w:rsid w:val="248F4E23"/>
    <w:rsid w:val="249A1DD6"/>
    <w:rsid w:val="24A70655"/>
    <w:rsid w:val="24AA4EA1"/>
    <w:rsid w:val="24AC16F2"/>
    <w:rsid w:val="24AF1021"/>
    <w:rsid w:val="24B44889"/>
    <w:rsid w:val="24C0322E"/>
    <w:rsid w:val="24C3687B"/>
    <w:rsid w:val="24CD76F9"/>
    <w:rsid w:val="24FD7FDE"/>
    <w:rsid w:val="25072C0B"/>
    <w:rsid w:val="250F386E"/>
    <w:rsid w:val="25145328"/>
    <w:rsid w:val="25164BFC"/>
    <w:rsid w:val="251F76C0"/>
    <w:rsid w:val="25270BB7"/>
    <w:rsid w:val="252D7C9D"/>
    <w:rsid w:val="2536529E"/>
    <w:rsid w:val="255F47F5"/>
    <w:rsid w:val="255F65A3"/>
    <w:rsid w:val="25624327"/>
    <w:rsid w:val="2564005E"/>
    <w:rsid w:val="256471CD"/>
    <w:rsid w:val="25787665"/>
    <w:rsid w:val="257C1EB5"/>
    <w:rsid w:val="257F09F3"/>
    <w:rsid w:val="259643DB"/>
    <w:rsid w:val="25987046"/>
    <w:rsid w:val="25AB7A3A"/>
    <w:rsid w:val="25AE5C8C"/>
    <w:rsid w:val="25BC57A4"/>
    <w:rsid w:val="25BD73D6"/>
    <w:rsid w:val="25D54AB7"/>
    <w:rsid w:val="25D9546E"/>
    <w:rsid w:val="25DB5C80"/>
    <w:rsid w:val="25E7048C"/>
    <w:rsid w:val="25F25669"/>
    <w:rsid w:val="25F5515A"/>
    <w:rsid w:val="25FC0296"/>
    <w:rsid w:val="261C26E6"/>
    <w:rsid w:val="26321F0A"/>
    <w:rsid w:val="26325A66"/>
    <w:rsid w:val="26395046"/>
    <w:rsid w:val="263A0DBE"/>
    <w:rsid w:val="264102F0"/>
    <w:rsid w:val="26435EC5"/>
    <w:rsid w:val="26485289"/>
    <w:rsid w:val="26543C2E"/>
    <w:rsid w:val="265C4504"/>
    <w:rsid w:val="26615844"/>
    <w:rsid w:val="26681488"/>
    <w:rsid w:val="267047E0"/>
    <w:rsid w:val="26722306"/>
    <w:rsid w:val="267442D0"/>
    <w:rsid w:val="268C786C"/>
    <w:rsid w:val="268D5392"/>
    <w:rsid w:val="26AD1590"/>
    <w:rsid w:val="26BE19EF"/>
    <w:rsid w:val="26C1503C"/>
    <w:rsid w:val="26C708A4"/>
    <w:rsid w:val="26D46B1D"/>
    <w:rsid w:val="26D94133"/>
    <w:rsid w:val="26E2748C"/>
    <w:rsid w:val="26ED23F1"/>
    <w:rsid w:val="26EE76EF"/>
    <w:rsid w:val="26F90667"/>
    <w:rsid w:val="26FA62D1"/>
    <w:rsid w:val="26FB054E"/>
    <w:rsid w:val="27073FC9"/>
    <w:rsid w:val="270F5DA7"/>
    <w:rsid w:val="271E423C"/>
    <w:rsid w:val="2724593F"/>
    <w:rsid w:val="27272151"/>
    <w:rsid w:val="272E6FE6"/>
    <w:rsid w:val="272F191D"/>
    <w:rsid w:val="272F6449"/>
    <w:rsid w:val="274041B2"/>
    <w:rsid w:val="27433CA3"/>
    <w:rsid w:val="274912B9"/>
    <w:rsid w:val="274E68CF"/>
    <w:rsid w:val="27544294"/>
    <w:rsid w:val="27547C5E"/>
    <w:rsid w:val="275A386F"/>
    <w:rsid w:val="27602AA7"/>
    <w:rsid w:val="276B5295"/>
    <w:rsid w:val="276E0D20"/>
    <w:rsid w:val="278B5CA9"/>
    <w:rsid w:val="278C564A"/>
    <w:rsid w:val="27932534"/>
    <w:rsid w:val="279413C6"/>
    <w:rsid w:val="27A110F5"/>
    <w:rsid w:val="27A75FE0"/>
    <w:rsid w:val="27B150B0"/>
    <w:rsid w:val="27B16E5E"/>
    <w:rsid w:val="27B35F19"/>
    <w:rsid w:val="27B67B51"/>
    <w:rsid w:val="27B90BB8"/>
    <w:rsid w:val="27C106F7"/>
    <w:rsid w:val="27D019DA"/>
    <w:rsid w:val="27D36DD5"/>
    <w:rsid w:val="27D670A9"/>
    <w:rsid w:val="27D75D5F"/>
    <w:rsid w:val="27D95803"/>
    <w:rsid w:val="27DA0163"/>
    <w:rsid w:val="27E31A18"/>
    <w:rsid w:val="27EC0C70"/>
    <w:rsid w:val="27F337F7"/>
    <w:rsid w:val="280411B1"/>
    <w:rsid w:val="28137B19"/>
    <w:rsid w:val="281A0EA7"/>
    <w:rsid w:val="281B4303"/>
    <w:rsid w:val="281C69CE"/>
    <w:rsid w:val="281F026C"/>
    <w:rsid w:val="28215D92"/>
    <w:rsid w:val="28235FAE"/>
    <w:rsid w:val="28285372"/>
    <w:rsid w:val="28341EBB"/>
    <w:rsid w:val="283850E7"/>
    <w:rsid w:val="283C7070"/>
    <w:rsid w:val="283D6944"/>
    <w:rsid w:val="284465A4"/>
    <w:rsid w:val="284657F9"/>
    <w:rsid w:val="284B72B3"/>
    <w:rsid w:val="284D302B"/>
    <w:rsid w:val="284D6B87"/>
    <w:rsid w:val="284E46C6"/>
    <w:rsid w:val="285A5748"/>
    <w:rsid w:val="2869172C"/>
    <w:rsid w:val="28706204"/>
    <w:rsid w:val="287144BB"/>
    <w:rsid w:val="28722A91"/>
    <w:rsid w:val="2879797C"/>
    <w:rsid w:val="287C56BE"/>
    <w:rsid w:val="288153D6"/>
    <w:rsid w:val="28844573"/>
    <w:rsid w:val="28940C5A"/>
    <w:rsid w:val="289C681D"/>
    <w:rsid w:val="28A855B6"/>
    <w:rsid w:val="28B20A50"/>
    <w:rsid w:val="28B26D32"/>
    <w:rsid w:val="28B3492E"/>
    <w:rsid w:val="28B906C0"/>
    <w:rsid w:val="28BC3D0D"/>
    <w:rsid w:val="28BE6CC3"/>
    <w:rsid w:val="28BF50C6"/>
    <w:rsid w:val="28D07369"/>
    <w:rsid w:val="28D70B46"/>
    <w:rsid w:val="28E079FB"/>
    <w:rsid w:val="28E12260"/>
    <w:rsid w:val="28F039B6"/>
    <w:rsid w:val="290106D1"/>
    <w:rsid w:val="2907142C"/>
    <w:rsid w:val="2912392D"/>
    <w:rsid w:val="291F1A94"/>
    <w:rsid w:val="2920139D"/>
    <w:rsid w:val="29235B3A"/>
    <w:rsid w:val="293B10D5"/>
    <w:rsid w:val="2940049A"/>
    <w:rsid w:val="29422464"/>
    <w:rsid w:val="29424212"/>
    <w:rsid w:val="294D2BB7"/>
    <w:rsid w:val="29634C21"/>
    <w:rsid w:val="296C128F"/>
    <w:rsid w:val="2971038C"/>
    <w:rsid w:val="29960C6A"/>
    <w:rsid w:val="299D66B4"/>
    <w:rsid w:val="29A527ED"/>
    <w:rsid w:val="29B051AE"/>
    <w:rsid w:val="29B35110"/>
    <w:rsid w:val="29B662CD"/>
    <w:rsid w:val="29B80978"/>
    <w:rsid w:val="29B82726"/>
    <w:rsid w:val="29BB5D72"/>
    <w:rsid w:val="29CC68D0"/>
    <w:rsid w:val="29D05CC2"/>
    <w:rsid w:val="29D60DFE"/>
    <w:rsid w:val="29D82DC8"/>
    <w:rsid w:val="29E11C7D"/>
    <w:rsid w:val="29E350C4"/>
    <w:rsid w:val="29EA191C"/>
    <w:rsid w:val="29EA6657"/>
    <w:rsid w:val="29EE439A"/>
    <w:rsid w:val="29F76F74"/>
    <w:rsid w:val="2A005999"/>
    <w:rsid w:val="2A066C6F"/>
    <w:rsid w:val="2A142DED"/>
    <w:rsid w:val="2A1B001C"/>
    <w:rsid w:val="2A1B260F"/>
    <w:rsid w:val="2A2658E2"/>
    <w:rsid w:val="2A2B114A"/>
    <w:rsid w:val="2A2F5814"/>
    <w:rsid w:val="2A4346E5"/>
    <w:rsid w:val="2A510485"/>
    <w:rsid w:val="2A524929"/>
    <w:rsid w:val="2A57783B"/>
    <w:rsid w:val="2A5B72A5"/>
    <w:rsid w:val="2A616B41"/>
    <w:rsid w:val="2A8B3997"/>
    <w:rsid w:val="2A8D13B7"/>
    <w:rsid w:val="2A915BC3"/>
    <w:rsid w:val="2A9860B3"/>
    <w:rsid w:val="2A9A1E2C"/>
    <w:rsid w:val="2A9F5670"/>
    <w:rsid w:val="2AA10882"/>
    <w:rsid w:val="2AA4277F"/>
    <w:rsid w:val="2AB7478C"/>
    <w:rsid w:val="2ABB5462"/>
    <w:rsid w:val="2ACB70F6"/>
    <w:rsid w:val="2AD03A9F"/>
    <w:rsid w:val="2AD258E8"/>
    <w:rsid w:val="2AEF2DDE"/>
    <w:rsid w:val="2AF14141"/>
    <w:rsid w:val="2AF223EC"/>
    <w:rsid w:val="2B063FD9"/>
    <w:rsid w:val="2B0674C1"/>
    <w:rsid w:val="2B0B4AD7"/>
    <w:rsid w:val="2B0F6376"/>
    <w:rsid w:val="2B165956"/>
    <w:rsid w:val="2B1C0A93"/>
    <w:rsid w:val="2B22254D"/>
    <w:rsid w:val="2B22339C"/>
    <w:rsid w:val="2B344ECB"/>
    <w:rsid w:val="2B362C46"/>
    <w:rsid w:val="2B3B716B"/>
    <w:rsid w:val="2B3C1135"/>
    <w:rsid w:val="2B422AC3"/>
    <w:rsid w:val="2B4400AA"/>
    <w:rsid w:val="2B441A26"/>
    <w:rsid w:val="2B473D61"/>
    <w:rsid w:val="2B501234"/>
    <w:rsid w:val="2B58310C"/>
    <w:rsid w:val="2B617BF9"/>
    <w:rsid w:val="2B653518"/>
    <w:rsid w:val="2B6A7583"/>
    <w:rsid w:val="2B7B1C5D"/>
    <w:rsid w:val="2B85488A"/>
    <w:rsid w:val="2B994E15"/>
    <w:rsid w:val="2B9D30CC"/>
    <w:rsid w:val="2BA06F36"/>
    <w:rsid w:val="2BA72A52"/>
    <w:rsid w:val="2BAE1801"/>
    <w:rsid w:val="2BD33881"/>
    <w:rsid w:val="2BD4136D"/>
    <w:rsid w:val="2BD80E5D"/>
    <w:rsid w:val="2BDE1D42"/>
    <w:rsid w:val="2BE21CDC"/>
    <w:rsid w:val="2BEA0B91"/>
    <w:rsid w:val="2BF33EE9"/>
    <w:rsid w:val="2BF41771"/>
    <w:rsid w:val="2C063C1D"/>
    <w:rsid w:val="2C251BC9"/>
    <w:rsid w:val="2C26606D"/>
    <w:rsid w:val="2C2E6993"/>
    <w:rsid w:val="2C2E6CCF"/>
    <w:rsid w:val="2C33078A"/>
    <w:rsid w:val="2C385DA0"/>
    <w:rsid w:val="2C44772C"/>
    <w:rsid w:val="2C4877FC"/>
    <w:rsid w:val="2C5B772D"/>
    <w:rsid w:val="2C6273B8"/>
    <w:rsid w:val="2C723060"/>
    <w:rsid w:val="2C752E23"/>
    <w:rsid w:val="2C7A0167"/>
    <w:rsid w:val="2C7C3EDF"/>
    <w:rsid w:val="2C840FE5"/>
    <w:rsid w:val="2C8573E5"/>
    <w:rsid w:val="2C884632"/>
    <w:rsid w:val="2C896442"/>
    <w:rsid w:val="2CA0303E"/>
    <w:rsid w:val="2CA927FA"/>
    <w:rsid w:val="2CB42932"/>
    <w:rsid w:val="2CC55886"/>
    <w:rsid w:val="2CCF5848"/>
    <w:rsid w:val="2CD24B05"/>
    <w:rsid w:val="2CD5539D"/>
    <w:rsid w:val="2CDA0C05"/>
    <w:rsid w:val="2CDD4252"/>
    <w:rsid w:val="2CE675AA"/>
    <w:rsid w:val="2CE9543A"/>
    <w:rsid w:val="2CF76FE8"/>
    <w:rsid w:val="2D0D0FDB"/>
    <w:rsid w:val="2D1265F1"/>
    <w:rsid w:val="2D1C37DD"/>
    <w:rsid w:val="2D1E6D44"/>
    <w:rsid w:val="2D214A86"/>
    <w:rsid w:val="2D256324"/>
    <w:rsid w:val="2D2E732D"/>
    <w:rsid w:val="2D393B7E"/>
    <w:rsid w:val="2D3971B2"/>
    <w:rsid w:val="2D3E1194"/>
    <w:rsid w:val="2D3E3DD0"/>
    <w:rsid w:val="2D426ED6"/>
    <w:rsid w:val="2D502C75"/>
    <w:rsid w:val="2D524C40"/>
    <w:rsid w:val="2D5B1D46"/>
    <w:rsid w:val="2D5C161A"/>
    <w:rsid w:val="2D636E4D"/>
    <w:rsid w:val="2D6573B9"/>
    <w:rsid w:val="2D7121C4"/>
    <w:rsid w:val="2D7352E2"/>
    <w:rsid w:val="2D74105A"/>
    <w:rsid w:val="2D752F58"/>
    <w:rsid w:val="2D767AB6"/>
    <w:rsid w:val="2D8157ED"/>
    <w:rsid w:val="2D825525"/>
    <w:rsid w:val="2D8F3AFF"/>
    <w:rsid w:val="2DA336ED"/>
    <w:rsid w:val="2DA339F0"/>
    <w:rsid w:val="2DB651CE"/>
    <w:rsid w:val="2DB96E3A"/>
    <w:rsid w:val="2DBB6684"/>
    <w:rsid w:val="2DBD47AF"/>
    <w:rsid w:val="2DC07F6C"/>
    <w:rsid w:val="2DC378EB"/>
    <w:rsid w:val="2DCD3494"/>
    <w:rsid w:val="2DCF44E2"/>
    <w:rsid w:val="2DCF4FF1"/>
    <w:rsid w:val="2DDD09AD"/>
    <w:rsid w:val="2DDF2977"/>
    <w:rsid w:val="2DF1367E"/>
    <w:rsid w:val="2DF67CC1"/>
    <w:rsid w:val="2DF9330D"/>
    <w:rsid w:val="2DFD037B"/>
    <w:rsid w:val="2DFD4BAB"/>
    <w:rsid w:val="2E114AFB"/>
    <w:rsid w:val="2E1333FA"/>
    <w:rsid w:val="2E164AF1"/>
    <w:rsid w:val="2E1B0BD0"/>
    <w:rsid w:val="2E1C2EF5"/>
    <w:rsid w:val="2E396F23"/>
    <w:rsid w:val="2E3D144C"/>
    <w:rsid w:val="2E3F10BA"/>
    <w:rsid w:val="2E3F330F"/>
    <w:rsid w:val="2E3F6F72"/>
    <w:rsid w:val="2E4647A4"/>
    <w:rsid w:val="2E47170B"/>
    <w:rsid w:val="2E497DF1"/>
    <w:rsid w:val="2E4D1EF4"/>
    <w:rsid w:val="2E536EC1"/>
    <w:rsid w:val="2E6602E0"/>
    <w:rsid w:val="2E692241"/>
    <w:rsid w:val="2E6C3ADF"/>
    <w:rsid w:val="2E6F3F0C"/>
    <w:rsid w:val="2E701821"/>
    <w:rsid w:val="2E953036"/>
    <w:rsid w:val="2E9E23F9"/>
    <w:rsid w:val="2EA270F9"/>
    <w:rsid w:val="2EA339A5"/>
    <w:rsid w:val="2EA74B17"/>
    <w:rsid w:val="2EA8720D"/>
    <w:rsid w:val="2EB21578"/>
    <w:rsid w:val="2EB3170E"/>
    <w:rsid w:val="2EB41F06"/>
    <w:rsid w:val="2EB76E64"/>
    <w:rsid w:val="2EBE114D"/>
    <w:rsid w:val="2EC102CF"/>
    <w:rsid w:val="2EC13E2B"/>
    <w:rsid w:val="2EC15DA0"/>
    <w:rsid w:val="2EDA313F"/>
    <w:rsid w:val="2EDA6C9B"/>
    <w:rsid w:val="2EE63CA0"/>
    <w:rsid w:val="2EE93382"/>
    <w:rsid w:val="2EED01EB"/>
    <w:rsid w:val="2EEE2746"/>
    <w:rsid w:val="2EEF5DED"/>
    <w:rsid w:val="2F10522B"/>
    <w:rsid w:val="2F1A178D"/>
    <w:rsid w:val="2F1C0205"/>
    <w:rsid w:val="2F1C2933"/>
    <w:rsid w:val="2F1E74CF"/>
    <w:rsid w:val="2F225D43"/>
    <w:rsid w:val="2F234AE5"/>
    <w:rsid w:val="2F2919D0"/>
    <w:rsid w:val="2F3E547B"/>
    <w:rsid w:val="2F4A375A"/>
    <w:rsid w:val="2F546A4D"/>
    <w:rsid w:val="2F575B54"/>
    <w:rsid w:val="2F5B427F"/>
    <w:rsid w:val="2F5B602D"/>
    <w:rsid w:val="2F5D0B3F"/>
    <w:rsid w:val="2F5F11FA"/>
    <w:rsid w:val="2F601896"/>
    <w:rsid w:val="2F620589"/>
    <w:rsid w:val="2F6E294B"/>
    <w:rsid w:val="2F7331AB"/>
    <w:rsid w:val="2F875074"/>
    <w:rsid w:val="2F9432ED"/>
    <w:rsid w:val="2F9446DE"/>
    <w:rsid w:val="2F967065"/>
    <w:rsid w:val="2F974B8C"/>
    <w:rsid w:val="2FA71273"/>
    <w:rsid w:val="2FA86D99"/>
    <w:rsid w:val="2FAC4ADB"/>
    <w:rsid w:val="2FAC7851"/>
    <w:rsid w:val="2FAE00FC"/>
    <w:rsid w:val="2FAF3BCA"/>
    <w:rsid w:val="2FB67708"/>
    <w:rsid w:val="2FB725D1"/>
    <w:rsid w:val="2FB90FA6"/>
    <w:rsid w:val="2FBE17C2"/>
    <w:rsid w:val="2FCD67FF"/>
    <w:rsid w:val="2FCE2B17"/>
    <w:rsid w:val="2FD732D6"/>
    <w:rsid w:val="2FE204FD"/>
    <w:rsid w:val="2FE5322C"/>
    <w:rsid w:val="2FF65D56"/>
    <w:rsid w:val="30036D0A"/>
    <w:rsid w:val="30085A89"/>
    <w:rsid w:val="300A1801"/>
    <w:rsid w:val="300C557A"/>
    <w:rsid w:val="30130CC4"/>
    <w:rsid w:val="301663F8"/>
    <w:rsid w:val="301844E8"/>
    <w:rsid w:val="301B3A0F"/>
    <w:rsid w:val="301B56BA"/>
    <w:rsid w:val="301D7787"/>
    <w:rsid w:val="30446459"/>
    <w:rsid w:val="30474804"/>
    <w:rsid w:val="304B42F4"/>
    <w:rsid w:val="304B7509"/>
    <w:rsid w:val="30542A7D"/>
    <w:rsid w:val="30562C99"/>
    <w:rsid w:val="306B2B9E"/>
    <w:rsid w:val="3075311F"/>
    <w:rsid w:val="308710A4"/>
    <w:rsid w:val="309537C1"/>
    <w:rsid w:val="309612E7"/>
    <w:rsid w:val="30A057FA"/>
    <w:rsid w:val="30A12A25"/>
    <w:rsid w:val="30A46699"/>
    <w:rsid w:val="30A60289"/>
    <w:rsid w:val="30A734F4"/>
    <w:rsid w:val="30A77050"/>
    <w:rsid w:val="30B359F5"/>
    <w:rsid w:val="30C56173"/>
    <w:rsid w:val="30D342E9"/>
    <w:rsid w:val="30DA7426"/>
    <w:rsid w:val="30DC1E5C"/>
    <w:rsid w:val="30EB3B89"/>
    <w:rsid w:val="30EE2159"/>
    <w:rsid w:val="30F1626C"/>
    <w:rsid w:val="30F1651D"/>
    <w:rsid w:val="30F37206"/>
    <w:rsid w:val="30FE34B0"/>
    <w:rsid w:val="31006E03"/>
    <w:rsid w:val="310B060E"/>
    <w:rsid w:val="310B5831"/>
    <w:rsid w:val="31102E48"/>
    <w:rsid w:val="311C2969"/>
    <w:rsid w:val="3127532E"/>
    <w:rsid w:val="31350B00"/>
    <w:rsid w:val="313C1E8F"/>
    <w:rsid w:val="31400961"/>
    <w:rsid w:val="31436D79"/>
    <w:rsid w:val="31442E06"/>
    <w:rsid w:val="31496359"/>
    <w:rsid w:val="31540F86"/>
    <w:rsid w:val="31556506"/>
    <w:rsid w:val="315672A4"/>
    <w:rsid w:val="315F16D9"/>
    <w:rsid w:val="31616860"/>
    <w:rsid w:val="316563DD"/>
    <w:rsid w:val="31660CB9"/>
    <w:rsid w:val="317630E6"/>
    <w:rsid w:val="31822F4F"/>
    <w:rsid w:val="31853836"/>
    <w:rsid w:val="318B2257"/>
    <w:rsid w:val="318F1FBE"/>
    <w:rsid w:val="319545F5"/>
    <w:rsid w:val="31A33CBC"/>
    <w:rsid w:val="31A54EB0"/>
    <w:rsid w:val="31A57048"/>
    <w:rsid w:val="31AD0696"/>
    <w:rsid w:val="31AF08B2"/>
    <w:rsid w:val="31B61C41"/>
    <w:rsid w:val="31C14142"/>
    <w:rsid w:val="31C679AA"/>
    <w:rsid w:val="31C93659"/>
    <w:rsid w:val="31CD2AE7"/>
    <w:rsid w:val="31D420C7"/>
    <w:rsid w:val="31DA4319"/>
    <w:rsid w:val="31DE3D3B"/>
    <w:rsid w:val="31E645B2"/>
    <w:rsid w:val="31FC517A"/>
    <w:rsid w:val="31FE5396"/>
    <w:rsid w:val="3203418B"/>
    <w:rsid w:val="32052280"/>
    <w:rsid w:val="320678BF"/>
    <w:rsid w:val="32087FC3"/>
    <w:rsid w:val="320C070D"/>
    <w:rsid w:val="3216623C"/>
    <w:rsid w:val="321D5BF9"/>
    <w:rsid w:val="321E3342"/>
    <w:rsid w:val="32220A03"/>
    <w:rsid w:val="32282397"/>
    <w:rsid w:val="322E5512"/>
    <w:rsid w:val="32304930"/>
    <w:rsid w:val="32364B30"/>
    <w:rsid w:val="323D1017"/>
    <w:rsid w:val="323D4DDE"/>
    <w:rsid w:val="32496611"/>
    <w:rsid w:val="32571099"/>
    <w:rsid w:val="325C23CA"/>
    <w:rsid w:val="325F5934"/>
    <w:rsid w:val="32696CB3"/>
    <w:rsid w:val="326A79C4"/>
    <w:rsid w:val="326D7CE5"/>
    <w:rsid w:val="327758E0"/>
    <w:rsid w:val="327C459C"/>
    <w:rsid w:val="327F62D5"/>
    <w:rsid w:val="32820EC7"/>
    <w:rsid w:val="32AB72CC"/>
    <w:rsid w:val="32B617CD"/>
    <w:rsid w:val="32BD0DAD"/>
    <w:rsid w:val="32C24615"/>
    <w:rsid w:val="32D60752"/>
    <w:rsid w:val="32D81743"/>
    <w:rsid w:val="32DF36FA"/>
    <w:rsid w:val="32E55985"/>
    <w:rsid w:val="32E620B2"/>
    <w:rsid w:val="32EB7665"/>
    <w:rsid w:val="32EC220C"/>
    <w:rsid w:val="32F9441C"/>
    <w:rsid w:val="32FB62DB"/>
    <w:rsid w:val="33002A55"/>
    <w:rsid w:val="33053102"/>
    <w:rsid w:val="330602D9"/>
    <w:rsid w:val="33087A52"/>
    <w:rsid w:val="33090F55"/>
    <w:rsid w:val="33217CC6"/>
    <w:rsid w:val="33243F0E"/>
    <w:rsid w:val="33245604"/>
    <w:rsid w:val="332525B0"/>
    <w:rsid w:val="33260700"/>
    <w:rsid w:val="3327095C"/>
    <w:rsid w:val="3330051F"/>
    <w:rsid w:val="333723D2"/>
    <w:rsid w:val="333B5506"/>
    <w:rsid w:val="333F5C66"/>
    <w:rsid w:val="33475064"/>
    <w:rsid w:val="33487C03"/>
    <w:rsid w:val="334D3EDF"/>
    <w:rsid w:val="33552D94"/>
    <w:rsid w:val="3356516E"/>
    <w:rsid w:val="33595EF9"/>
    <w:rsid w:val="335C76C1"/>
    <w:rsid w:val="33680D19"/>
    <w:rsid w:val="33681E65"/>
    <w:rsid w:val="33686F6B"/>
    <w:rsid w:val="33753436"/>
    <w:rsid w:val="33802E4E"/>
    <w:rsid w:val="338B4E4B"/>
    <w:rsid w:val="338E62A6"/>
    <w:rsid w:val="3392223A"/>
    <w:rsid w:val="339300E7"/>
    <w:rsid w:val="33994384"/>
    <w:rsid w:val="33997124"/>
    <w:rsid w:val="339B7340"/>
    <w:rsid w:val="339C4E66"/>
    <w:rsid w:val="33A53D1B"/>
    <w:rsid w:val="33A67A93"/>
    <w:rsid w:val="33A8380B"/>
    <w:rsid w:val="33A84700"/>
    <w:rsid w:val="33A95A17"/>
    <w:rsid w:val="33BA52ED"/>
    <w:rsid w:val="33C00B55"/>
    <w:rsid w:val="33C15E7B"/>
    <w:rsid w:val="33C53156"/>
    <w:rsid w:val="33C85C5B"/>
    <w:rsid w:val="33E800AC"/>
    <w:rsid w:val="33EA2EAA"/>
    <w:rsid w:val="33F628E2"/>
    <w:rsid w:val="33F86541"/>
    <w:rsid w:val="33F97BC3"/>
    <w:rsid w:val="34074AD2"/>
    <w:rsid w:val="341001A3"/>
    <w:rsid w:val="34140EA1"/>
    <w:rsid w:val="34145474"/>
    <w:rsid w:val="34160775"/>
    <w:rsid w:val="34265B30"/>
    <w:rsid w:val="343A32E7"/>
    <w:rsid w:val="344057F2"/>
    <w:rsid w:val="34457C1D"/>
    <w:rsid w:val="34476B80"/>
    <w:rsid w:val="344965DF"/>
    <w:rsid w:val="344A041F"/>
    <w:rsid w:val="344A48C2"/>
    <w:rsid w:val="34510B99"/>
    <w:rsid w:val="34520761"/>
    <w:rsid w:val="34526F6B"/>
    <w:rsid w:val="346B5B76"/>
    <w:rsid w:val="347B5922"/>
    <w:rsid w:val="34880F47"/>
    <w:rsid w:val="34983880"/>
    <w:rsid w:val="349B2711"/>
    <w:rsid w:val="349F0B4A"/>
    <w:rsid w:val="34AA3956"/>
    <w:rsid w:val="34AB2476"/>
    <w:rsid w:val="34B306BA"/>
    <w:rsid w:val="34B34216"/>
    <w:rsid w:val="34C60254"/>
    <w:rsid w:val="34C72FF1"/>
    <w:rsid w:val="34CE54F3"/>
    <w:rsid w:val="34D33ED0"/>
    <w:rsid w:val="34D4418C"/>
    <w:rsid w:val="34E40873"/>
    <w:rsid w:val="34E72C04"/>
    <w:rsid w:val="34EE54A1"/>
    <w:rsid w:val="34F150E6"/>
    <w:rsid w:val="34F37BBE"/>
    <w:rsid w:val="34F95019"/>
    <w:rsid w:val="3518676F"/>
    <w:rsid w:val="35321DFC"/>
    <w:rsid w:val="353D61D5"/>
    <w:rsid w:val="354B153A"/>
    <w:rsid w:val="354B26A0"/>
    <w:rsid w:val="354F46D2"/>
    <w:rsid w:val="3555351F"/>
    <w:rsid w:val="35640CB7"/>
    <w:rsid w:val="356C2617"/>
    <w:rsid w:val="356E45E1"/>
    <w:rsid w:val="35706AFC"/>
    <w:rsid w:val="35773495"/>
    <w:rsid w:val="35774735"/>
    <w:rsid w:val="357A11D7"/>
    <w:rsid w:val="358A7137"/>
    <w:rsid w:val="358F603E"/>
    <w:rsid w:val="35941EBC"/>
    <w:rsid w:val="35942E3F"/>
    <w:rsid w:val="359F0C3E"/>
    <w:rsid w:val="35A324DC"/>
    <w:rsid w:val="35A458C9"/>
    <w:rsid w:val="35AF70D3"/>
    <w:rsid w:val="35BB5A78"/>
    <w:rsid w:val="35C42453"/>
    <w:rsid w:val="35D459BE"/>
    <w:rsid w:val="35D54660"/>
    <w:rsid w:val="35D64B60"/>
    <w:rsid w:val="35D73F34"/>
    <w:rsid w:val="35D97CAC"/>
    <w:rsid w:val="35DF0B77"/>
    <w:rsid w:val="35E86141"/>
    <w:rsid w:val="35EB7F6B"/>
    <w:rsid w:val="35F84F26"/>
    <w:rsid w:val="35F90595"/>
    <w:rsid w:val="35FC1151"/>
    <w:rsid w:val="360D6713"/>
    <w:rsid w:val="360F1920"/>
    <w:rsid w:val="36103A89"/>
    <w:rsid w:val="3613083F"/>
    <w:rsid w:val="36162309"/>
    <w:rsid w:val="361B02C4"/>
    <w:rsid w:val="362A675A"/>
    <w:rsid w:val="362E54AE"/>
    <w:rsid w:val="362F1FC2"/>
    <w:rsid w:val="36321AB2"/>
    <w:rsid w:val="363650FE"/>
    <w:rsid w:val="363D46DF"/>
    <w:rsid w:val="363D550A"/>
    <w:rsid w:val="36407D2B"/>
    <w:rsid w:val="36415851"/>
    <w:rsid w:val="36425100"/>
    <w:rsid w:val="364B39FB"/>
    <w:rsid w:val="3659703F"/>
    <w:rsid w:val="3665013E"/>
    <w:rsid w:val="366D7D24"/>
    <w:rsid w:val="36730100"/>
    <w:rsid w:val="367F4CF7"/>
    <w:rsid w:val="36835E6A"/>
    <w:rsid w:val="368A544A"/>
    <w:rsid w:val="368C033E"/>
    <w:rsid w:val="368C2F70"/>
    <w:rsid w:val="368F2A60"/>
    <w:rsid w:val="36945B6D"/>
    <w:rsid w:val="36993761"/>
    <w:rsid w:val="36A27D1E"/>
    <w:rsid w:val="36A31AF2"/>
    <w:rsid w:val="36A55DE0"/>
    <w:rsid w:val="36AF37C9"/>
    <w:rsid w:val="36B06F85"/>
    <w:rsid w:val="36B11CE0"/>
    <w:rsid w:val="36B83D65"/>
    <w:rsid w:val="36BA3F4A"/>
    <w:rsid w:val="36BE1DDA"/>
    <w:rsid w:val="36C56482"/>
    <w:rsid w:val="36CC7811"/>
    <w:rsid w:val="36CF5800"/>
    <w:rsid w:val="36D347F2"/>
    <w:rsid w:val="36DD37CC"/>
    <w:rsid w:val="36DF7544"/>
    <w:rsid w:val="36E55ACF"/>
    <w:rsid w:val="36EA5EE9"/>
    <w:rsid w:val="37070849"/>
    <w:rsid w:val="370C1C5B"/>
    <w:rsid w:val="370C2303"/>
    <w:rsid w:val="370C40B1"/>
    <w:rsid w:val="37164F30"/>
    <w:rsid w:val="37265173"/>
    <w:rsid w:val="372E5DD5"/>
    <w:rsid w:val="373F7FE3"/>
    <w:rsid w:val="37542AAC"/>
    <w:rsid w:val="37543B95"/>
    <w:rsid w:val="375A4E1C"/>
    <w:rsid w:val="37751C56"/>
    <w:rsid w:val="37767A5B"/>
    <w:rsid w:val="377B274C"/>
    <w:rsid w:val="378359B3"/>
    <w:rsid w:val="37900558"/>
    <w:rsid w:val="37904CE2"/>
    <w:rsid w:val="37A7208E"/>
    <w:rsid w:val="37A83DDA"/>
    <w:rsid w:val="37AE6F16"/>
    <w:rsid w:val="37B2132E"/>
    <w:rsid w:val="37C828A0"/>
    <w:rsid w:val="37DC62F0"/>
    <w:rsid w:val="37E33064"/>
    <w:rsid w:val="37E637AE"/>
    <w:rsid w:val="37ED3EE3"/>
    <w:rsid w:val="37F60FE9"/>
    <w:rsid w:val="37F9032E"/>
    <w:rsid w:val="380134EA"/>
    <w:rsid w:val="38141269"/>
    <w:rsid w:val="3814321D"/>
    <w:rsid w:val="38287CF8"/>
    <w:rsid w:val="38327B47"/>
    <w:rsid w:val="38376F0C"/>
    <w:rsid w:val="3839587C"/>
    <w:rsid w:val="384163C2"/>
    <w:rsid w:val="38431DB4"/>
    <w:rsid w:val="38451629"/>
    <w:rsid w:val="384927BA"/>
    <w:rsid w:val="384C3551"/>
    <w:rsid w:val="384F24A7"/>
    <w:rsid w:val="386103C9"/>
    <w:rsid w:val="387463B2"/>
    <w:rsid w:val="387719FE"/>
    <w:rsid w:val="38887767"/>
    <w:rsid w:val="38926321"/>
    <w:rsid w:val="389E51DD"/>
    <w:rsid w:val="38A00F55"/>
    <w:rsid w:val="38A74BE1"/>
    <w:rsid w:val="38AD6EF7"/>
    <w:rsid w:val="38AF1198"/>
    <w:rsid w:val="38B13162"/>
    <w:rsid w:val="38B642D4"/>
    <w:rsid w:val="38B72CB1"/>
    <w:rsid w:val="38B844F1"/>
    <w:rsid w:val="38CA66A8"/>
    <w:rsid w:val="38CA7D80"/>
    <w:rsid w:val="38D155B2"/>
    <w:rsid w:val="38D73850"/>
    <w:rsid w:val="38D9234D"/>
    <w:rsid w:val="38D96215"/>
    <w:rsid w:val="38DD3F57"/>
    <w:rsid w:val="38DF0C6C"/>
    <w:rsid w:val="38E55CBB"/>
    <w:rsid w:val="38E850A6"/>
    <w:rsid w:val="38ED3A6E"/>
    <w:rsid w:val="38F93B7A"/>
    <w:rsid w:val="38FA68B7"/>
    <w:rsid w:val="38FC32F5"/>
    <w:rsid w:val="3909002E"/>
    <w:rsid w:val="3914549F"/>
    <w:rsid w:val="39153083"/>
    <w:rsid w:val="39162FC5"/>
    <w:rsid w:val="39184F8F"/>
    <w:rsid w:val="391D4354"/>
    <w:rsid w:val="392722FD"/>
    <w:rsid w:val="393C705C"/>
    <w:rsid w:val="39475874"/>
    <w:rsid w:val="39496437"/>
    <w:rsid w:val="396401D4"/>
    <w:rsid w:val="396838E3"/>
    <w:rsid w:val="39706B79"/>
    <w:rsid w:val="397370BE"/>
    <w:rsid w:val="397523E2"/>
    <w:rsid w:val="397D3044"/>
    <w:rsid w:val="398268AC"/>
    <w:rsid w:val="39846BE5"/>
    <w:rsid w:val="39873EC3"/>
    <w:rsid w:val="39921E1B"/>
    <w:rsid w:val="39927813"/>
    <w:rsid w:val="39932868"/>
    <w:rsid w:val="39996163"/>
    <w:rsid w:val="399972E4"/>
    <w:rsid w:val="399C1BC9"/>
    <w:rsid w:val="39A46823"/>
    <w:rsid w:val="39AB415A"/>
    <w:rsid w:val="39C42A21"/>
    <w:rsid w:val="39C66799"/>
    <w:rsid w:val="39D20790"/>
    <w:rsid w:val="39DF6479"/>
    <w:rsid w:val="39E210F9"/>
    <w:rsid w:val="39E66E3B"/>
    <w:rsid w:val="39E84962"/>
    <w:rsid w:val="39FB43A0"/>
    <w:rsid w:val="39FB6222"/>
    <w:rsid w:val="3A0177D1"/>
    <w:rsid w:val="3A024838"/>
    <w:rsid w:val="3A0D6176"/>
    <w:rsid w:val="3A146946"/>
    <w:rsid w:val="3A1E65D5"/>
    <w:rsid w:val="3A206936"/>
    <w:rsid w:val="3A217E73"/>
    <w:rsid w:val="3A2B0CF2"/>
    <w:rsid w:val="3A2D6818"/>
    <w:rsid w:val="3A3A0F35"/>
    <w:rsid w:val="3A511D3A"/>
    <w:rsid w:val="3A533786"/>
    <w:rsid w:val="3A647D60"/>
    <w:rsid w:val="3A654204"/>
    <w:rsid w:val="3A775CE5"/>
    <w:rsid w:val="3A780F78"/>
    <w:rsid w:val="3A80103E"/>
    <w:rsid w:val="3A804B9A"/>
    <w:rsid w:val="3A810103"/>
    <w:rsid w:val="3A811F62"/>
    <w:rsid w:val="3A886145"/>
    <w:rsid w:val="3AA50CA2"/>
    <w:rsid w:val="3AA52853"/>
    <w:rsid w:val="3AA54601"/>
    <w:rsid w:val="3AA83DFB"/>
    <w:rsid w:val="3AB807D8"/>
    <w:rsid w:val="3AB97A67"/>
    <w:rsid w:val="3AC00AD9"/>
    <w:rsid w:val="3AD153F6"/>
    <w:rsid w:val="3AD82C28"/>
    <w:rsid w:val="3ADC2F96"/>
    <w:rsid w:val="3AE01ADD"/>
    <w:rsid w:val="3AED2DAA"/>
    <w:rsid w:val="3AED3345"/>
    <w:rsid w:val="3AF24DD9"/>
    <w:rsid w:val="3B0959B0"/>
    <w:rsid w:val="3B0A4DAB"/>
    <w:rsid w:val="3B126380"/>
    <w:rsid w:val="3B1F0857"/>
    <w:rsid w:val="3B286FE0"/>
    <w:rsid w:val="3B2A50ED"/>
    <w:rsid w:val="3B2C6AD0"/>
    <w:rsid w:val="3B36794F"/>
    <w:rsid w:val="3B392F9B"/>
    <w:rsid w:val="3B3D7712"/>
    <w:rsid w:val="3B416673"/>
    <w:rsid w:val="3B4200A1"/>
    <w:rsid w:val="3B43382B"/>
    <w:rsid w:val="3B44206B"/>
    <w:rsid w:val="3B4F0A10"/>
    <w:rsid w:val="3B5620E2"/>
    <w:rsid w:val="3B596DA6"/>
    <w:rsid w:val="3B5F0C53"/>
    <w:rsid w:val="3B693880"/>
    <w:rsid w:val="3B6C3370"/>
    <w:rsid w:val="3B787F67"/>
    <w:rsid w:val="3B7A783B"/>
    <w:rsid w:val="3B840969"/>
    <w:rsid w:val="3B8B1A48"/>
    <w:rsid w:val="3B936B4F"/>
    <w:rsid w:val="3B982DA9"/>
    <w:rsid w:val="3BA64AD4"/>
    <w:rsid w:val="3BAE41BC"/>
    <w:rsid w:val="3BBF14D5"/>
    <w:rsid w:val="3BC1160D"/>
    <w:rsid w:val="3BC732D1"/>
    <w:rsid w:val="3BCC4CFB"/>
    <w:rsid w:val="3BD64F66"/>
    <w:rsid w:val="3BE1120B"/>
    <w:rsid w:val="3BE36346"/>
    <w:rsid w:val="3BE473AB"/>
    <w:rsid w:val="3BFD02AE"/>
    <w:rsid w:val="3BFF41E4"/>
    <w:rsid w:val="3C067321"/>
    <w:rsid w:val="3C120034"/>
    <w:rsid w:val="3C167354"/>
    <w:rsid w:val="3C17152E"/>
    <w:rsid w:val="3C1C42C0"/>
    <w:rsid w:val="3C1F03E3"/>
    <w:rsid w:val="3C281562"/>
    <w:rsid w:val="3C2E0569"/>
    <w:rsid w:val="3C320170"/>
    <w:rsid w:val="3C3519B4"/>
    <w:rsid w:val="3C3A521C"/>
    <w:rsid w:val="3C3E2F5F"/>
    <w:rsid w:val="3C53017F"/>
    <w:rsid w:val="3C566B00"/>
    <w:rsid w:val="3C674EB4"/>
    <w:rsid w:val="3C683B38"/>
    <w:rsid w:val="3C6978B0"/>
    <w:rsid w:val="3C7921E9"/>
    <w:rsid w:val="3C7A386B"/>
    <w:rsid w:val="3C7E77FF"/>
    <w:rsid w:val="3C86042E"/>
    <w:rsid w:val="3C862210"/>
    <w:rsid w:val="3C8C1925"/>
    <w:rsid w:val="3C9012E0"/>
    <w:rsid w:val="3C9708C1"/>
    <w:rsid w:val="3C9E2EB0"/>
    <w:rsid w:val="3CB13731"/>
    <w:rsid w:val="3CB66F99"/>
    <w:rsid w:val="3CB67CD6"/>
    <w:rsid w:val="3CBE5E4E"/>
    <w:rsid w:val="3CCC65C7"/>
    <w:rsid w:val="3CD476B0"/>
    <w:rsid w:val="3CDB07AE"/>
    <w:rsid w:val="3CDD1470"/>
    <w:rsid w:val="3CE13968"/>
    <w:rsid w:val="3CEB33F8"/>
    <w:rsid w:val="3CF25AF7"/>
    <w:rsid w:val="3CF720FE"/>
    <w:rsid w:val="3CFB55E5"/>
    <w:rsid w:val="3D0C6691"/>
    <w:rsid w:val="3D113CCD"/>
    <w:rsid w:val="3D330A5E"/>
    <w:rsid w:val="3D346110"/>
    <w:rsid w:val="3D352E4B"/>
    <w:rsid w:val="3D4E4E96"/>
    <w:rsid w:val="3D5040F9"/>
    <w:rsid w:val="3D530A25"/>
    <w:rsid w:val="3D5C5AA2"/>
    <w:rsid w:val="3D5E0F86"/>
    <w:rsid w:val="3D6407A3"/>
    <w:rsid w:val="3D6469F5"/>
    <w:rsid w:val="3D65451B"/>
    <w:rsid w:val="3D6626D1"/>
    <w:rsid w:val="3D6B2D02"/>
    <w:rsid w:val="3D7309E6"/>
    <w:rsid w:val="3D790ED4"/>
    <w:rsid w:val="3D8073D6"/>
    <w:rsid w:val="3D8A667D"/>
    <w:rsid w:val="3D962926"/>
    <w:rsid w:val="3D9A41C5"/>
    <w:rsid w:val="3D9F17DB"/>
    <w:rsid w:val="3DA768E2"/>
    <w:rsid w:val="3DA908AC"/>
    <w:rsid w:val="3DAC3EF8"/>
    <w:rsid w:val="3DAD1CC3"/>
    <w:rsid w:val="3DAE1A1E"/>
    <w:rsid w:val="3DAF1F9D"/>
    <w:rsid w:val="3DB3244A"/>
    <w:rsid w:val="3DB42E0C"/>
    <w:rsid w:val="3DBE572B"/>
    <w:rsid w:val="3DBF59D9"/>
    <w:rsid w:val="3DC35423"/>
    <w:rsid w:val="3DCA47BA"/>
    <w:rsid w:val="3DCC58C4"/>
    <w:rsid w:val="3DCE0312"/>
    <w:rsid w:val="3DD11BB1"/>
    <w:rsid w:val="3DD75419"/>
    <w:rsid w:val="3DDA6CB7"/>
    <w:rsid w:val="3DE23DBE"/>
    <w:rsid w:val="3DE2791A"/>
    <w:rsid w:val="3DEE0C71"/>
    <w:rsid w:val="3DF15A33"/>
    <w:rsid w:val="3E012642"/>
    <w:rsid w:val="3E030F09"/>
    <w:rsid w:val="3E09473D"/>
    <w:rsid w:val="3E1249E2"/>
    <w:rsid w:val="3E143A42"/>
    <w:rsid w:val="3E151A9D"/>
    <w:rsid w:val="3E19321D"/>
    <w:rsid w:val="3E193AC8"/>
    <w:rsid w:val="3E1C5C24"/>
    <w:rsid w:val="3E1C72D0"/>
    <w:rsid w:val="3E1D3879"/>
    <w:rsid w:val="3E1D4DF6"/>
    <w:rsid w:val="3E2A4F1B"/>
    <w:rsid w:val="3E350391"/>
    <w:rsid w:val="3E371A14"/>
    <w:rsid w:val="3E421A84"/>
    <w:rsid w:val="3E433514"/>
    <w:rsid w:val="3E446507"/>
    <w:rsid w:val="3E516731"/>
    <w:rsid w:val="3E587BDC"/>
    <w:rsid w:val="3E5F761F"/>
    <w:rsid w:val="3E6D7FBA"/>
    <w:rsid w:val="3E731266"/>
    <w:rsid w:val="3E751532"/>
    <w:rsid w:val="3E7569E0"/>
    <w:rsid w:val="3E782357"/>
    <w:rsid w:val="3E7A3FF6"/>
    <w:rsid w:val="3E832EAB"/>
    <w:rsid w:val="3E843743"/>
    <w:rsid w:val="3E857E9D"/>
    <w:rsid w:val="3E976956"/>
    <w:rsid w:val="3E9977A4"/>
    <w:rsid w:val="3EA03A5D"/>
    <w:rsid w:val="3EA03B8F"/>
    <w:rsid w:val="3EA177D5"/>
    <w:rsid w:val="3EAA6F58"/>
    <w:rsid w:val="3EAD01F5"/>
    <w:rsid w:val="3EB94B1E"/>
    <w:rsid w:val="3ECF6677"/>
    <w:rsid w:val="3ED92D3E"/>
    <w:rsid w:val="3EDB3C87"/>
    <w:rsid w:val="3EDE3BDE"/>
    <w:rsid w:val="3EE55332"/>
    <w:rsid w:val="3EED2A1A"/>
    <w:rsid w:val="3EF45B57"/>
    <w:rsid w:val="3EFE0783"/>
    <w:rsid w:val="3F055FB6"/>
    <w:rsid w:val="3F057D64"/>
    <w:rsid w:val="3F06588A"/>
    <w:rsid w:val="3F0F36E9"/>
    <w:rsid w:val="3F122481"/>
    <w:rsid w:val="3F1E0E25"/>
    <w:rsid w:val="3F2F1B60"/>
    <w:rsid w:val="3F3B19D7"/>
    <w:rsid w:val="3F3E5024"/>
    <w:rsid w:val="3F4B064E"/>
    <w:rsid w:val="3F520ACF"/>
    <w:rsid w:val="3F584337"/>
    <w:rsid w:val="3F595A82"/>
    <w:rsid w:val="3F604F9A"/>
    <w:rsid w:val="3F70580A"/>
    <w:rsid w:val="3F781FB6"/>
    <w:rsid w:val="3F796908"/>
    <w:rsid w:val="3F8B4057"/>
    <w:rsid w:val="3F8C5D8F"/>
    <w:rsid w:val="3F9C56C3"/>
    <w:rsid w:val="3FA01DBD"/>
    <w:rsid w:val="3FA267B8"/>
    <w:rsid w:val="3FA96941"/>
    <w:rsid w:val="3FAA01A8"/>
    <w:rsid w:val="3FAE21A9"/>
    <w:rsid w:val="3FB41BAA"/>
    <w:rsid w:val="3FC17FC6"/>
    <w:rsid w:val="3FC47810"/>
    <w:rsid w:val="3FC7326B"/>
    <w:rsid w:val="3FCB2D5B"/>
    <w:rsid w:val="3FDE24DC"/>
    <w:rsid w:val="3FDE5A59"/>
    <w:rsid w:val="3FE060DB"/>
    <w:rsid w:val="3FE60147"/>
    <w:rsid w:val="3FE8283B"/>
    <w:rsid w:val="3FFF47B3"/>
    <w:rsid w:val="40004AB0"/>
    <w:rsid w:val="40061FE5"/>
    <w:rsid w:val="40093CF8"/>
    <w:rsid w:val="40167D4F"/>
    <w:rsid w:val="401C5365"/>
    <w:rsid w:val="401D0DF7"/>
    <w:rsid w:val="40244B1F"/>
    <w:rsid w:val="4028049C"/>
    <w:rsid w:val="40297A82"/>
    <w:rsid w:val="403A57EB"/>
    <w:rsid w:val="403B1563"/>
    <w:rsid w:val="404F74B5"/>
    <w:rsid w:val="40582115"/>
    <w:rsid w:val="405B25D0"/>
    <w:rsid w:val="407056B1"/>
    <w:rsid w:val="407400F5"/>
    <w:rsid w:val="407451A1"/>
    <w:rsid w:val="407F76A2"/>
    <w:rsid w:val="408E530C"/>
    <w:rsid w:val="40955117"/>
    <w:rsid w:val="40987801"/>
    <w:rsid w:val="409A6144"/>
    <w:rsid w:val="409C0254"/>
    <w:rsid w:val="409E5F30"/>
    <w:rsid w:val="40A030D6"/>
    <w:rsid w:val="40AE6E29"/>
    <w:rsid w:val="40BC26A4"/>
    <w:rsid w:val="40BE466E"/>
    <w:rsid w:val="40C15F0C"/>
    <w:rsid w:val="40C559FD"/>
    <w:rsid w:val="40CE5C9F"/>
    <w:rsid w:val="40E0317D"/>
    <w:rsid w:val="40E13EB9"/>
    <w:rsid w:val="40E45DBC"/>
    <w:rsid w:val="40E8180F"/>
    <w:rsid w:val="40F167F2"/>
    <w:rsid w:val="40F260C6"/>
    <w:rsid w:val="40FA31CC"/>
    <w:rsid w:val="40FE2CBD"/>
    <w:rsid w:val="40FE4A6B"/>
    <w:rsid w:val="410B117F"/>
    <w:rsid w:val="412070D7"/>
    <w:rsid w:val="4125649B"/>
    <w:rsid w:val="41272213"/>
    <w:rsid w:val="412D35A2"/>
    <w:rsid w:val="414032D5"/>
    <w:rsid w:val="41474664"/>
    <w:rsid w:val="41502960"/>
    <w:rsid w:val="41533F81"/>
    <w:rsid w:val="41597EF3"/>
    <w:rsid w:val="41621AFF"/>
    <w:rsid w:val="416A0352"/>
    <w:rsid w:val="416F7716"/>
    <w:rsid w:val="41720FB5"/>
    <w:rsid w:val="41735459"/>
    <w:rsid w:val="41791BC4"/>
    <w:rsid w:val="41870F04"/>
    <w:rsid w:val="418807D8"/>
    <w:rsid w:val="41966D67"/>
    <w:rsid w:val="419B1038"/>
    <w:rsid w:val="41A90E7A"/>
    <w:rsid w:val="41C60B72"/>
    <w:rsid w:val="41C74228"/>
    <w:rsid w:val="41CA0DF1"/>
    <w:rsid w:val="41D37CA5"/>
    <w:rsid w:val="41DD612F"/>
    <w:rsid w:val="41E534D4"/>
    <w:rsid w:val="41E77BF5"/>
    <w:rsid w:val="41E87691"/>
    <w:rsid w:val="41F74AF7"/>
    <w:rsid w:val="41FA7928"/>
    <w:rsid w:val="42010CB6"/>
    <w:rsid w:val="420850EE"/>
    <w:rsid w:val="42116A20"/>
    <w:rsid w:val="421502BE"/>
    <w:rsid w:val="42162288"/>
    <w:rsid w:val="421F5F55"/>
    <w:rsid w:val="42240501"/>
    <w:rsid w:val="42293C97"/>
    <w:rsid w:val="42300D15"/>
    <w:rsid w:val="42360234"/>
    <w:rsid w:val="423B584A"/>
    <w:rsid w:val="423F19F0"/>
    <w:rsid w:val="423F533B"/>
    <w:rsid w:val="42462B6D"/>
    <w:rsid w:val="424D41EE"/>
    <w:rsid w:val="427174BE"/>
    <w:rsid w:val="42725710"/>
    <w:rsid w:val="427529B3"/>
    <w:rsid w:val="427B4CAA"/>
    <w:rsid w:val="427D40B5"/>
    <w:rsid w:val="427E0604"/>
    <w:rsid w:val="42836EE3"/>
    <w:rsid w:val="428E1E1E"/>
    <w:rsid w:val="4290203A"/>
    <w:rsid w:val="42925674"/>
    <w:rsid w:val="42957651"/>
    <w:rsid w:val="429E4757"/>
    <w:rsid w:val="42A838B8"/>
    <w:rsid w:val="42B0448A"/>
    <w:rsid w:val="42D02437"/>
    <w:rsid w:val="42E5546F"/>
    <w:rsid w:val="42E859D2"/>
    <w:rsid w:val="42ED76A0"/>
    <w:rsid w:val="42F256EC"/>
    <w:rsid w:val="42F44377"/>
    <w:rsid w:val="43030A5E"/>
    <w:rsid w:val="430A750C"/>
    <w:rsid w:val="430B346F"/>
    <w:rsid w:val="431542ED"/>
    <w:rsid w:val="431C1B20"/>
    <w:rsid w:val="43212C92"/>
    <w:rsid w:val="43281ADE"/>
    <w:rsid w:val="432F1853"/>
    <w:rsid w:val="43364990"/>
    <w:rsid w:val="43406545"/>
    <w:rsid w:val="4341486E"/>
    <w:rsid w:val="434353A5"/>
    <w:rsid w:val="434B5F61"/>
    <w:rsid w:val="435F4B93"/>
    <w:rsid w:val="436D4129"/>
    <w:rsid w:val="436F7EA2"/>
    <w:rsid w:val="4379487C"/>
    <w:rsid w:val="43795CC3"/>
    <w:rsid w:val="438020AF"/>
    <w:rsid w:val="43947908"/>
    <w:rsid w:val="43B86003"/>
    <w:rsid w:val="43BD3F03"/>
    <w:rsid w:val="43BE6733"/>
    <w:rsid w:val="43C63E8C"/>
    <w:rsid w:val="43C66112"/>
    <w:rsid w:val="43D63A7D"/>
    <w:rsid w:val="43E171B4"/>
    <w:rsid w:val="43ED075C"/>
    <w:rsid w:val="43EF2D90"/>
    <w:rsid w:val="43F525BD"/>
    <w:rsid w:val="43F6411F"/>
    <w:rsid w:val="44056110"/>
    <w:rsid w:val="440B4E92"/>
    <w:rsid w:val="441B3B85"/>
    <w:rsid w:val="441D6728"/>
    <w:rsid w:val="44246EDE"/>
    <w:rsid w:val="442A5B77"/>
    <w:rsid w:val="442B201A"/>
    <w:rsid w:val="442C5D93"/>
    <w:rsid w:val="44336985"/>
    <w:rsid w:val="443B7E95"/>
    <w:rsid w:val="443D0945"/>
    <w:rsid w:val="444255B6"/>
    <w:rsid w:val="444D7109"/>
    <w:rsid w:val="445D4F75"/>
    <w:rsid w:val="44604507"/>
    <w:rsid w:val="4462052E"/>
    <w:rsid w:val="4464552C"/>
    <w:rsid w:val="446C6C79"/>
    <w:rsid w:val="44703ED1"/>
    <w:rsid w:val="44705C7F"/>
    <w:rsid w:val="4473408E"/>
    <w:rsid w:val="4473751E"/>
    <w:rsid w:val="447A4D50"/>
    <w:rsid w:val="447D214A"/>
    <w:rsid w:val="4484797D"/>
    <w:rsid w:val="448E25A9"/>
    <w:rsid w:val="44A8366B"/>
    <w:rsid w:val="44AE67A8"/>
    <w:rsid w:val="44B10046"/>
    <w:rsid w:val="44B26298"/>
    <w:rsid w:val="44B45CB9"/>
    <w:rsid w:val="44B930A6"/>
    <w:rsid w:val="44E4041B"/>
    <w:rsid w:val="44E67CEF"/>
    <w:rsid w:val="44E73A68"/>
    <w:rsid w:val="44F122B9"/>
    <w:rsid w:val="44FC20F5"/>
    <w:rsid w:val="45046BCE"/>
    <w:rsid w:val="45091C30"/>
    <w:rsid w:val="45154A79"/>
    <w:rsid w:val="4517434D"/>
    <w:rsid w:val="45244CBC"/>
    <w:rsid w:val="452A6FDD"/>
    <w:rsid w:val="452C6451"/>
    <w:rsid w:val="45403206"/>
    <w:rsid w:val="454421FA"/>
    <w:rsid w:val="4545122F"/>
    <w:rsid w:val="45461922"/>
    <w:rsid w:val="454653D3"/>
    <w:rsid w:val="45482758"/>
    <w:rsid w:val="454D4736"/>
    <w:rsid w:val="45513D03"/>
    <w:rsid w:val="45522396"/>
    <w:rsid w:val="45554F2B"/>
    <w:rsid w:val="45575091"/>
    <w:rsid w:val="456B4699"/>
    <w:rsid w:val="45701CAF"/>
    <w:rsid w:val="457118FA"/>
    <w:rsid w:val="4577303D"/>
    <w:rsid w:val="45780BA4"/>
    <w:rsid w:val="457C0654"/>
    <w:rsid w:val="45827E73"/>
    <w:rsid w:val="458319E2"/>
    <w:rsid w:val="459534C4"/>
    <w:rsid w:val="459711D5"/>
    <w:rsid w:val="459E681C"/>
    <w:rsid w:val="45B222C8"/>
    <w:rsid w:val="45BD3351"/>
    <w:rsid w:val="45C269AF"/>
    <w:rsid w:val="45C47553"/>
    <w:rsid w:val="45C62FD3"/>
    <w:rsid w:val="45D43FEC"/>
    <w:rsid w:val="45D65FB6"/>
    <w:rsid w:val="45E06E35"/>
    <w:rsid w:val="45E07532"/>
    <w:rsid w:val="45F14B9E"/>
    <w:rsid w:val="45F3102E"/>
    <w:rsid w:val="45F4468E"/>
    <w:rsid w:val="45F66658"/>
    <w:rsid w:val="460366D7"/>
    <w:rsid w:val="460523D5"/>
    <w:rsid w:val="460A5C60"/>
    <w:rsid w:val="461A61D0"/>
    <w:rsid w:val="4622764B"/>
    <w:rsid w:val="462705C0"/>
    <w:rsid w:val="463F1DAD"/>
    <w:rsid w:val="46470C62"/>
    <w:rsid w:val="464C44CA"/>
    <w:rsid w:val="46535859"/>
    <w:rsid w:val="46582E6F"/>
    <w:rsid w:val="465C5383"/>
    <w:rsid w:val="465F5FAB"/>
    <w:rsid w:val="46601A21"/>
    <w:rsid w:val="466B1E35"/>
    <w:rsid w:val="466F3B42"/>
    <w:rsid w:val="46761547"/>
    <w:rsid w:val="467B090B"/>
    <w:rsid w:val="467D4684"/>
    <w:rsid w:val="46845A12"/>
    <w:rsid w:val="468772B0"/>
    <w:rsid w:val="46965745"/>
    <w:rsid w:val="469877EB"/>
    <w:rsid w:val="469C2B5F"/>
    <w:rsid w:val="46B02CAB"/>
    <w:rsid w:val="46B61944"/>
    <w:rsid w:val="46C87FF5"/>
    <w:rsid w:val="46D149CF"/>
    <w:rsid w:val="46D151AD"/>
    <w:rsid w:val="46E03D52"/>
    <w:rsid w:val="46E464B1"/>
    <w:rsid w:val="46E97F6B"/>
    <w:rsid w:val="46FC1A4C"/>
    <w:rsid w:val="46FD7572"/>
    <w:rsid w:val="470152B5"/>
    <w:rsid w:val="470545B3"/>
    <w:rsid w:val="470B6133"/>
    <w:rsid w:val="4710374A"/>
    <w:rsid w:val="47163D12"/>
    <w:rsid w:val="47170634"/>
    <w:rsid w:val="47280A93"/>
    <w:rsid w:val="472C5B03"/>
    <w:rsid w:val="47436527"/>
    <w:rsid w:val="474433F3"/>
    <w:rsid w:val="474B29D4"/>
    <w:rsid w:val="474D4292"/>
    <w:rsid w:val="47583F97"/>
    <w:rsid w:val="47621D06"/>
    <w:rsid w:val="47633879"/>
    <w:rsid w:val="47680E90"/>
    <w:rsid w:val="4770221E"/>
    <w:rsid w:val="477041E8"/>
    <w:rsid w:val="477A6E15"/>
    <w:rsid w:val="477F442B"/>
    <w:rsid w:val="4780267D"/>
    <w:rsid w:val="478703D3"/>
    <w:rsid w:val="4787079B"/>
    <w:rsid w:val="479C2D32"/>
    <w:rsid w:val="479C4FDD"/>
    <w:rsid w:val="47A77618"/>
    <w:rsid w:val="47B42327"/>
    <w:rsid w:val="47BC742D"/>
    <w:rsid w:val="47BE6D02"/>
    <w:rsid w:val="47C14A44"/>
    <w:rsid w:val="47C475EB"/>
    <w:rsid w:val="47D209FF"/>
    <w:rsid w:val="47E524E0"/>
    <w:rsid w:val="47E65658"/>
    <w:rsid w:val="47EC1AC1"/>
    <w:rsid w:val="47EC7D13"/>
    <w:rsid w:val="47F40181"/>
    <w:rsid w:val="480212E4"/>
    <w:rsid w:val="48086EFD"/>
    <w:rsid w:val="480C3F11"/>
    <w:rsid w:val="480D1A37"/>
    <w:rsid w:val="48117779"/>
    <w:rsid w:val="4812529F"/>
    <w:rsid w:val="481608EC"/>
    <w:rsid w:val="481652F4"/>
    <w:rsid w:val="48211E54"/>
    <w:rsid w:val="482928D3"/>
    <w:rsid w:val="482A25E9"/>
    <w:rsid w:val="482D3338"/>
    <w:rsid w:val="482E6848"/>
    <w:rsid w:val="484418FD"/>
    <w:rsid w:val="48474BEB"/>
    <w:rsid w:val="48482A6F"/>
    <w:rsid w:val="484A67E7"/>
    <w:rsid w:val="485B5E93"/>
    <w:rsid w:val="485B7AE9"/>
    <w:rsid w:val="48733F90"/>
    <w:rsid w:val="48763A80"/>
    <w:rsid w:val="48776CE7"/>
    <w:rsid w:val="48861F15"/>
    <w:rsid w:val="48867AEE"/>
    <w:rsid w:val="488937B4"/>
    <w:rsid w:val="488C6E00"/>
    <w:rsid w:val="488E2B78"/>
    <w:rsid w:val="488E6105"/>
    <w:rsid w:val="48967250"/>
    <w:rsid w:val="48970E2B"/>
    <w:rsid w:val="489A75B5"/>
    <w:rsid w:val="48A24875"/>
    <w:rsid w:val="48A759E8"/>
    <w:rsid w:val="48AA1734"/>
    <w:rsid w:val="48AC33AA"/>
    <w:rsid w:val="48B1426B"/>
    <w:rsid w:val="48BB1D99"/>
    <w:rsid w:val="48BB7650"/>
    <w:rsid w:val="48CA6540"/>
    <w:rsid w:val="48CB5B7A"/>
    <w:rsid w:val="48CC544E"/>
    <w:rsid w:val="48CF5C36"/>
    <w:rsid w:val="48D11AB6"/>
    <w:rsid w:val="48D507A7"/>
    <w:rsid w:val="48D67E97"/>
    <w:rsid w:val="48D82045"/>
    <w:rsid w:val="48DD3AFF"/>
    <w:rsid w:val="48DF33E5"/>
    <w:rsid w:val="48E16144"/>
    <w:rsid w:val="48E47D58"/>
    <w:rsid w:val="48E7457D"/>
    <w:rsid w:val="48E96000"/>
    <w:rsid w:val="48F6071D"/>
    <w:rsid w:val="48FA51EE"/>
    <w:rsid w:val="48FB7930"/>
    <w:rsid w:val="490177EE"/>
    <w:rsid w:val="491465B8"/>
    <w:rsid w:val="49373210"/>
    <w:rsid w:val="493C3404"/>
    <w:rsid w:val="493D634C"/>
    <w:rsid w:val="49477D06"/>
    <w:rsid w:val="49520049"/>
    <w:rsid w:val="49521DF7"/>
    <w:rsid w:val="49552740"/>
    <w:rsid w:val="49623AF6"/>
    <w:rsid w:val="496F6B72"/>
    <w:rsid w:val="49746212"/>
    <w:rsid w:val="497D499A"/>
    <w:rsid w:val="498875C7"/>
    <w:rsid w:val="499410ED"/>
    <w:rsid w:val="499624A2"/>
    <w:rsid w:val="49AE2DA6"/>
    <w:rsid w:val="49B248E1"/>
    <w:rsid w:val="49C52BF4"/>
    <w:rsid w:val="49CD147E"/>
    <w:rsid w:val="49D4280C"/>
    <w:rsid w:val="49D92519"/>
    <w:rsid w:val="49D96075"/>
    <w:rsid w:val="49E516FD"/>
    <w:rsid w:val="49E95329"/>
    <w:rsid w:val="49F032CD"/>
    <w:rsid w:val="4A056282"/>
    <w:rsid w:val="4A056E6A"/>
    <w:rsid w:val="4A121458"/>
    <w:rsid w:val="4A123335"/>
    <w:rsid w:val="4A1672C9"/>
    <w:rsid w:val="4A2C6777"/>
    <w:rsid w:val="4A2E006E"/>
    <w:rsid w:val="4A317C5F"/>
    <w:rsid w:val="4A3E237C"/>
    <w:rsid w:val="4A413C1A"/>
    <w:rsid w:val="4A446121"/>
    <w:rsid w:val="4A4A0D21"/>
    <w:rsid w:val="4A4F42C0"/>
    <w:rsid w:val="4A5502F8"/>
    <w:rsid w:val="4A563B69"/>
    <w:rsid w:val="4A573643"/>
    <w:rsid w:val="4A6A3171"/>
    <w:rsid w:val="4A783AE0"/>
    <w:rsid w:val="4A7933B4"/>
    <w:rsid w:val="4A804742"/>
    <w:rsid w:val="4A82495E"/>
    <w:rsid w:val="4A8B4C76"/>
    <w:rsid w:val="4A8E50B1"/>
    <w:rsid w:val="4A8F4985"/>
    <w:rsid w:val="4A942190"/>
    <w:rsid w:val="4AA4190C"/>
    <w:rsid w:val="4AAA570A"/>
    <w:rsid w:val="4AAC3789"/>
    <w:rsid w:val="4AB242B1"/>
    <w:rsid w:val="4AB83AD5"/>
    <w:rsid w:val="4AB955F5"/>
    <w:rsid w:val="4ABB39CC"/>
    <w:rsid w:val="4ABD3BF4"/>
    <w:rsid w:val="4AD55B10"/>
    <w:rsid w:val="4AE42F23"/>
    <w:rsid w:val="4AEB2504"/>
    <w:rsid w:val="4AEE78FE"/>
    <w:rsid w:val="4B11183E"/>
    <w:rsid w:val="4B1B0528"/>
    <w:rsid w:val="4B1D6435"/>
    <w:rsid w:val="4B23544E"/>
    <w:rsid w:val="4B2772B4"/>
    <w:rsid w:val="4B315A3D"/>
    <w:rsid w:val="4B330F66"/>
    <w:rsid w:val="4B3519D1"/>
    <w:rsid w:val="4B3E71A8"/>
    <w:rsid w:val="4B4024A9"/>
    <w:rsid w:val="4B4423FB"/>
    <w:rsid w:val="4B475260"/>
    <w:rsid w:val="4B553E21"/>
    <w:rsid w:val="4B562A43"/>
    <w:rsid w:val="4B583122"/>
    <w:rsid w:val="4B5E0F27"/>
    <w:rsid w:val="4B667DDC"/>
    <w:rsid w:val="4B6A2FB6"/>
    <w:rsid w:val="4B6E4EE3"/>
    <w:rsid w:val="4B782B90"/>
    <w:rsid w:val="4B797B0F"/>
    <w:rsid w:val="4B8169C4"/>
    <w:rsid w:val="4B83098E"/>
    <w:rsid w:val="4BA31A6D"/>
    <w:rsid w:val="4BB03A46"/>
    <w:rsid w:val="4BB808F9"/>
    <w:rsid w:val="4BB9615E"/>
    <w:rsid w:val="4BBA1ED6"/>
    <w:rsid w:val="4BBA3C84"/>
    <w:rsid w:val="4BBC17AA"/>
    <w:rsid w:val="4BDD3F0C"/>
    <w:rsid w:val="4BDE77F1"/>
    <w:rsid w:val="4BEB64CF"/>
    <w:rsid w:val="4BED6507"/>
    <w:rsid w:val="4BFF22EF"/>
    <w:rsid w:val="4C0669B0"/>
    <w:rsid w:val="4C0762DA"/>
    <w:rsid w:val="4C0B44E0"/>
    <w:rsid w:val="4C1E0BE6"/>
    <w:rsid w:val="4C271DEB"/>
    <w:rsid w:val="4C3103EA"/>
    <w:rsid w:val="4C312DE9"/>
    <w:rsid w:val="4C324162"/>
    <w:rsid w:val="4C35155C"/>
    <w:rsid w:val="4C392DFB"/>
    <w:rsid w:val="4C46728B"/>
    <w:rsid w:val="4C481290"/>
    <w:rsid w:val="4C51283A"/>
    <w:rsid w:val="4C54631F"/>
    <w:rsid w:val="4C6A145D"/>
    <w:rsid w:val="4C6F62A7"/>
    <w:rsid w:val="4C710EC2"/>
    <w:rsid w:val="4C7178EE"/>
    <w:rsid w:val="4C742085"/>
    <w:rsid w:val="4C76404F"/>
    <w:rsid w:val="4C883D82"/>
    <w:rsid w:val="4C8C3872"/>
    <w:rsid w:val="4C8C5620"/>
    <w:rsid w:val="4C9149E5"/>
    <w:rsid w:val="4C9D59C5"/>
    <w:rsid w:val="4CAF57B3"/>
    <w:rsid w:val="4CB27486"/>
    <w:rsid w:val="4CB608EF"/>
    <w:rsid w:val="4CBD5453"/>
    <w:rsid w:val="4CBD5DD8"/>
    <w:rsid w:val="4CC530AB"/>
    <w:rsid w:val="4CC92EED"/>
    <w:rsid w:val="4CD30122"/>
    <w:rsid w:val="4CD40D75"/>
    <w:rsid w:val="4CD46FC7"/>
    <w:rsid w:val="4CD57EEF"/>
    <w:rsid w:val="4CDC26BA"/>
    <w:rsid w:val="4CE23ED5"/>
    <w:rsid w:val="4CEC60BF"/>
    <w:rsid w:val="4D01600E"/>
    <w:rsid w:val="4D0241A8"/>
    <w:rsid w:val="4D0478AD"/>
    <w:rsid w:val="4D07739D"/>
    <w:rsid w:val="4D091CC2"/>
    <w:rsid w:val="4D0F1DAD"/>
    <w:rsid w:val="4D2E0486"/>
    <w:rsid w:val="4D35206D"/>
    <w:rsid w:val="4D353955"/>
    <w:rsid w:val="4D3A32CE"/>
    <w:rsid w:val="4D3E093D"/>
    <w:rsid w:val="4D3E3E12"/>
    <w:rsid w:val="4D423F31"/>
    <w:rsid w:val="4D4C4DB0"/>
    <w:rsid w:val="4D541496"/>
    <w:rsid w:val="4D550108"/>
    <w:rsid w:val="4D585BBF"/>
    <w:rsid w:val="4D695962"/>
    <w:rsid w:val="4D732719"/>
    <w:rsid w:val="4D74458A"/>
    <w:rsid w:val="4D7F6F33"/>
    <w:rsid w:val="4D884FC4"/>
    <w:rsid w:val="4D92310A"/>
    <w:rsid w:val="4D941BF3"/>
    <w:rsid w:val="4D956DF9"/>
    <w:rsid w:val="4D96420E"/>
    <w:rsid w:val="4DA83D00"/>
    <w:rsid w:val="4DB62990"/>
    <w:rsid w:val="4DBA440F"/>
    <w:rsid w:val="4DBA7F6B"/>
    <w:rsid w:val="4DC71AF2"/>
    <w:rsid w:val="4DC9194B"/>
    <w:rsid w:val="4DCB2178"/>
    <w:rsid w:val="4DCF7EBB"/>
    <w:rsid w:val="4DED20EF"/>
    <w:rsid w:val="4DF2174B"/>
    <w:rsid w:val="4DFA2A5E"/>
    <w:rsid w:val="4E065252"/>
    <w:rsid w:val="4E296E9F"/>
    <w:rsid w:val="4E467A51"/>
    <w:rsid w:val="4E4A7F66"/>
    <w:rsid w:val="4E5959D6"/>
    <w:rsid w:val="4E636855"/>
    <w:rsid w:val="4E683E6B"/>
    <w:rsid w:val="4E695B98"/>
    <w:rsid w:val="4E776A5A"/>
    <w:rsid w:val="4E7C0DB8"/>
    <w:rsid w:val="4E7C2D1C"/>
    <w:rsid w:val="4E7E368F"/>
    <w:rsid w:val="4E862EC6"/>
    <w:rsid w:val="4E8812E3"/>
    <w:rsid w:val="4E8B4E11"/>
    <w:rsid w:val="4E8F36DE"/>
    <w:rsid w:val="4EA355F9"/>
    <w:rsid w:val="4EA76741"/>
    <w:rsid w:val="4EAA6232"/>
    <w:rsid w:val="4EAD7AD0"/>
    <w:rsid w:val="4EAE6AC7"/>
    <w:rsid w:val="4EB62E28"/>
    <w:rsid w:val="4EB946C7"/>
    <w:rsid w:val="4EC343C9"/>
    <w:rsid w:val="4EC7328F"/>
    <w:rsid w:val="4ECB1113"/>
    <w:rsid w:val="4ED676B8"/>
    <w:rsid w:val="4ED84B4D"/>
    <w:rsid w:val="4EDE505A"/>
    <w:rsid w:val="4EE80B08"/>
    <w:rsid w:val="4EEB485D"/>
    <w:rsid w:val="4EFF657E"/>
    <w:rsid w:val="4F021BCA"/>
    <w:rsid w:val="4F080661"/>
    <w:rsid w:val="4F10078B"/>
    <w:rsid w:val="4F133DD7"/>
    <w:rsid w:val="4F2002A2"/>
    <w:rsid w:val="4F236C16"/>
    <w:rsid w:val="4F2F6737"/>
    <w:rsid w:val="4F5819BC"/>
    <w:rsid w:val="4F5E5DFC"/>
    <w:rsid w:val="4F6939F7"/>
    <w:rsid w:val="4F727982"/>
    <w:rsid w:val="4F7F2F0C"/>
    <w:rsid w:val="4F7F3450"/>
    <w:rsid w:val="4F870321"/>
    <w:rsid w:val="4F905428"/>
    <w:rsid w:val="4F9A34F0"/>
    <w:rsid w:val="4FA95E57"/>
    <w:rsid w:val="4FAF1074"/>
    <w:rsid w:val="4FAF3029"/>
    <w:rsid w:val="4FB862CC"/>
    <w:rsid w:val="4FBF7ABB"/>
    <w:rsid w:val="4FD0634B"/>
    <w:rsid w:val="4FD25A40"/>
    <w:rsid w:val="4FDA48F5"/>
    <w:rsid w:val="4FDA66A3"/>
    <w:rsid w:val="4FDE5DC9"/>
    <w:rsid w:val="4FE63299"/>
    <w:rsid w:val="4FE92D8A"/>
    <w:rsid w:val="4FEC56C9"/>
    <w:rsid w:val="4FED4628"/>
    <w:rsid w:val="4FF37764"/>
    <w:rsid w:val="4FF75913"/>
    <w:rsid w:val="4FFF6109"/>
    <w:rsid w:val="50010B90"/>
    <w:rsid w:val="50012E03"/>
    <w:rsid w:val="50083210"/>
    <w:rsid w:val="500B0F52"/>
    <w:rsid w:val="501761F0"/>
    <w:rsid w:val="50191DB5"/>
    <w:rsid w:val="5019541D"/>
    <w:rsid w:val="501A5596"/>
    <w:rsid w:val="50212524"/>
    <w:rsid w:val="502D0EC8"/>
    <w:rsid w:val="502F4C40"/>
    <w:rsid w:val="50316D0D"/>
    <w:rsid w:val="50334005"/>
    <w:rsid w:val="503C2295"/>
    <w:rsid w:val="503E4E84"/>
    <w:rsid w:val="503F6F0D"/>
    <w:rsid w:val="50455185"/>
    <w:rsid w:val="50493828"/>
    <w:rsid w:val="504F32C7"/>
    <w:rsid w:val="504F7091"/>
    <w:rsid w:val="50556CA5"/>
    <w:rsid w:val="505E5587"/>
    <w:rsid w:val="50616DC4"/>
    <w:rsid w:val="50661D64"/>
    <w:rsid w:val="5066262C"/>
    <w:rsid w:val="50746AF7"/>
    <w:rsid w:val="50791201"/>
    <w:rsid w:val="508036EE"/>
    <w:rsid w:val="50884351"/>
    <w:rsid w:val="508B6B21"/>
    <w:rsid w:val="508C38BB"/>
    <w:rsid w:val="508F3931"/>
    <w:rsid w:val="50995025"/>
    <w:rsid w:val="509B6FFA"/>
    <w:rsid w:val="509C604E"/>
    <w:rsid w:val="50B77AD1"/>
    <w:rsid w:val="50B96C00"/>
    <w:rsid w:val="50C3791D"/>
    <w:rsid w:val="50CA4969"/>
    <w:rsid w:val="50D47596"/>
    <w:rsid w:val="50D77086"/>
    <w:rsid w:val="50D83DE3"/>
    <w:rsid w:val="50E16CEC"/>
    <w:rsid w:val="50EC0D83"/>
    <w:rsid w:val="50EF2890"/>
    <w:rsid w:val="50F1639A"/>
    <w:rsid w:val="50F352E5"/>
    <w:rsid w:val="50F419E6"/>
    <w:rsid w:val="50F56CC6"/>
    <w:rsid w:val="510065DD"/>
    <w:rsid w:val="51053BF3"/>
    <w:rsid w:val="510819DD"/>
    <w:rsid w:val="51085492"/>
    <w:rsid w:val="510936E3"/>
    <w:rsid w:val="510D2AA8"/>
    <w:rsid w:val="511B6F73"/>
    <w:rsid w:val="511D0F3D"/>
    <w:rsid w:val="51242F3B"/>
    <w:rsid w:val="513242BC"/>
    <w:rsid w:val="5133288F"/>
    <w:rsid w:val="51340035"/>
    <w:rsid w:val="51346287"/>
    <w:rsid w:val="51387B25"/>
    <w:rsid w:val="5139564B"/>
    <w:rsid w:val="514209A3"/>
    <w:rsid w:val="51426BF5"/>
    <w:rsid w:val="51471C2F"/>
    <w:rsid w:val="51511D4E"/>
    <w:rsid w:val="51513130"/>
    <w:rsid w:val="51597D5B"/>
    <w:rsid w:val="515A2AC0"/>
    <w:rsid w:val="515A3F3F"/>
    <w:rsid w:val="515A461B"/>
    <w:rsid w:val="51786173"/>
    <w:rsid w:val="517A638F"/>
    <w:rsid w:val="517B2107"/>
    <w:rsid w:val="517F44BD"/>
    <w:rsid w:val="5181771E"/>
    <w:rsid w:val="51840FBC"/>
    <w:rsid w:val="51890380"/>
    <w:rsid w:val="518A40F8"/>
    <w:rsid w:val="518C7357"/>
    <w:rsid w:val="51907133"/>
    <w:rsid w:val="519F7BA4"/>
    <w:rsid w:val="51A26F77"/>
    <w:rsid w:val="51A404F0"/>
    <w:rsid w:val="51A96C75"/>
    <w:rsid w:val="51AA202E"/>
    <w:rsid w:val="51AC18D1"/>
    <w:rsid w:val="51AC406F"/>
    <w:rsid w:val="51B74F33"/>
    <w:rsid w:val="51BB3490"/>
    <w:rsid w:val="51C21AE4"/>
    <w:rsid w:val="51C55131"/>
    <w:rsid w:val="51C63383"/>
    <w:rsid w:val="51D33CF1"/>
    <w:rsid w:val="51D610EC"/>
    <w:rsid w:val="51D733A0"/>
    <w:rsid w:val="51DB16D8"/>
    <w:rsid w:val="51DD691E"/>
    <w:rsid w:val="51E151AC"/>
    <w:rsid w:val="51E53C1A"/>
    <w:rsid w:val="51E56C3E"/>
    <w:rsid w:val="51E67581"/>
    <w:rsid w:val="51E82577"/>
    <w:rsid w:val="51E82E69"/>
    <w:rsid w:val="51F24178"/>
    <w:rsid w:val="51F55A16"/>
    <w:rsid w:val="52053353"/>
    <w:rsid w:val="520C480A"/>
    <w:rsid w:val="521045FE"/>
    <w:rsid w:val="52157E66"/>
    <w:rsid w:val="522C7C98"/>
    <w:rsid w:val="522D51B0"/>
    <w:rsid w:val="522F4DA9"/>
    <w:rsid w:val="523227C6"/>
    <w:rsid w:val="52386093"/>
    <w:rsid w:val="523E1F05"/>
    <w:rsid w:val="5245699D"/>
    <w:rsid w:val="524F602A"/>
    <w:rsid w:val="525071E9"/>
    <w:rsid w:val="525564B4"/>
    <w:rsid w:val="525F49CC"/>
    <w:rsid w:val="525F7333"/>
    <w:rsid w:val="52612F1E"/>
    <w:rsid w:val="52630225"/>
    <w:rsid w:val="52677E10"/>
    <w:rsid w:val="526E2771"/>
    <w:rsid w:val="526E7576"/>
    <w:rsid w:val="5270414C"/>
    <w:rsid w:val="52734B8D"/>
    <w:rsid w:val="52742DDF"/>
    <w:rsid w:val="527C4946"/>
    <w:rsid w:val="528374C6"/>
    <w:rsid w:val="5285323E"/>
    <w:rsid w:val="52865936"/>
    <w:rsid w:val="528943B0"/>
    <w:rsid w:val="52923265"/>
    <w:rsid w:val="52966AAF"/>
    <w:rsid w:val="52A64F62"/>
    <w:rsid w:val="52AD5B3E"/>
    <w:rsid w:val="52AD5D66"/>
    <w:rsid w:val="52BE0F38"/>
    <w:rsid w:val="52C02663"/>
    <w:rsid w:val="52C03F18"/>
    <w:rsid w:val="52C04276"/>
    <w:rsid w:val="52CA4B98"/>
    <w:rsid w:val="52CC5FAA"/>
    <w:rsid w:val="52D23FA9"/>
    <w:rsid w:val="52D4387D"/>
    <w:rsid w:val="52E37F64"/>
    <w:rsid w:val="52E7569D"/>
    <w:rsid w:val="52E92F91"/>
    <w:rsid w:val="52EC6E19"/>
    <w:rsid w:val="52F30609"/>
    <w:rsid w:val="52F537F4"/>
    <w:rsid w:val="52FA091A"/>
    <w:rsid w:val="530D17D0"/>
    <w:rsid w:val="530D6D8F"/>
    <w:rsid w:val="5317125D"/>
    <w:rsid w:val="531C3B06"/>
    <w:rsid w:val="53277E51"/>
    <w:rsid w:val="532F6D06"/>
    <w:rsid w:val="533359AF"/>
    <w:rsid w:val="5334256E"/>
    <w:rsid w:val="53395DD6"/>
    <w:rsid w:val="533B1B4E"/>
    <w:rsid w:val="533C4DEE"/>
    <w:rsid w:val="53444EFB"/>
    <w:rsid w:val="5354676C"/>
    <w:rsid w:val="535518A5"/>
    <w:rsid w:val="535B2CBA"/>
    <w:rsid w:val="53610DA9"/>
    <w:rsid w:val="53653121"/>
    <w:rsid w:val="537137C2"/>
    <w:rsid w:val="5373753A"/>
    <w:rsid w:val="53755060"/>
    <w:rsid w:val="538452A3"/>
    <w:rsid w:val="53893FB1"/>
    <w:rsid w:val="538D23F9"/>
    <w:rsid w:val="538E05FD"/>
    <w:rsid w:val="53983DE0"/>
    <w:rsid w:val="539F4C8A"/>
    <w:rsid w:val="53A05E55"/>
    <w:rsid w:val="53A357E4"/>
    <w:rsid w:val="53AC65A8"/>
    <w:rsid w:val="53AC7034"/>
    <w:rsid w:val="53BF62DB"/>
    <w:rsid w:val="53C809FD"/>
    <w:rsid w:val="53C90F08"/>
    <w:rsid w:val="53D12BF2"/>
    <w:rsid w:val="53D7261D"/>
    <w:rsid w:val="53D814E2"/>
    <w:rsid w:val="53EB0DBC"/>
    <w:rsid w:val="53F1220D"/>
    <w:rsid w:val="53FA7313"/>
    <w:rsid w:val="54040192"/>
    <w:rsid w:val="54070D6B"/>
    <w:rsid w:val="54077C82"/>
    <w:rsid w:val="54091C4C"/>
    <w:rsid w:val="540A2FCE"/>
    <w:rsid w:val="540E2DBF"/>
    <w:rsid w:val="54104D89"/>
    <w:rsid w:val="54144ECD"/>
    <w:rsid w:val="54197597"/>
    <w:rsid w:val="541A5E66"/>
    <w:rsid w:val="5420368F"/>
    <w:rsid w:val="542D1C72"/>
    <w:rsid w:val="543A0058"/>
    <w:rsid w:val="54446DFB"/>
    <w:rsid w:val="544E765F"/>
    <w:rsid w:val="544F60B1"/>
    <w:rsid w:val="5452183E"/>
    <w:rsid w:val="54532EC8"/>
    <w:rsid w:val="546649A9"/>
    <w:rsid w:val="54692EAC"/>
    <w:rsid w:val="54780A9D"/>
    <w:rsid w:val="547A48F8"/>
    <w:rsid w:val="547B176D"/>
    <w:rsid w:val="547E6196"/>
    <w:rsid w:val="54837309"/>
    <w:rsid w:val="548C4269"/>
    <w:rsid w:val="549D7BDE"/>
    <w:rsid w:val="549F157C"/>
    <w:rsid w:val="549F2DA7"/>
    <w:rsid w:val="54A34A81"/>
    <w:rsid w:val="54A60272"/>
    <w:rsid w:val="54AD25D8"/>
    <w:rsid w:val="54AF0B23"/>
    <w:rsid w:val="54B716A8"/>
    <w:rsid w:val="54CA13DC"/>
    <w:rsid w:val="54CD4A28"/>
    <w:rsid w:val="54CF69F2"/>
    <w:rsid w:val="54DB61E1"/>
    <w:rsid w:val="54E3249D"/>
    <w:rsid w:val="54E56216"/>
    <w:rsid w:val="54E70949"/>
    <w:rsid w:val="54EB1352"/>
    <w:rsid w:val="550348EE"/>
    <w:rsid w:val="550C37A2"/>
    <w:rsid w:val="550F3656"/>
    <w:rsid w:val="5510455F"/>
    <w:rsid w:val="55142657"/>
    <w:rsid w:val="55180399"/>
    <w:rsid w:val="551B1C37"/>
    <w:rsid w:val="551F10C4"/>
    <w:rsid w:val="55247349"/>
    <w:rsid w:val="55391CA3"/>
    <w:rsid w:val="553C61C8"/>
    <w:rsid w:val="554220EF"/>
    <w:rsid w:val="554C3B9F"/>
    <w:rsid w:val="55514486"/>
    <w:rsid w:val="555E38D2"/>
    <w:rsid w:val="556422E7"/>
    <w:rsid w:val="556558C0"/>
    <w:rsid w:val="556829A3"/>
    <w:rsid w:val="55684751"/>
    <w:rsid w:val="55717AA9"/>
    <w:rsid w:val="557D1C1F"/>
    <w:rsid w:val="55805F3E"/>
    <w:rsid w:val="55886BA1"/>
    <w:rsid w:val="559D264C"/>
    <w:rsid w:val="559D43FA"/>
    <w:rsid w:val="55B17D0B"/>
    <w:rsid w:val="55BB0E93"/>
    <w:rsid w:val="55BB6F76"/>
    <w:rsid w:val="55E42029"/>
    <w:rsid w:val="55EE2EA8"/>
    <w:rsid w:val="55F15225"/>
    <w:rsid w:val="55F83D27"/>
    <w:rsid w:val="55F84612"/>
    <w:rsid w:val="55FD30EB"/>
    <w:rsid w:val="55FF50B5"/>
    <w:rsid w:val="56051FA0"/>
    <w:rsid w:val="560721BC"/>
    <w:rsid w:val="56077188"/>
    <w:rsid w:val="56091A90"/>
    <w:rsid w:val="560C1580"/>
    <w:rsid w:val="561641AD"/>
    <w:rsid w:val="561C4084"/>
    <w:rsid w:val="5621502B"/>
    <w:rsid w:val="56236C6E"/>
    <w:rsid w:val="56345F37"/>
    <w:rsid w:val="56372AA1"/>
    <w:rsid w:val="56376758"/>
    <w:rsid w:val="563805C7"/>
    <w:rsid w:val="563A23D5"/>
    <w:rsid w:val="564156CE"/>
    <w:rsid w:val="56421DA8"/>
    <w:rsid w:val="564451BE"/>
    <w:rsid w:val="5647080A"/>
    <w:rsid w:val="564725B8"/>
    <w:rsid w:val="564A3F4D"/>
    <w:rsid w:val="56505911"/>
    <w:rsid w:val="56553E52"/>
    <w:rsid w:val="565959E7"/>
    <w:rsid w:val="56644F18"/>
    <w:rsid w:val="56666EE2"/>
    <w:rsid w:val="56724DAB"/>
    <w:rsid w:val="567A0BDF"/>
    <w:rsid w:val="567A298E"/>
    <w:rsid w:val="567A60F2"/>
    <w:rsid w:val="567E1286"/>
    <w:rsid w:val="56813D1C"/>
    <w:rsid w:val="56A66BBF"/>
    <w:rsid w:val="56AF4DD0"/>
    <w:rsid w:val="56B23ED5"/>
    <w:rsid w:val="56BA1B37"/>
    <w:rsid w:val="56BD287A"/>
    <w:rsid w:val="56CA56C3"/>
    <w:rsid w:val="56CE1DB8"/>
    <w:rsid w:val="56D2200D"/>
    <w:rsid w:val="56DA0AE5"/>
    <w:rsid w:val="56DE116E"/>
    <w:rsid w:val="56EA412A"/>
    <w:rsid w:val="56EE4427"/>
    <w:rsid w:val="56F20070"/>
    <w:rsid w:val="56F50DEF"/>
    <w:rsid w:val="570B7A8A"/>
    <w:rsid w:val="570C5CDB"/>
    <w:rsid w:val="57120E18"/>
    <w:rsid w:val="5714060E"/>
    <w:rsid w:val="5718190F"/>
    <w:rsid w:val="571B5F1F"/>
    <w:rsid w:val="572A5D76"/>
    <w:rsid w:val="573214BA"/>
    <w:rsid w:val="57340D8E"/>
    <w:rsid w:val="5736167C"/>
    <w:rsid w:val="5736726F"/>
    <w:rsid w:val="57401EA9"/>
    <w:rsid w:val="57430FD1"/>
    <w:rsid w:val="57461E04"/>
    <w:rsid w:val="57485829"/>
    <w:rsid w:val="574C257C"/>
    <w:rsid w:val="574F7976"/>
    <w:rsid w:val="57506677"/>
    <w:rsid w:val="5760225F"/>
    <w:rsid w:val="576A623B"/>
    <w:rsid w:val="576D31B2"/>
    <w:rsid w:val="576F17BF"/>
    <w:rsid w:val="577206F6"/>
    <w:rsid w:val="577365A9"/>
    <w:rsid w:val="577473DD"/>
    <w:rsid w:val="57877110"/>
    <w:rsid w:val="5789732C"/>
    <w:rsid w:val="57954BB7"/>
    <w:rsid w:val="579F57BF"/>
    <w:rsid w:val="57B10631"/>
    <w:rsid w:val="57B1418D"/>
    <w:rsid w:val="57B40121"/>
    <w:rsid w:val="57B63E99"/>
    <w:rsid w:val="57C55E8A"/>
    <w:rsid w:val="57C83D67"/>
    <w:rsid w:val="57C93BCD"/>
    <w:rsid w:val="57CC79D8"/>
    <w:rsid w:val="57CE2F91"/>
    <w:rsid w:val="57D336D1"/>
    <w:rsid w:val="57D60097"/>
    <w:rsid w:val="57D85BBE"/>
    <w:rsid w:val="57ED39A7"/>
    <w:rsid w:val="57EE3437"/>
    <w:rsid w:val="57F7435A"/>
    <w:rsid w:val="57FC0235"/>
    <w:rsid w:val="58156E12"/>
    <w:rsid w:val="58240E03"/>
    <w:rsid w:val="5829466B"/>
    <w:rsid w:val="582C7CB7"/>
    <w:rsid w:val="583059FA"/>
    <w:rsid w:val="58396831"/>
    <w:rsid w:val="58417C07"/>
    <w:rsid w:val="58443253"/>
    <w:rsid w:val="584F36F6"/>
    <w:rsid w:val="58564D34"/>
    <w:rsid w:val="58704ED4"/>
    <w:rsid w:val="58760F44"/>
    <w:rsid w:val="587635A4"/>
    <w:rsid w:val="588E44CE"/>
    <w:rsid w:val="589F0489"/>
    <w:rsid w:val="58AB32D2"/>
    <w:rsid w:val="58AF20D1"/>
    <w:rsid w:val="58B008E9"/>
    <w:rsid w:val="58B13581"/>
    <w:rsid w:val="58B71C77"/>
    <w:rsid w:val="58B77BD1"/>
    <w:rsid w:val="58B959EF"/>
    <w:rsid w:val="58CE0D6F"/>
    <w:rsid w:val="58D520FD"/>
    <w:rsid w:val="58D72319"/>
    <w:rsid w:val="58D75D0B"/>
    <w:rsid w:val="58D8399B"/>
    <w:rsid w:val="58D97B83"/>
    <w:rsid w:val="58DB5636"/>
    <w:rsid w:val="58DD68BA"/>
    <w:rsid w:val="58E42340"/>
    <w:rsid w:val="58E44CE6"/>
    <w:rsid w:val="58F05189"/>
    <w:rsid w:val="58F20F01"/>
    <w:rsid w:val="58F51D42"/>
    <w:rsid w:val="58F5454D"/>
    <w:rsid w:val="58F846B0"/>
    <w:rsid w:val="59097FF9"/>
    <w:rsid w:val="59123351"/>
    <w:rsid w:val="591F31C7"/>
    <w:rsid w:val="59276FAC"/>
    <w:rsid w:val="592B61C1"/>
    <w:rsid w:val="59367040"/>
    <w:rsid w:val="593E5EF4"/>
    <w:rsid w:val="595202AE"/>
    <w:rsid w:val="595649CC"/>
    <w:rsid w:val="595C637A"/>
    <w:rsid w:val="59610256"/>
    <w:rsid w:val="59617E35"/>
    <w:rsid w:val="59650A9B"/>
    <w:rsid w:val="596A4F3B"/>
    <w:rsid w:val="596F2BE8"/>
    <w:rsid w:val="59745DBA"/>
    <w:rsid w:val="598002BB"/>
    <w:rsid w:val="5988716F"/>
    <w:rsid w:val="598A2EE8"/>
    <w:rsid w:val="598D20FF"/>
    <w:rsid w:val="599035FD"/>
    <w:rsid w:val="59941FB8"/>
    <w:rsid w:val="59AF0BA0"/>
    <w:rsid w:val="59B83EF9"/>
    <w:rsid w:val="59C474B5"/>
    <w:rsid w:val="59C53F20"/>
    <w:rsid w:val="59C77E38"/>
    <w:rsid w:val="59CC65A5"/>
    <w:rsid w:val="59D2136C"/>
    <w:rsid w:val="59D46859"/>
    <w:rsid w:val="59D979CB"/>
    <w:rsid w:val="59DE1485"/>
    <w:rsid w:val="59E40EF1"/>
    <w:rsid w:val="59E545C2"/>
    <w:rsid w:val="59E56370"/>
    <w:rsid w:val="59E74EFC"/>
    <w:rsid w:val="59EC5950"/>
    <w:rsid w:val="59EE0574"/>
    <w:rsid w:val="59F02FE1"/>
    <w:rsid w:val="59F41AB2"/>
    <w:rsid w:val="59F900F6"/>
    <w:rsid w:val="59FB5B93"/>
    <w:rsid w:val="5A04713E"/>
    <w:rsid w:val="5A0507C0"/>
    <w:rsid w:val="5A131107"/>
    <w:rsid w:val="5A1E1882"/>
    <w:rsid w:val="5A1E64AA"/>
    <w:rsid w:val="5A2A57A8"/>
    <w:rsid w:val="5A36306F"/>
    <w:rsid w:val="5A3966BC"/>
    <w:rsid w:val="5A3B2CC9"/>
    <w:rsid w:val="5A3C143E"/>
    <w:rsid w:val="5A3D61AC"/>
    <w:rsid w:val="5A3F0176"/>
    <w:rsid w:val="5A4412E8"/>
    <w:rsid w:val="5A4C4641"/>
    <w:rsid w:val="5A5359CF"/>
    <w:rsid w:val="5A5534F6"/>
    <w:rsid w:val="5A5654C0"/>
    <w:rsid w:val="5A643739"/>
    <w:rsid w:val="5A655703"/>
    <w:rsid w:val="5A6C5756"/>
    <w:rsid w:val="5A6E0A5B"/>
    <w:rsid w:val="5A7A7400"/>
    <w:rsid w:val="5A9219E3"/>
    <w:rsid w:val="5A980653"/>
    <w:rsid w:val="5A994AE7"/>
    <w:rsid w:val="5AA224B3"/>
    <w:rsid w:val="5AB13E50"/>
    <w:rsid w:val="5AB741B0"/>
    <w:rsid w:val="5AC42360"/>
    <w:rsid w:val="5ACE63F9"/>
    <w:rsid w:val="5AD42DE5"/>
    <w:rsid w:val="5AD7215D"/>
    <w:rsid w:val="5ADA1C4D"/>
    <w:rsid w:val="5ADC59C5"/>
    <w:rsid w:val="5AF54CD9"/>
    <w:rsid w:val="5AF745AD"/>
    <w:rsid w:val="5AF80325"/>
    <w:rsid w:val="5B044F1C"/>
    <w:rsid w:val="5B0E6B5E"/>
    <w:rsid w:val="5B172EA1"/>
    <w:rsid w:val="5B1F1DFE"/>
    <w:rsid w:val="5B2462DD"/>
    <w:rsid w:val="5B286E5C"/>
    <w:rsid w:val="5B2916BE"/>
    <w:rsid w:val="5B294B97"/>
    <w:rsid w:val="5B2A225C"/>
    <w:rsid w:val="5B303F63"/>
    <w:rsid w:val="5B317A04"/>
    <w:rsid w:val="5B353327"/>
    <w:rsid w:val="5B47066F"/>
    <w:rsid w:val="5B4D35C8"/>
    <w:rsid w:val="5B4E22AD"/>
    <w:rsid w:val="5B523ED9"/>
    <w:rsid w:val="5B6013C1"/>
    <w:rsid w:val="5B6015FD"/>
    <w:rsid w:val="5B623A58"/>
    <w:rsid w:val="5B6F05E7"/>
    <w:rsid w:val="5B7351D0"/>
    <w:rsid w:val="5B786E00"/>
    <w:rsid w:val="5B792056"/>
    <w:rsid w:val="5B7B3430"/>
    <w:rsid w:val="5B7B51DE"/>
    <w:rsid w:val="5B7C0F56"/>
    <w:rsid w:val="5B804F69"/>
    <w:rsid w:val="5B871DD5"/>
    <w:rsid w:val="5B8776BD"/>
    <w:rsid w:val="5B8B2F47"/>
    <w:rsid w:val="5B8F6EDB"/>
    <w:rsid w:val="5B9A1097"/>
    <w:rsid w:val="5B9C5154"/>
    <w:rsid w:val="5BAC3FE7"/>
    <w:rsid w:val="5BB57FC4"/>
    <w:rsid w:val="5BB60CDF"/>
    <w:rsid w:val="5BC05EF6"/>
    <w:rsid w:val="5BD40D92"/>
    <w:rsid w:val="5BD719B1"/>
    <w:rsid w:val="5BD90156"/>
    <w:rsid w:val="5BDE751B"/>
    <w:rsid w:val="5BE10428"/>
    <w:rsid w:val="5BE2700B"/>
    <w:rsid w:val="5BE74621"/>
    <w:rsid w:val="5BE923B0"/>
    <w:rsid w:val="5BEF286A"/>
    <w:rsid w:val="5BF07C2F"/>
    <w:rsid w:val="5BFB1E7B"/>
    <w:rsid w:val="5BFE7BBD"/>
    <w:rsid w:val="5C076A71"/>
    <w:rsid w:val="5C11329A"/>
    <w:rsid w:val="5C1473E0"/>
    <w:rsid w:val="5C1C671D"/>
    <w:rsid w:val="5C1E3DBB"/>
    <w:rsid w:val="5C38520C"/>
    <w:rsid w:val="5C3B671B"/>
    <w:rsid w:val="5C474011"/>
    <w:rsid w:val="5C523B02"/>
    <w:rsid w:val="5C58107B"/>
    <w:rsid w:val="5C58551F"/>
    <w:rsid w:val="5C5A1297"/>
    <w:rsid w:val="5C5C6B4C"/>
    <w:rsid w:val="5C6C2D78"/>
    <w:rsid w:val="5C741C2D"/>
    <w:rsid w:val="5C7771C9"/>
    <w:rsid w:val="5C7A36E7"/>
    <w:rsid w:val="5C7A3C12"/>
    <w:rsid w:val="5C7D31D8"/>
    <w:rsid w:val="5C853E3A"/>
    <w:rsid w:val="5C871428"/>
    <w:rsid w:val="5C8F3DAE"/>
    <w:rsid w:val="5C904CB9"/>
    <w:rsid w:val="5C910581"/>
    <w:rsid w:val="5C983B6D"/>
    <w:rsid w:val="5C990449"/>
    <w:rsid w:val="5C9A41EB"/>
    <w:rsid w:val="5C9A4AF1"/>
    <w:rsid w:val="5C9B7B7C"/>
    <w:rsid w:val="5CA24B2E"/>
    <w:rsid w:val="5CA6628A"/>
    <w:rsid w:val="5CA95D7B"/>
    <w:rsid w:val="5CB2089A"/>
    <w:rsid w:val="5CC613FD"/>
    <w:rsid w:val="5CC74BCF"/>
    <w:rsid w:val="5CCE2780"/>
    <w:rsid w:val="5CD10E2D"/>
    <w:rsid w:val="5CD13668"/>
    <w:rsid w:val="5CDC525B"/>
    <w:rsid w:val="5CE70651"/>
    <w:rsid w:val="5CEB1EEF"/>
    <w:rsid w:val="5CF30D95"/>
    <w:rsid w:val="5CFB5B34"/>
    <w:rsid w:val="5D1256CE"/>
    <w:rsid w:val="5D1A4582"/>
    <w:rsid w:val="5D1C654D"/>
    <w:rsid w:val="5D2D2508"/>
    <w:rsid w:val="5D302E54"/>
    <w:rsid w:val="5D3874C9"/>
    <w:rsid w:val="5D3E5B52"/>
    <w:rsid w:val="5D5A055F"/>
    <w:rsid w:val="5D6A55FC"/>
    <w:rsid w:val="5D6E48CE"/>
    <w:rsid w:val="5D6F1310"/>
    <w:rsid w:val="5D755C5D"/>
    <w:rsid w:val="5D78609D"/>
    <w:rsid w:val="5D812854"/>
    <w:rsid w:val="5D83037A"/>
    <w:rsid w:val="5D83481E"/>
    <w:rsid w:val="5D845EA0"/>
    <w:rsid w:val="5D857BD8"/>
    <w:rsid w:val="5D9205BD"/>
    <w:rsid w:val="5D944335"/>
    <w:rsid w:val="5DA75703"/>
    <w:rsid w:val="5DAF73C1"/>
    <w:rsid w:val="5DB06C95"/>
    <w:rsid w:val="5DB20C5F"/>
    <w:rsid w:val="5DB3634A"/>
    <w:rsid w:val="5DBB3FB7"/>
    <w:rsid w:val="5DC0668F"/>
    <w:rsid w:val="5DD86535"/>
    <w:rsid w:val="5DE54B90"/>
    <w:rsid w:val="5DE639DC"/>
    <w:rsid w:val="5DE80B25"/>
    <w:rsid w:val="5DF63241"/>
    <w:rsid w:val="5DFB7E69"/>
    <w:rsid w:val="5E192A8C"/>
    <w:rsid w:val="5E1B6804"/>
    <w:rsid w:val="5E27164D"/>
    <w:rsid w:val="5E42645E"/>
    <w:rsid w:val="5E4F64AE"/>
    <w:rsid w:val="5E5B12F6"/>
    <w:rsid w:val="5E5D506F"/>
    <w:rsid w:val="5E5E5D4E"/>
    <w:rsid w:val="5E6A32E8"/>
    <w:rsid w:val="5E7C7C2C"/>
    <w:rsid w:val="5E816FDD"/>
    <w:rsid w:val="5E8A398A"/>
    <w:rsid w:val="5E8C6733"/>
    <w:rsid w:val="5E8C7702"/>
    <w:rsid w:val="5E8D2864"/>
    <w:rsid w:val="5E91355E"/>
    <w:rsid w:val="5EA06D09"/>
    <w:rsid w:val="5EA467FA"/>
    <w:rsid w:val="5EA7453C"/>
    <w:rsid w:val="5EA82780"/>
    <w:rsid w:val="5EAA74B3"/>
    <w:rsid w:val="5ED86024"/>
    <w:rsid w:val="5EDA2CED"/>
    <w:rsid w:val="5EE705EF"/>
    <w:rsid w:val="5EF27A2C"/>
    <w:rsid w:val="5EFB50ED"/>
    <w:rsid w:val="5F074FDA"/>
    <w:rsid w:val="5F0D02D8"/>
    <w:rsid w:val="5F142564"/>
    <w:rsid w:val="5F243676"/>
    <w:rsid w:val="5F2636B2"/>
    <w:rsid w:val="5F2A186D"/>
    <w:rsid w:val="5F334021"/>
    <w:rsid w:val="5F4B136B"/>
    <w:rsid w:val="5F4B7449"/>
    <w:rsid w:val="5F5E52A1"/>
    <w:rsid w:val="5F6E0BB6"/>
    <w:rsid w:val="5F8D1984"/>
    <w:rsid w:val="5F955A8F"/>
    <w:rsid w:val="5F97010C"/>
    <w:rsid w:val="5F9A19AB"/>
    <w:rsid w:val="5F9F0B0D"/>
    <w:rsid w:val="5FA03845"/>
    <w:rsid w:val="5FAE249F"/>
    <w:rsid w:val="5FAF18FA"/>
    <w:rsid w:val="5FB54A36"/>
    <w:rsid w:val="5FBA7BDF"/>
    <w:rsid w:val="5FBC4017"/>
    <w:rsid w:val="5FD97C8D"/>
    <w:rsid w:val="5FDF3861"/>
    <w:rsid w:val="5FE122F1"/>
    <w:rsid w:val="5FE315A4"/>
    <w:rsid w:val="5FE5531C"/>
    <w:rsid w:val="5FE570CA"/>
    <w:rsid w:val="5FE57409"/>
    <w:rsid w:val="5FEA46E0"/>
    <w:rsid w:val="5FF776BD"/>
    <w:rsid w:val="5FF95ED9"/>
    <w:rsid w:val="60113709"/>
    <w:rsid w:val="6011625E"/>
    <w:rsid w:val="601E082E"/>
    <w:rsid w:val="60206F86"/>
    <w:rsid w:val="60243CAF"/>
    <w:rsid w:val="602A0F80"/>
    <w:rsid w:val="60344CB7"/>
    <w:rsid w:val="605129B1"/>
    <w:rsid w:val="60537383"/>
    <w:rsid w:val="60593614"/>
    <w:rsid w:val="605D3104"/>
    <w:rsid w:val="6062112C"/>
    <w:rsid w:val="60714E01"/>
    <w:rsid w:val="60753B85"/>
    <w:rsid w:val="60762418"/>
    <w:rsid w:val="607B7A2E"/>
    <w:rsid w:val="60863074"/>
    <w:rsid w:val="6089214B"/>
    <w:rsid w:val="608A7986"/>
    <w:rsid w:val="6098238E"/>
    <w:rsid w:val="6098293E"/>
    <w:rsid w:val="609829A2"/>
    <w:rsid w:val="6098413C"/>
    <w:rsid w:val="609C3D4F"/>
    <w:rsid w:val="60A204FC"/>
    <w:rsid w:val="60A96349"/>
    <w:rsid w:val="60AC6867"/>
    <w:rsid w:val="60AE1BB1"/>
    <w:rsid w:val="60BD0047"/>
    <w:rsid w:val="60BE7457"/>
    <w:rsid w:val="60C70EC5"/>
    <w:rsid w:val="60D7651B"/>
    <w:rsid w:val="60DD5FF3"/>
    <w:rsid w:val="60E07891"/>
    <w:rsid w:val="60E728A1"/>
    <w:rsid w:val="60EB004D"/>
    <w:rsid w:val="60EB4BB4"/>
    <w:rsid w:val="60F62C7E"/>
    <w:rsid w:val="60FB291D"/>
    <w:rsid w:val="60FD0443"/>
    <w:rsid w:val="61006A84"/>
    <w:rsid w:val="611834CF"/>
    <w:rsid w:val="6118702B"/>
    <w:rsid w:val="61202383"/>
    <w:rsid w:val="61241E74"/>
    <w:rsid w:val="612754C0"/>
    <w:rsid w:val="612956DC"/>
    <w:rsid w:val="612D4112"/>
    <w:rsid w:val="61357BDD"/>
    <w:rsid w:val="61442516"/>
    <w:rsid w:val="61452399"/>
    <w:rsid w:val="6146003C"/>
    <w:rsid w:val="615838CB"/>
    <w:rsid w:val="615D0EE2"/>
    <w:rsid w:val="615E3227"/>
    <w:rsid w:val="615E35D8"/>
    <w:rsid w:val="61693D2A"/>
    <w:rsid w:val="61761FA3"/>
    <w:rsid w:val="6182776A"/>
    <w:rsid w:val="61923281"/>
    <w:rsid w:val="61931743"/>
    <w:rsid w:val="61972366"/>
    <w:rsid w:val="61A14F92"/>
    <w:rsid w:val="61A905CB"/>
    <w:rsid w:val="61AE798F"/>
    <w:rsid w:val="61B67263"/>
    <w:rsid w:val="61BA6082"/>
    <w:rsid w:val="61BC02FE"/>
    <w:rsid w:val="61BC437E"/>
    <w:rsid w:val="61D81A0E"/>
    <w:rsid w:val="61D85A4C"/>
    <w:rsid w:val="61D94A0C"/>
    <w:rsid w:val="61DA565F"/>
    <w:rsid w:val="61DE2022"/>
    <w:rsid w:val="61E12E07"/>
    <w:rsid w:val="61E668F7"/>
    <w:rsid w:val="61E67129"/>
    <w:rsid w:val="61F45CEA"/>
    <w:rsid w:val="61FA5CE7"/>
    <w:rsid w:val="620D4AA3"/>
    <w:rsid w:val="621243C2"/>
    <w:rsid w:val="621B558A"/>
    <w:rsid w:val="621C5CF8"/>
    <w:rsid w:val="621D14A3"/>
    <w:rsid w:val="6220263B"/>
    <w:rsid w:val="62240D94"/>
    <w:rsid w:val="62255429"/>
    <w:rsid w:val="62320E20"/>
    <w:rsid w:val="623426DB"/>
    <w:rsid w:val="62361E5F"/>
    <w:rsid w:val="62397900"/>
    <w:rsid w:val="623B6496"/>
    <w:rsid w:val="62481B92"/>
    <w:rsid w:val="624C1BD2"/>
    <w:rsid w:val="624D4AFD"/>
    <w:rsid w:val="62516C98"/>
    <w:rsid w:val="62575F18"/>
    <w:rsid w:val="62600C89"/>
    <w:rsid w:val="62647909"/>
    <w:rsid w:val="6279052C"/>
    <w:rsid w:val="62797F9D"/>
    <w:rsid w:val="627B1F67"/>
    <w:rsid w:val="6280132C"/>
    <w:rsid w:val="62843025"/>
    <w:rsid w:val="629D3C8C"/>
    <w:rsid w:val="62A36DC8"/>
    <w:rsid w:val="62A56FE4"/>
    <w:rsid w:val="62A72D5C"/>
    <w:rsid w:val="62AC344B"/>
    <w:rsid w:val="62B81178"/>
    <w:rsid w:val="62B9483E"/>
    <w:rsid w:val="62D022B3"/>
    <w:rsid w:val="62E62AFE"/>
    <w:rsid w:val="62FA7330"/>
    <w:rsid w:val="62FB6C04"/>
    <w:rsid w:val="630B7DE2"/>
    <w:rsid w:val="630D0714"/>
    <w:rsid w:val="630D407E"/>
    <w:rsid w:val="63185A08"/>
    <w:rsid w:val="631E0D80"/>
    <w:rsid w:val="632117EE"/>
    <w:rsid w:val="63263553"/>
    <w:rsid w:val="63275F36"/>
    <w:rsid w:val="633A1D87"/>
    <w:rsid w:val="633C39E9"/>
    <w:rsid w:val="6359186A"/>
    <w:rsid w:val="63640C4D"/>
    <w:rsid w:val="636649C5"/>
    <w:rsid w:val="63666773"/>
    <w:rsid w:val="637013A0"/>
    <w:rsid w:val="637075F2"/>
    <w:rsid w:val="63752CA5"/>
    <w:rsid w:val="638C7AC1"/>
    <w:rsid w:val="638E1826"/>
    <w:rsid w:val="63942A93"/>
    <w:rsid w:val="639C03E7"/>
    <w:rsid w:val="639F57E1"/>
    <w:rsid w:val="63A728E8"/>
    <w:rsid w:val="63A96660"/>
    <w:rsid w:val="63B079EF"/>
    <w:rsid w:val="63B36241"/>
    <w:rsid w:val="63BD210C"/>
    <w:rsid w:val="63C87EA8"/>
    <w:rsid w:val="63DE27AE"/>
    <w:rsid w:val="63E2436F"/>
    <w:rsid w:val="63E37DC4"/>
    <w:rsid w:val="63F47FE4"/>
    <w:rsid w:val="640314B0"/>
    <w:rsid w:val="64065861"/>
    <w:rsid w:val="640B6037"/>
    <w:rsid w:val="641B57B0"/>
    <w:rsid w:val="64373C6C"/>
    <w:rsid w:val="643A38A5"/>
    <w:rsid w:val="64490689"/>
    <w:rsid w:val="645B3DFE"/>
    <w:rsid w:val="645C36D2"/>
    <w:rsid w:val="64654C7D"/>
    <w:rsid w:val="646749E8"/>
    <w:rsid w:val="647C5B23"/>
    <w:rsid w:val="647E5D3F"/>
    <w:rsid w:val="64813139"/>
    <w:rsid w:val="649021A4"/>
    <w:rsid w:val="649E447F"/>
    <w:rsid w:val="64A366B7"/>
    <w:rsid w:val="64AD3F2E"/>
    <w:rsid w:val="64AE246E"/>
    <w:rsid w:val="64B4197D"/>
    <w:rsid w:val="64B452BD"/>
    <w:rsid w:val="64C01EB3"/>
    <w:rsid w:val="64DE058B"/>
    <w:rsid w:val="64DE67DD"/>
    <w:rsid w:val="64E020C6"/>
    <w:rsid w:val="64E04C97"/>
    <w:rsid w:val="64E21E2A"/>
    <w:rsid w:val="64E8140A"/>
    <w:rsid w:val="650A5824"/>
    <w:rsid w:val="651B533C"/>
    <w:rsid w:val="65222FC4"/>
    <w:rsid w:val="653A7EB8"/>
    <w:rsid w:val="6543716C"/>
    <w:rsid w:val="654D6254"/>
    <w:rsid w:val="65501489"/>
    <w:rsid w:val="655320F0"/>
    <w:rsid w:val="65562818"/>
    <w:rsid w:val="655B1BDC"/>
    <w:rsid w:val="65646CE3"/>
    <w:rsid w:val="65752C9E"/>
    <w:rsid w:val="657C227E"/>
    <w:rsid w:val="65876E75"/>
    <w:rsid w:val="659B647C"/>
    <w:rsid w:val="659F7D1B"/>
    <w:rsid w:val="65A11CE5"/>
    <w:rsid w:val="65A6554D"/>
    <w:rsid w:val="65A70610"/>
    <w:rsid w:val="65A951DF"/>
    <w:rsid w:val="65AA73BB"/>
    <w:rsid w:val="65AB6E9B"/>
    <w:rsid w:val="65AC35B1"/>
    <w:rsid w:val="65AD68DC"/>
    <w:rsid w:val="65B512EC"/>
    <w:rsid w:val="65C07C91"/>
    <w:rsid w:val="65C326F0"/>
    <w:rsid w:val="65C9123C"/>
    <w:rsid w:val="65D86017"/>
    <w:rsid w:val="65DC08BB"/>
    <w:rsid w:val="65E46075"/>
    <w:rsid w:val="65E4762B"/>
    <w:rsid w:val="65E73470"/>
    <w:rsid w:val="65EC10C6"/>
    <w:rsid w:val="65EF0F14"/>
    <w:rsid w:val="65F04A1A"/>
    <w:rsid w:val="65FA08EA"/>
    <w:rsid w:val="660B3DB6"/>
    <w:rsid w:val="660B53B0"/>
    <w:rsid w:val="660F5D36"/>
    <w:rsid w:val="661E3335"/>
    <w:rsid w:val="662029CC"/>
    <w:rsid w:val="662C39C8"/>
    <w:rsid w:val="662C3B8C"/>
    <w:rsid w:val="66323ADF"/>
    <w:rsid w:val="66377F53"/>
    <w:rsid w:val="664D7777"/>
    <w:rsid w:val="66542507"/>
    <w:rsid w:val="665723A3"/>
    <w:rsid w:val="66630D48"/>
    <w:rsid w:val="666A1054"/>
    <w:rsid w:val="666C562F"/>
    <w:rsid w:val="666F1DE3"/>
    <w:rsid w:val="66772206"/>
    <w:rsid w:val="667E1E1E"/>
    <w:rsid w:val="667F0B62"/>
    <w:rsid w:val="668F71DD"/>
    <w:rsid w:val="6694184A"/>
    <w:rsid w:val="669F19FE"/>
    <w:rsid w:val="66A03D4A"/>
    <w:rsid w:val="66A351E8"/>
    <w:rsid w:val="66AD290B"/>
    <w:rsid w:val="66B27F22"/>
    <w:rsid w:val="66B42157"/>
    <w:rsid w:val="66BC48FC"/>
    <w:rsid w:val="66C77195"/>
    <w:rsid w:val="66C8504F"/>
    <w:rsid w:val="66D47276"/>
    <w:rsid w:val="66D72B7A"/>
    <w:rsid w:val="66DD4F9F"/>
    <w:rsid w:val="66DF4FB3"/>
    <w:rsid w:val="66EE7FF0"/>
    <w:rsid w:val="66F67E0E"/>
    <w:rsid w:val="6703300B"/>
    <w:rsid w:val="67040CE3"/>
    <w:rsid w:val="67050051"/>
    <w:rsid w:val="6712276E"/>
    <w:rsid w:val="67136ED0"/>
    <w:rsid w:val="672A46AE"/>
    <w:rsid w:val="672C2287"/>
    <w:rsid w:val="672C6851"/>
    <w:rsid w:val="672D6CDB"/>
    <w:rsid w:val="672E57FA"/>
    <w:rsid w:val="673B67CA"/>
    <w:rsid w:val="673C42AC"/>
    <w:rsid w:val="673D70A9"/>
    <w:rsid w:val="67463D0C"/>
    <w:rsid w:val="67492634"/>
    <w:rsid w:val="674B6EBA"/>
    <w:rsid w:val="674E19F8"/>
    <w:rsid w:val="6750591A"/>
    <w:rsid w:val="67510CED"/>
    <w:rsid w:val="67584625"/>
    <w:rsid w:val="67600786"/>
    <w:rsid w:val="67626648"/>
    <w:rsid w:val="67756BA3"/>
    <w:rsid w:val="67784CC7"/>
    <w:rsid w:val="678216A2"/>
    <w:rsid w:val="678E2418"/>
    <w:rsid w:val="678F0520"/>
    <w:rsid w:val="67931B01"/>
    <w:rsid w:val="679F2254"/>
    <w:rsid w:val="67A1024B"/>
    <w:rsid w:val="67A41618"/>
    <w:rsid w:val="67A755AC"/>
    <w:rsid w:val="67B7688E"/>
    <w:rsid w:val="67B930BE"/>
    <w:rsid w:val="67BB421E"/>
    <w:rsid w:val="67C1041C"/>
    <w:rsid w:val="67D54598"/>
    <w:rsid w:val="67DC3804"/>
    <w:rsid w:val="67E759A9"/>
    <w:rsid w:val="67EB36EB"/>
    <w:rsid w:val="67FC1454"/>
    <w:rsid w:val="68000819"/>
    <w:rsid w:val="680A6312"/>
    <w:rsid w:val="680E2F36"/>
    <w:rsid w:val="68103152"/>
    <w:rsid w:val="681963E6"/>
    <w:rsid w:val="681A7B2C"/>
    <w:rsid w:val="68232647"/>
    <w:rsid w:val="682C6D07"/>
    <w:rsid w:val="6832198B"/>
    <w:rsid w:val="683706DE"/>
    <w:rsid w:val="684474B4"/>
    <w:rsid w:val="684B5F38"/>
    <w:rsid w:val="684D1CB0"/>
    <w:rsid w:val="685023D2"/>
    <w:rsid w:val="6852376A"/>
    <w:rsid w:val="6857680D"/>
    <w:rsid w:val="686105DB"/>
    <w:rsid w:val="68614B5C"/>
    <w:rsid w:val="68701E42"/>
    <w:rsid w:val="68762980"/>
    <w:rsid w:val="68791EA6"/>
    <w:rsid w:val="68802FCA"/>
    <w:rsid w:val="68817BAC"/>
    <w:rsid w:val="688B4586"/>
    <w:rsid w:val="68905F80"/>
    <w:rsid w:val="68914EB4"/>
    <w:rsid w:val="68A65864"/>
    <w:rsid w:val="68AA0EB0"/>
    <w:rsid w:val="68AA2C6A"/>
    <w:rsid w:val="68AB2E7A"/>
    <w:rsid w:val="68B73708"/>
    <w:rsid w:val="68BC2675"/>
    <w:rsid w:val="68C66F69"/>
    <w:rsid w:val="68C83A2C"/>
    <w:rsid w:val="68CA3301"/>
    <w:rsid w:val="68CF743F"/>
    <w:rsid w:val="68DC3034"/>
    <w:rsid w:val="68DC528A"/>
    <w:rsid w:val="68E32729"/>
    <w:rsid w:val="68E550C3"/>
    <w:rsid w:val="68E625B7"/>
    <w:rsid w:val="68E9573D"/>
    <w:rsid w:val="68F44821"/>
    <w:rsid w:val="69026F3E"/>
    <w:rsid w:val="690608A3"/>
    <w:rsid w:val="690643FC"/>
    <w:rsid w:val="690B547E"/>
    <w:rsid w:val="690E2FBD"/>
    <w:rsid w:val="691A59E1"/>
    <w:rsid w:val="691B1DAE"/>
    <w:rsid w:val="691C78D4"/>
    <w:rsid w:val="69223BD5"/>
    <w:rsid w:val="692769A5"/>
    <w:rsid w:val="692B5D0A"/>
    <w:rsid w:val="692F7608"/>
    <w:rsid w:val="69313380"/>
    <w:rsid w:val="693370F8"/>
    <w:rsid w:val="69362744"/>
    <w:rsid w:val="693A3BE2"/>
    <w:rsid w:val="694453B3"/>
    <w:rsid w:val="694458E8"/>
    <w:rsid w:val="694C01BA"/>
    <w:rsid w:val="694C640B"/>
    <w:rsid w:val="6951757E"/>
    <w:rsid w:val="69531548"/>
    <w:rsid w:val="6954706E"/>
    <w:rsid w:val="695A7B5F"/>
    <w:rsid w:val="696A4AE4"/>
    <w:rsid w:val="697516DC"/>
    <w:rsid w:val="697C6C8B"/>
    <w:rsid w:val="69892527"/>
    <w:rsid w:val="6989589F"/>
    <w:rsid w:val="698A0CE2"/>
    <w:rsid w:val="698E2580"/>
    <w:rsid w:val="699833FF"/>
    <w:rsid w:val="699851AD"/>
    <w:rsid w:val="69A578CA"/>
    <w:rsid w:val="69B468BF"/>
    <w:rsid w:val="69BB70ED"/>
    <w:rsid w:val="69C2047C"/>
    <w:rsid w:val="69C26788"/>
    <w:rsid w:val="69CC03FD"/>
    <w:rsid w:val="69CE04C4"/>
    <w:rsid w:val="69D56401"/>
    <w:rsid w:val="69DB17AF"/>
    <w:rsid w:val="69E4001D"/>
    <w:rsid w:val="69E93C5A"/>
    <w:rsid w:val="69F04FE9"/>
    <w:rsid w:val="69F65156"/>
    <w:rsid w:val="6A06480C"/>
    <w:rsid w:val="6A0C16F7"/>
    <w:rsid w:val="6A11027E"/>
    <w:rsid w:val="6A132A85"/>
    <w:rsid w:val="6A1D00FB"/>
    <w:rsid w:val="6A1F58CE"/>
    <w:rsid w:val="6A2B6DD1"/>
    <w:rsid w:val="6A316901"/>
    <w:rsid w:val="6A3A6264"/>
    <w:rsid w:val="6A3F7D1E"/>
    <w:rsid w:val="6A4B6DF2"/>
    <w:rsid w:val="6A553A32"/>
    <w:rsid w:val="6A5C730C"/>
    <w:rsid w:val="6A635C65"/>
    <w:rsid w:val="6A652133"/>
    <w:rsid w:val="6A654D69"/>
    <w:rsid w:val="6A666FF2"/>
    <w:rsid w:val="6A6A4F90"/>
    <w:rsid w:val="6A701C86"/>
    <w:rsid w:val="6A705FAC"/>
    <w:rsid w:val="6A707ED8"/>
    <w:rsid w:val="6A723459"/>
    <w:rsid w:val="6A7B023F"/>
    <w:rsid w:val="6A7F011B"/>
    <w:rsid w:val="6A8D2838"/>
    <w:rsid w:val="6A8D40E1"/>
    <w:rsid w:val="6A8E549C"/>
    <w:rsid w:val="6A9364B6"/>
    <w:rsid w:val="6A9A55E1"/>
    <w:rsid w:val="6A9B11F8"/>
    <w:rsid w:val="6A9F379D"/>
    <w:rsid w:val="6AA439BC"/>
    <w:rsid w:val="6AA67245"/>
    <w:rsid w:val="6AA80752"/>
    <w:rsid w:val="6AAB7162"/>
    <w:rsid w:val="6AAC30B7"/>
    <w:rsid w:val="6AB57FE0"/>
    <w:rsid w:val="6ABF6769"/>
    <w:rsid w:val="6ACA7D39"/>
    <w:rsid w:val="6ACD6A4B"/>
    <w:rsid w:val="6AD22940"/>
    <w:rsid w:val="6AE766DB"/>
    <w:rsid w:val="6AEB3A02"/>
    <w:rsid w:val="6AF56B00"/>
    <w:rsid w:val="6AFC176B"/>
    <w:rsid w:val="6B056872"/>
    <w:rsid w:val="6B0625EA"/>
    <w:rsid w:val="6B0A0236"/>
    <w:rsid w:val="6B0F5943"/>
    <w:rsid w:val="6B19056F"/>
    <w:rsid w:val="6B1D005F"/>
    <w:rsid w:val="6B2A452A"/>
    <w:rsid w:val="6B4052E2"/>
    <w:rsid w:val="6B4A0729"/>
    <w:rsid w:val="6B56531F"/>
    <w:rsid w:val="6B566163"/>
    <w:rsid w:val="6B5F12E7"/>
    <w:rsid w:val="6B685053"/>
    <w:rsid w:val="6B7925B5"/>
    <w:rsid w:val="6B7E4876"/>
    <w:rsid w:val="6B7E6624"/>
    <w:rsid w:val="6B7E7E55"/>
    <w:rsid w:val="6BAE0CB8"/>
    <w:rsid w:val="6BC63ABE"/>
    <w:rsid w:val="6BDB5825"/>
    <w:rsid w:val="6BDF5191"/>
    <w:rsid w:val="6BEA3CBA"/>
    <w:rsid w:val="6BFF476F"/>
    <w:rsid w:val="6C0528A2"/>
    <w:rsid w:val="6C0C1E82"/>
    <w:rsid w:val="6C0C6146"/>
    <w:rsid w:val="6C1937F9"/>
    <w:rsid w:val="6C1D5E3D"/>
    <w:rsid w:val="6C2076DB"/>
    <w:rsid w:val="6C276CBC"/>
    <w:rsid w:val="6C2B2308"/>
    <w:rsid w:val="6C33740F"/>
    <w:rsid w:val="6C353187"/>
    <w:rsid w:val="6C354F35"/>
    <w:rsid w:val="6C374CF7"/>
    <w:rsid w:val="6C3A02AF"/>
    <w:rsid w:val="6C3D64DF"/>
    <w:rsid w:val="6C4258A4"/>
    <w:rsid w:val="6C5F6E69"/>
    <w:rsid w:val="6C7A3290"/>
    <w:rsid w:val="6C7C464E"/>
    <w:rsid w:val="6C815DFF"/>
    <w:rsid w:val="6C85112B"/>
    <w:rsid w:val="6C9003BD"/>
    <w:rsid w:val="6C976F8A"/>
    <w:rsid w:val="6CBF0CA2"/>
    <w:rsid w:val="6CC4450B"/>
    <w:rsid w:val="6CCA0086"/>
    <w:rsid w:val="6CD01102"/>
    <w:rsid w:val="6CD8748D"/>
    <w:rsid w:val="6CE66B6E"/>
    <w:rsid w:val="6D003795"/>
    <w:rsid w:val="6D047B27"/>
    <w:rsid w:val="6D06067F"/>
    <w:rsid w:val="6D104643"/>
    <w:rsid w:val="6D1A3941"/>
    <w:rsid w:val="6D1D3C31"/>
    <w:rsid w:val="6D260D22"/>
    <w:rsid w:val="6D2B48E5"/>
    <w:rsid w:val="6D2F5E28"/>
    <w:rsid w:val="6D31100A"/>
    <w:rsid w:val="6D3C22F3"/>
    <w:rsid w:val="6D3F2288"/>
    <w:rsid w:val="6D4A64FE"/>
    <w:rsid w:val="6D4F2026"/>
    <w:rsid w:val="6D513FF0"/>
    <w:rsid w:val="6D526817"/>
    <w:rsid w:val="6D5E495F"/>
    <w:rsid w:val="6D654602"/>
    <w:rsid w:val="6D77332B"/>
    <w:rsid w:val="6D7777CF"/>
    <w:rsid w:val="6D7C2B3B"/>
    <w:rsid w:val="6D851682"/>
    <w:rsid w:val="6D855A48"/>
    <w:rsid w:val="6D8739F1"/>
    <w:rsid w:val="6D8D0DA1"/>
    <w:rsid w:val="6DA23CD7"/>
    <w:rsid w:val="6DA265FA"/>
    <w:rsid w:val="6DAA1953"/>
    <w:rsid w:val="6DAF3E1B"/>
    <w:rsid w:val="6DB602F7"/>
    <w:rsid w:val="6DC04CD2"/>
    <w:rsid w:val="6DCE3893"/>
    <w:rsid w:val="6DCF2F89"/>
    <w:rsid w:val="6DD65601"/>
    <w:rsid w:val="6DD8026E"/>
    <w:rsid w:val="6DDA2238"/>
    <w:rsid w:val="6DE704B1"/>
    <w:rsid w:val="6DE8487B"/>
    <w:rsid w:val="6DEA0257"/>
    <w:rsid w:val="6DED485A"/>
    <w:rsid w:val="6DEE7A91"/>
    <w:rsid w:val="6E001573"/>
    <w:rsid w:val="6E027099"/>
    <w:rsid w:val="6E0A23F1"/>
    <w:rsid w:val="6E0E1EE1"/>
    <w:rsid w:val="6E100C1B"/>
    <w:rsid w:val="6E1119D2"/>
    <w:rsid w:val="6E13574A"/>
    <w:rsid w:val="6E146DCC"/>
    <w:rsid w:val="6E2016C9"/>
    <w:rsid w:val="6E207944"/>
    <w:rsid w:val="6E25115A"/>
    <w:rsid w:val="6E2E7E8E"/>
    <w:rsid w:val="6E31797E"/>
    <w:rsid w:val="6E4030AD"/>
    <w:rsid w:val="6E4C033D"/>
    <w:rsid w:val="6E4C0C5C"/>
    <w:rsid w:val="6E4F6056"/>
    <w:rsid w:val="6E573888"/>
    <w:rsid w:val="6E6164B5"/>
    <w:rsid w:val="6E6C6C08"/>
    <w:rsid w:val="6E6E4FA6"/>
    <w:rsid w:val="6E7D71C4"/>
    <w:rsid w:val="6E861A9D"/>
    <w:rsid w:val="6E922B12"/>
    <w:rsid w:val="6E9A5523"/>
    <w:rsid w:val="6E9C5CAA"/>
    <w:rsid w:val="6E9E14B7"/>
    <w:rsid w:val="6EA0448C"/>
    <w:rsid w:val="6EAE609A"/>
    <w:rsid w:val="6EB23E04"/>
    <w:rsid w:val="6EBC7B8F"/>
    <w:rsid w:val="6ED4144E"/>
    <w:rsid w:val="6EDC1FE0"/>
    <w:rsid w:val="6EDE7B06"/>
    <w:rsid w:val="6EE90259"/>
    <w:rsid w:val="6EEE3AC1"/>
    <w:rsid w:val="6EF56BFD"/>
    <w:rsid w:val="6EF74444"/>
    <w:rsid w:val="6EFA2466"/>
    <w:rsid w:val="6F010943"/>
    <w:rsid w:val="6F0532E4"/>
    <w:rsid w:val="6F132783"/>
    <w:rsid w:val="6F175D31"/>
    <w:rsid w:val="6F1A6664"/>
    <w:rsid w:val="6F216803"/>
    <w:rsid w:val="6F23376B"/>
    <w:rsid w:val="6F244E09"/>
    <w:rsid w:val="6F285225"/>
    <w:rsid w:val="6F352F31"/>
    <w:rsid w:val="6F3E58A4"/>
    <w:rsid w:val="6F411E43"/>
    <w:rsid w:val="6F524050"/>
    <w:rsid w:val="6F5270A9"/>
    <w:rsid w:val="6F5436D6"/>
    <w:rsid w:val="6F631DB9"/>
    <w:rsid w:val="6F653D83"/>
    <w:rsid w:val="6F677AD6"/>
    <w:rsid w:val="6F6B5112"/>
    <w:rsid w:val="6F6C06E7"/>
    <w:rsid w:val="6F712728"/>
    <w:rsid w:val="6F742218"/>
    <w:rsid w:val="6F7A7103"/>
    <w:rsid w:val="6F7B4EC0"/>
    <w:rsid w:val="6F834209"/>
    <w:rsid w:val="6F887185"/>
    <w:rsid w:val="6F891186"/>
    <w:rsid w:val="6F8C57B4"/>
    <w:rsid w:val="6F8D2AAE"/>
    <w:rsid w:val="6F8F2940"/>
    <w:rsid w:val="6F904BDE"/>
    <w:rsid w:val="6F9D4B47"/>
    <w:rsid w:val="6FA14653"/>
    <w:rsid w:val="6FB83BC9"/>
    <w:rsid w:val="6FBC260E"/>
    <w:rsid w:val="6FC0545D"/>
    <w:rsid w:val="6FC34F4E"/>
    <w:rsid w:val="6FC565D0"/>
    <w:rsid w:val="6FC7059A"/>
    <w:rsid w:val="6FCA008A"/>
    <w:rsid w:val="6FD11419"/>
    <w:rsid w:val="6FDC1B6B"/>
    <w:rsid w:val="6FEC6252"/>
    <w:rsid w:val="6FF42F96"/>
    <w:rsid w:val="6FFE46CD"/>
    <w:rsid w:val="70064B6B"/>
    <w:rsid w:val="70115CB9"/>
    <w:rsid w:val="70141387"/>
    <w:rsid w:val="70223C07"/>
    <w:rsid w:val="7036127C"/>
    <w:rsid w:val="7053007F"/>
    <w:rsid w:val="70695782"/>
    <w:rsid w:val="70695C8E"/>
    <w:rsid w:val="70755925"/>
    <w:rsid w:val="70903082"/>
    <w:rsid w:val="70904E30"/>
    <w:rsid w:val="709541F4"/>
    <w:rsid w:val="709D754D"/>
    <w:rsid w:val="70A24B63"/>
    <w:rsid w:val="70AB3A18"/>
    <w:rsid w:val="70AD1AC5"/>
    <w:rsid w:val="70AF65EB"/>
    <w:rsid w:val="70B54896"/>
    <w:rsid w:val="70BB219D"/>
    <w:rsid w:val="70C943AC"/>
    <w:rsid w:val="70D3138B"/>
    <w:rsid w:val="70DE4C45"/>
    <w:rsid w:val="70EE7DA8"/>
    <w:rsid w:val="70F03B20"/>
    <w:rsid w:val="70F25AEA"/>
    <w:rsid w:val="70F73101"/>
    <w:rsid w:val="710650F2"/>
    <w:rsid w:val="7116126F"/>
    <w:rsid w:val="71182116"/>
    <w:rsid w:val="712678D6"/>
    <w:rsid w:val="71291E2C"/>
    <w:rsid w:val="712F289B"/>
    <w:rsid w:val="71323F2F"/>
    <w:rsid w:val="71347EB1"/>
    <w:rsid w:val="71372A12"/>
    <w:rsid w:val="71374018"/>
    <w:rsid w:val="71397275"/>
    <w:rsid w:val="713E0D82"/>
    <w:rsid w:val="71471357"/>
    <w:rsid w:val="71482132"/>
    <w:rsid w:val="7148570A"/>
    <w:rsid w:val="714D2D21"/>
    <w:rsid w:val="714F4CEB"/>
    <w:rsid w:val="71551BD5"/>
    <w:rsid w:val="715776FB"/>
    <w:rsid w:val="715B4389"/>
    <w:rsid w:val="7160639E"/>
    <w:rsid w:val="716156F9"/>
    <w:rsid w:val="716B31A7"/>
    <w:rsid w:val="716E1643"/>
    <w:rsid w:val="717540BD"/>
    <w:rsid w:val="71777222"/>
    <w:rsid w:val="71867FE1"/>
    <w:rsid w:val="719646C8"/>
    <w:rsid w:val="719D47F2"/>
    <w:rsid w:val="719E4CCE"/>
    <w:rsid w:val="71A14E1B"/>
    <w:rsid w:val="71A52B5D"/>
    <w:rsid w:val="71AF7537"/>
    <w:rsid w:val="71B44B4E"/>
    <w:rsid w:val="71C21FDA"/>
    <w:rsid w:val="71C259B4"/>
    <w:rsid w:val="71D23226"/>
    <w:rsid w:val="71E4748A"/>
    <w:rsid w:val="71E847F7"/>
    <w:rsid w:val="71EF476E"/>
    <w:rsid w:val="71F94C57"/>
    <w:rsid w:val="71FB09CF"/>
    <w:rsid w:val="72071122"/>
    <w:rsid w:val="72170B4F"/>
    <w:rsid w:val="721E1120"/>
    <w:rsid w:val="722577FA"/>
    <w:rsid w:val="7229553C"/>
    <w:rsid w:val="72356FD0"/>
    <w:rsid w:val="723B3B5D"/>
    <w:rsid w:val="72404633"/>
    <w:rsid w:val="72417D15"/>
    <w:rsid w:val="725222E9"/>
    <w:rsid w:val="725331E5"/>
    <w:rsid w:val="72572C4C"/>
    <w:rsid w:val="725D3437"/>
    <w:rsid w:val="72604CD6"/>
    <w:rsid w:val="72646574"/>
    <w:rsid w:val="726A2A3C"/>
    <w:rsid w:val="726F4F19"/>
    <w:rsid w:val="727B38BE"/>
    <w:rsid w:val="727C1AD4"/>
    <w:rsid w:val="72807BA3"/>
    <w:rsid w:val="72824C4C"/>
    <w:rsid w:val="728704B4"/>
    <w:rsid w:val="728B1D53"/>
    <w:rsid w:val="72904DCD"/>
    <w:rsid w:val="72933FAE"/>
    <w:rsid w:val="729A3D44"/>
    <w:rsid w:val="729B5D0E"/>
    <w:rsid w:val="72A85210"/>
    <w:rsid w:val="72A87003"/>
    <w:rsid w:val="72A94019"/>
    <w:rsid w:val="72B060D2"/>
    <w:rsid w:val="72B15531"/>
    <w:rsid w:val="72BA0D33"/>
    <w:rsid w:val="72BD5C84"/>
    <w:rsid w:val="72CE60E3"/>
    <w:rsid w:val="72D0279D"/>
    <w:rsid w:val="72D354A8"/>
    <w:rsid w:val="72D40CB6"/>
    <w:rsid w:val="72E0768C"/>
    <w:rsid w:val="72E71B23"/>
    <w:rsid w:val="72E96A79"/>
    <w:rsid w:val="72F316A6"/>
    <w:rsid w:val="72F53670"/>
    <w:rsid w:val="72FB5A31"/>
    <w:rsid w:val="72FF4E4D"/>
    <w:rsid w:val="73006427"/>
    <w:rsid w:val="730359AE"/>
    <w:rsid w:val="7306039D"/>
    <w:rsid w:val="73075151"/>
    <w:rsid w:val="73115CBE"/>
    <w:rsid w:val="7318413C"/>
    <w:rsid w:val="732639B1"/>
    <w:rsid w:val="732A63D7"/>
    <w:rsid w:val="73584DE1"/>
    <w:rsid w:val="73681026"/>
    <w:rsid w:val="736B04D0"/>
    <w:rsid w:val="736C0ED5"/>
    <w:rsid w:val="73776583"/>
    <w:rsid w:val="73797DFD"/>
    <w:rsid w:val="738938E9"/>
    <w:rsid w:val="73941550"/>
    <w:rsid w:val="73BD7EEE"/>
    <w:rsid w:val="73C243F9"/>
    <w:rsid w:val="73C35137"/>
    <w:rsid w:val="73C57E72"/>
    <w:rsid w:val="73C92407"/>
    <w:rsid w:val="73D85635"/>
    <w:rsid w:val="73D90FE2"/>
    <w:rsid w:val="73DB0AB8"/>
    <w:rsid w:val="73DB252D"/>
    <w:rsid w:val="73E54E99"/>
    <w:rsid w:val="74057096"/>
    <w:rsid w:val="74082F2F"/>
    <w:rsid w:val="740D6797"/>
    <w:rsid w:val="74161AF0"/>
    <w:rsid w:val="74173A52"/>
    <w:rsid w:val="741B2C62"/>
    <w:rsid w:val="741B7106"/>
    <w:rsid w:val="741E09A4"/>
    <w:rsid w:val="741E2260"/>
    <w:rsid w:val="741E2752"/>
    <w:rsid w:val="74273CFD"/>
    <w:rsid w:val="742A7718"/>
    <w:rsid w:val="742F4960"/>
    <w:rsid w:val="744A793A"/>
    <w:rsid w:val="744F0B5E"/>
    <w:rsid w:val="744F4027"/>
    <w:rsid w:val="74534AF2"/>
    <w:rsid w:val="7458754A"/>
    <w:rsid w:val="745C0355"/>
    <w:rsid w:val="746639EF"/>
    <w:rsid w:val="74683BFC"/>
    <w:rsid w:val="746960C4"/>
    <w:rsid w:val="746D439E"/>
    <w:rsid w:val="747A3EB5"/>
    <w:rsid w:val="747B1194"/>
    <w:rsid w:val="748F0AAD"/>
    <w:rsid w:val="748F3650"/>
    <w:rsid w:val="749E5641"/>
    <w:rsid w:val="74A71267"/>
    <w:rsid w:val="74A964C0"/>
    <w:rsid w:val="74A96AA4"/>
    <w:rsid w:val="74AA5A49"/>
    <w:rsid w:val="74B03547"/>
    <w:rsid w:val="74C652C4"/>
    <w:rsid w:val="74D177C5"/>
    <w:rsid w:val="74D86DA5"/>
    <w:rsid w:val="74D93769"/>
    <w:rsid w:val="74DC3A97"/>
    <w:rsid w:val="74DF0134"/>
    <w:rsid w:val="74E120FE"/>
    <w:rsid w:val="74E41BEE"/>
    <w:rsid w:val="74E44527"/>
    <w:rsid w:val="74E61367"/>
    <w:rsid w:val="74F11C15"/>
    <w:rsid w:val="74F636CF"/>
    <w:rsid w:val="74F6722B"/>
    <w:rsid w:val="75031A9D"/>
    <w:rsid w:val="75053AEC"/>
    <w:rsid w:val="75090787"/>
    <w:rsid w:val="7513602F"/>
    <w:rsid w:val="7516167C"/>
    <w:rsid w:val="751A116C"/>
    <w:rsid w:val="751A181E"/>
    <w:rsid w:val="751A5610"/>
    <w:rsid w:val="751D0C5C"/>
    <w:rsid w:val="751D2A0A"/>
    <w:rsid w:val="752124FA"/>
    <w:rsid w:val="75226C5F"/>
    <w:rsid w:val="75283FB3"/>
    <w:rsid w:val="752D2A57"/>
    <w:rsid w:val="753A35BC"/>
    <w:rsid w:val="753E2D17"/>
    <w:rsid w:val="75407F5D"/>
    <w:rsid w:val="75412B96"/>
    <w:rsid w:val="75414891"/>
    <w:rsid w:val="75501031"/>
    <w:rsid w:val="75531E96"/>
    <w:rsid w:val="755521A4"/>
    <w:rsid w:val="755C3532"/>
    <w:rsid w:val="75706FDE"/>
    <w:rsid w:val="75736ACE"/>
    <w:rsid w:val="757A7E5C"/>
    <w:rsid w:val="75845136"/>
    <w:rsid w:val="75881403"/>
    <w:rsid w:val="759576A7"/>
    <w:rsid w:val="75970A0E"/>
    <w:rsid w:val="75976C60"/>
    <w:rsid w:val="75994786"/>
    <w:rsid w:val="75AB6268"/>
    <w:rsid w:val="75BA64AB"/>
    <w:rsid w:val="75BF1DDE"/>
    <w:rsid w:val="75C17229"/>
    <w:rsid w:val="75C335B1"/>
    <w:rsid w:val="75C80561"/>
    <w:rsid w:val="75D43DFF"/>
    <w:rsid w:val="75D57D60"/>
    <w:rsid w:val="75DE52A1"/>
    <w:rsid w:val="75DF4926"/>
    <w:rsid w:val="75DF5F11"/>
    <w:rsid w:val="75E1341E"/>
    <w:rsid w:val="75E55F74"/>
    <w:rsid w:val="75F145C2"/>
    <w:rsid w:val="75F47C0F"/>
    <w:rsid w:val="75F52CE2"/>
    <w:rsid w:val="76004806"/>
    <w:rsid w:val="7608190C"/>
    <w:rsid w:val="761B163F"/>
    <w:rsid w:val="761C60D6"/>
    <w:rsid w:val="761E6A3A"/>
    <w:rsid w:val="762541FD"/>
    <w:rsid w:val="76276AEF"/>
    <w:rsid w:val="762D1373"/>
    <w:rsid w:val="76312C11"/>
    <w:rsid w:val="763A5F4B"/>
    <w:rsid w:val="763F656D"/>
    <w:rsid w:val="76432944"/>
    <w:rsid w:val="76500BBD"/>
    <w:rsid w:val="76547324"/>
    <w:rsid w:val="76592168"/>
    <w:rsid w:val="765F1837"/>
    <w:rsid w:val="766703E1"/>
    <w:rsid w:val="76832D41"/>
    <w:rsid w:val="768A2321"/>
    <w:rsid w:val="768E1E11"/>
    <w:rsid w:val="76967448"/>
    <w:rsid w:val="769E5DCD"/>
    <w:rsid w:val="76A34141"/>
    <w:rsid w:val="76C4105A"/>
    <w:rsid w:val="76C53359"/>
    <w:rsid w:val="76C5516E"/>
    <w:rsid w:val="76CC7399"/>
    <w:rsid w:val="76E61C4D"/>
    <w:rsid w:val="76E77774"/>
    <w:rsid w:val="76E900C4"/>
    <w:rsid w:val="76EA2DC0"/>
    <w:rsid w:val="76F347DF"/>
    <w:rsid w:val="76F93003"/>
    <w:rsid w:val="76FD0D45"/>
    <w:rsid w:val="770B16B4"/>
    <w:rsid w:val="7716239F"/>
    <w:rsid w:val="77182914"/>
    <w:rsid w:val="77185E98"/>
    <w:rsid w:val="7725049C"/>
    <w:rsid w:val="772A140E"/>
    <w:rsid w:val="77305821"/>
    <w:rsid w:val="773329B9"/>
    <w:rsid w:val="773F310C"/>
    <w:rsid w:val="77470212"/>
    <w:rsid w:val="774E3661"/>
    <w:rsid w:val="77572676"/>
    <w:rsid w:val="776E579F"/>
    <w:rsid w:val="77701CC3"/>
    <w:rsid w:val="777728A5"/>
    <w:rsid w:val="777A2396"/>
    <w:rsid w:val="777C7EBC"/>
    <w:rsid w:val="777E6082"/>
    <w:rsid w:val="777F79AC"/>
    <w:rsid w:val="7795177F"/>
    <w:rsid w:val="77974740"/>
    <w:rsid w:val="77A15B74"/>
    <w:rsid w:val="77A318CD"/>
    <w:rsid w:val="77A62A1E"/>
    <w:rsid w:val="77AC0DE5"/>
    <w:rsid w:val="77AE29E4"/>
    <w:rsid w:val="77B90058"/>
    <w:rsid w:val="77C22980"/>
    <w:rsid w:val="77D62B50"/>
    <w:rsid w:val="77D83DA3"/>
    <w:rsid w:val="77DC095A"/>
    <w:rsid w:val="77E67A2B"/>
    <w:rsid w:val="77FA5285"/>
    <w:rsid w:val="78063C29"/>
    <w:rsid w:val="780B56E4"/>
    <w:rsid w:val="780D6D66"/>
    <w:rsid w:val="780F53C1"/>
    <w:rsid w:val="78104AA8"/>
    <w:rsid w:val="781E79F3"/>
    <w:rsid w:val="782D7408"/>
    <w:rsid w:val="782F19C0"/>
    <w:rsid w:val="783071CB"/>
    <w:rsid w:val="783340D9"/>
    <w:rsid w:val="78393FFF"/>
    <w:rsid w:val="783C3AEF"/>
    <w:rsid w:val="783C764B"/>
    <w:rsid w:val="783D765C"/>
    <w:rsid w:val="784D3606"/>
    <w:rsid w:val="7855070D"/>
    <w:rsid w:val="78580F26"/>
    <w:rsid w:val="786F10E0"/>
    <w:rsid w:val="78715547"/>
    <w:rsid w:val="78801C2E"/>
    <w:rsid w:val="788B412F"/>
    <w:rsid w:val="789334DB"/>
    <w:rsid w:val="78992CEF"/>
    <w:rsid w:val="78A9267C"/>
    <w:rsid w:val="78AA6B87"/>
    <w:rsid w:val="78B95180"/>
    <w:rsid w:val="78C23FF4"/>
    <w:rsid w:val="78CB5A16"/>
    <w:rsid w:val="78CF04BF"/>
    <w:rsid w:val="78D45AD6"/>
    <w:rsid w:val="78DB2304"/>
    <w:rsid w:val="78E0091E"/>
    <w:rsid w:val="78F148D9"/>
    <w:rsid w:val="78F32400"/>
    <w:rsid w:val="78F87A16"/>
    <w:rsid w:val="79006304"/>
    <w:rsid w:val="79082DE9"/>
    <w:rsid w:val="79144124"/>
    <w:rsid w:val="791C748B"/>
    <w:rsid w:val="79226841"/>
    <w:rsid w:val="792451CB"/>
    <w:rsid w:val="792A1B99"/>
    <w:rsid w:val="792E012A"/>
    <w:rsid w:val="7936053E"/>
    <w:rsid w:val="793A7D4D"/>
    <w:rsid w:val="793B731B"/>
    <w:rsid w:val="793D7B1F"/>
    <w:rsid w:val="79427A26"/>
    <w:rsid w:val="79437A38"/>
    <w:rsid w:val="795007F8"/>
    <w:rsid w:val="796F5BA0"/>
    <w:rsid w:val="797057FE"/>
    <w:rsid w:val="79716072"/>
    <w:rsid w:val="797479D7"/>
    <w:rsid w:val="79782905"/>
    <w:rsid w:val="797A01B0"/>
    <w:rsid w:val="79815C5D"/>
    <w:rsid w:val="79873D98"/>
    <w:rsid w:val="79890FB1"/>
    <w:rsid w:val="798968C0"/>
    <w:rsid w:val="79984D55"/>
    <w:rsid w:val="79A05460"/>
    <w:rsid w:val="79A47B9E"/>
    <w:rsid w:val="79A679D2"/>
    <w:rsid w:val="79BA4CCB"/>
    <w:rsid w:val="79BB3AEB"/>
    <w:rsid w:val="79BE0C60"/>
    <w:rsid w:val="79C04923"/>
    <w:rsid w:val="79D23A0D"/>
    <w:rsid w:val="79D55FA9"/>
    <w:rsid w:val="79D57D57"/>
    <w:rsid w:val="79D73ACF"/>
    <w:rsid w:val="79D97847"/>
    <w:rsid w:val="79E1494E"/>
    <w:rsid w:val="79EB767A"/>
    <w:rsid w:val="79EF21D4"/>
    <w:rsid w:val="79F503F9"/>
    <w:rsid w:val="79F857F4"/>
    <w:rsid w:val="7A0B0092"/>
    <w:rsid w:val="7A0B19CB"/>
    <w:rsid w:val="7A0E55DE"/>
    <w:rsid w:val="7A0F48F9"/>
    <w:rsid w:val="7A111E17"/>
    <w:rsid w:val="7A14525C"/>
    <w:rsid w:val="7A1563A6"/>
    <w:rsid w:val="7A3B7CAD"/>
    <w:rsid w:val="7A3E3B4E"/>
    <w:rsid w:val="7A410F49"/>
    <w:rsid w:val="7A460C55"/>
    <w:rsid w:val="7A4976F0"/>
    <w:rsid w:val="7A4B25C1"/>
    <w:rsid w:val="7A4E0C63"/>
    <w:rsid w:val="7A5015BA"/>
    <w:rsid w:val="7A5041C2"/>
    <w:rsid w:val="7A540C7C"/>
    <w:rsid w:val="7A5C5D83"/>
    <w:rsid w:val="7A5E7D4D"/>
    <w:rsid w:val="7A5F2964"/>
    <w:rsid w:val="7A622A67"/>
    <w:rsid w:val="7A6252C0"/>
    <w:rsid w:val="7A65732D"/>
    <w:rsid w:val="7A682979"/>
    <w:rsid w:val="7A6C3430"/>
    <w:rsid w:val="7A792DD8"/>
    <w:rsid w:val="7A7A1FAC"/>
    <w:rsid w:val="7A7D175E"/>
    <w:rsid w:val="7A88301C"/>
    <w:rsid w:val="7A966C90"/>
    <w:rsid w:val="7A9944E2"/>
    <w:rsid w:val="7A9A3F8D"/>
    <w:rsid w:val="7AA634A2"/>
    <w:rsid w:val="7AA76C4E"/>
    <w:rsid w:val="7AAF05A8"/>
    <w:rsid w:val="7AC2202C"/>
    <w:rsid w:val="7AC87800"/>
    <w:rsid w:val="7AE77D42"/>
    <w:rsid w:val="7AE85868"/>
    <w:rsid w:val="7AE91D0C"/>
    <w:rsid w:val="7AEF309B"/>
    <w:rsid w:val="7AF1296F"/>
    <w:rsid w:val="7AF75AAB"/>
    <w:rsid w:val="7AFA0BE3"/>
    <w:rsid w:val="7AFC0BBE"/>
    <w:rsid w:val="7B032B57"/>
    <w:rsid w:val="7B1228E5"/>
    <w:rsid w:val="7B191EC6"/>
    <w:rsid w:val="7B1B79EC"/>
    <w:rsid w:val="7B1F104A"/>
    <w:rsid w:val="7B237F99"/>
    <w:rsid w:val="7B3A4316"/>
    <w:rsid w:val="7B3F192C"/>
    <w:rsid w:val="7B4262F4"/>
    <w:rsid w:val="7B474C85"/>
    <w:rsid w:val="7B4E1196"/>
    <w:rsid w:val="7B546BB3"/>
    <w:rsid w:val="7B556AFD"/>
    <w:rsid w:val="7B607AF4"/>
    <w:rsid w:val="7B62561B"/>
    <w:rsid w:val="7B656EB9"/>
    <w:rsid w:val="7B6868F1"/>
    <w:rsid w:val="7B6A44CF"/>
    <w:rsid w:val="7B7D2454"/>
    <w:rsid w:val="7B810197"/>
    <w:rsid w:val="7B843FE8"/>
    <w:rsid w:val="7B86755B"/>
    <w:rsid w:val="7B8B2DC3"/>
    <w:rsid w:val="7B8C2622"/>
    <w:rsid w:val="7B933A26"/>
    <w:rsid w:val="7B9E325B"/>
    <w:rsid w:val="7BA31081"/>
    <w:rsid w:val="7BA34BEE"/>
    <w:rsid w:val="7BAE260E"/>
    <w:rsid w:val="7BAF3506"/>
    <w:rsid w:val="7BB07D83"/>
    <w:rsid w:val="7BB26A48"/>
    <w:rsid w:val="7BB8348D"/>
    <w:rsid w:val="7BBA5457"/>
    <w:rsid w:val="7BBF25EE"/>
    <w:rsid w:val="7BC057F5"/>
    <w:rsid w:val="7BC26E97"/>
    <w:rsid w:val="7BC63D37"/>
    <w:rsid w:val="7BDA1655"/>
    <w:rsid w:val="7BEE5100"/>
    <w:rsid w:val="7BF00E78"/>
    <w:rsid w:val="7BFC5A6F"/>
    <w:rsid w:val="7C1508DF"/>
    <w:rsid w:val="7C156B31"/>
    <w:rsid w:val="7C1A283E"/>
    <w:rsid w:val="7C1D1542"/>
    <w:rsid w:val="7C1D7794"/>
    <w:rsid w:val="7C1E7D90"/>
    <w:rsid w:val="7C2D3E7B"/>
    <w:rsid w:val="7C333FF5"/>
    <w:rsid w:val="7C3B53E7"/>
    <w:rsid w:val="7C3D3992"/>
    <w:rsid w:val="7C3F595C"/>
    <w:rsid w:val="7C484810"/>
    <w:rsid w:val="7C4D1E27"/>
    <w:rsid w:val="7C550AD0"/>
    <w:rsid w:val="7C5A34B2"/>
    <w:rsid w:val="7C5C3E92"/>
    <w:rsid w:val="7C6D4277"/>
    <w:rsid w:val="7C727FF8"/>
    <w:rsid w:val="7C745605"/>
    <w:rsid w:val="7C8415C1"/>
    <w:rsid w:val="7C86358B"/>
    <w:rsid w:val="7C9C4B5C"/>
    <w:rsid w:val="7C9F63FA"/>
    <w:rsid w:val="7CA103C5"/>
    <w:rsid w:val="7CA16F84"/>
    <w:rsid w:val="7CAA1027"/>
    <w:rsid w:val="7CB347DD"/>
    <w:rsid w:val="7CB3691A"/>
    <w:rsid w:val="7CB77BE8"/>
    <w:rsid w:val="7CB82EF9"/>
    <w:rsid w:val="7CBB3234"/>
    <w:rsid w:val="7CBC0D5A"/>
    <w:rsid w:val="7CD21534"/>
    <w:rsid w:val="7CD8031A"/>
    <w:rsid w:val="7CE37753"/>
    <w:rsid w:val="7CF24C47"/>
    <w:rsid w:val="7CF36E72"/>
    <w:rsid w:val="7D032E2D"/>
    <w:rsid w:val="7D037768"/>
    <w:rsid w:val="7D060228"/>
    <w:rsid w:val="7D093F3C"/>
    <w:rsid w:val="7D20578D"/>
    <w:rsid w:val="7D2A660C"/>
    <w:rsid w:val="7D2F59D0"/>
    <w:rsid w:val="7D31153F"/>
    <w:rsid w:val="7D3134F6"/>
    <w:rsid w:val="7D341239"/>
    <w:rsid w:val="7D4A0A5C"/>
    <w:rsid w:val="7D4D591D"/>
    <w:rsid w:val="7D556349"/>
    <w:rsid w:val="7D5F41FC"/>
    <w:rsid w:val="7D6D20FD"/>
    <w:rsid w:val="7D6E02A7"/>
    <w:rsid w:val="7D715E51"/>
    <w:rsid w:val="7D844C3D"/>
    <w:rsid w:val="7D861420"/>
    <w:rsid w:val="7D8A1BBB"/>
    <w:rsid w:val="7D8E7338"/>
    <w:rsid w:val="7D8F021D"/>
    <w:rsid w:val="7D9D0B8C"/>
    <w:rsid w:val="7D9D3A60"/>
    <w:rsid w:val="7DA243F4"/>
    <w:rsid w:val="7DAF266D"/>
    <w:rsid w:val="7DB008BF"/>
    <w:rsid w:val="7DB27B05"/>
    <w:rsid w:val="7DB303AF"/>
    <w:rsid w:val="7DC0216A"/>
    <w:rsid w:val="7DC73988"/>
    <w:rsid w:val="7DCD280A"/>
    <w:rsid w:val="7DD97964"/>
    <w:rsid w:val="7DE62533"/>
    <w:rsid w:val="7DEC38C1"/>
    <w:rsid w:val="7E077F10"/>
    <w:rsid w:val="7E0806FB"/>
    <w:rsid w:val="7E183290"/>
    <w:rsid w:val="7E1C4077"/>
    <w:rsid w:val="7E2272E3"/>
    <w:rsid w:val="7E2748F9"/>
    <w:rsid w:val="7E3C4407"/>
    <w:rsid w:val="7E3F39F1"/>
    <w:rsid w:val="7E413C0D"/>
    <w:rsid w:val="7E4436FD"/>
    <w:rsid w:val="7E452AAE"/>
    <w:rsid w:val="7E492AC2"/>
    <w:rsid w:val="7E553215"/>
    <w:rsid w:val="7E5751DF"/>
    <w:rsid w:val="7E5C27F5"/>
    <w:rsid w:val="7E5C7A06"/>
    <w:rsid w:val="7E6B6249"/>
    <w:rsid w:val="7E747B3F"/>
    <w:rsid w:val="7E823BED"/>
    <w:rsid w:val="7E834226"/>
    <w:rsid w:val="7E924469"/>
    <w:rsid w:val="7E97382D"/>
    <w:rsid w:val="7E9E1DD6"/>
    <w:rsid w:val="7EA6304A"/>
    <w:rsid w:val="7EAA3560"/>
    <w:rsid w:val="7EB75C7D"/>
    <w:rsid w:val="7EB9415E"/>
    <w:rsid w:val="7EBB576E"/>
    <w:rsid w:val="7EBE0979"/>
    <w:rsid w:val="7EC140A8"/>
    <w:rsid w:val="7EC26734"/>
    <w:rsid w:val="7ECB797B"/>
    <w:rsid w:val="7ED34512"/>
    <w:rsid w:val="7EE50A3C"/>
    <w:rsid w:val="7EEA08E1"/>
    <w:rsid w:val="7EED5B43"/>
    <w:rsid w:val="7F17496E"/>
    <w:rsid w:val="7F196938"/>
    <w:rsid w:val="7F197A46"/>
    <w:rsid w:val="7F1F0835"/>
    <w:rsid w:val="7F2A28F3"/>
    <w:rsid w:val="7F2C62F3"/>
    <w:rsid w:val="7F2F36CA"/>
    <w:rsid w:val="7F3044B7"/>
    <w:rsid w:val="7F3724AB"/>
    <w:rsid w:val="7F3B240A"/>
    <w:rsid w:val="7F482D79"/>
    <w:rsid w:val="7F573E95"/>
    <w:rsid w:val="7F64085D"/>
    <w:rsid w:val="7F6556D9"/>
    <w:rsid w:val="7F6A231E"/>
    <w:rsid w:val="7F6A7194"/>
    <w:rsid w:val="7F6F47AA"/>
    <w:rsid w:val="7F6F6FA7"/>
    <w:rsid w:val="7F7E628A"/>
    <w:rsid w:val="7F825137"/>
    <w:rsid w:val="7F8B40AC"/>
    <w:rsid w:val="7F923FF5"/>
    <w:rsid w:val="7F947D6D"/>
    <w:rsid w:val="7F9D2D4B"/>
    <w:rsid w:val="7FA2692E"/>
    <w:rsid w:val="7FAA0C38"/>
    <w:rsid w:val="7FAA25F0"/>
    <w:rsid w:val="7FAA665B"/>
    <w:rsid w:val="7FAC73FC"/>
    <w:rsid w:val="7FAD7A09"/>
    <w:rsid w:val="7FAF448D"/>
    <w:rsid w:val="7FB322C3"/>
    <w:rsid w:val="7FB4040F"/>
    <w:rsid w:val="7FB448BB"/>
    <w:rsid w:val="7FC0260D"/>
    <w:rsid w:val="7FCB7C32"/>
    <w:rsid w:val="7FD05249"/>
    <w:rsid w:val="7FD743E8"/>
    <w:rsid w:val="7FD84C7D"/>
    <w:rsid w:val="7FDD1714"/>
    <w:rsid w:val="7FDD34C2"/>
    <w:rsid w:val="7FDF36DE"/>
    <w:rsid w:val="7FE5681A"/>
    <w:rsid w:val="7FF931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qFormat="1" w:unhideWhenUsed="0" w:uiPriority="0" w:semiHidden="0"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qFormat="1" w:unhideWhenUsed="0" w:uiPriority="0" w:semiHidden="0"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qFormat="1"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qFormat="1" w:unhideWhenUsed="0" w:uiPriority="0" w:semiHidden="0" w:name="Signature"/>
    <w:lsdException w:qFormat="1" w:uiPriority="1" w:name="Default Paragraph Font"/>
    <w:lsdException w:qFormat="1" w:unhideWhenUsed="0"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nhideWhenUsed="0" w:uiPriority="0" w:semiHidden="0" w:name="Message Header"/>
    <w:lsdException w:qFormat="1" w:unhideWhenUsed="0" w:uiPriority="11" w:semiHidden="0" w:name="Subtitle"/>
    <w:lsdException w:uiPriority="99" w:name="Salutation"/>
    <w:lsdException w:qFormat="1" w:uiPriority="0" w:semiHidden="0" w:name="Date"/>
    <w:lsdException w:qFormat="1" w:unhideWhenUsed="0" w:uiPriority="99" w:semiHidden="0" w:name="Body Text First Indent"/>
    <w:lsdException w:qFormat="1" w:unhideWhenUsed="0" w:uiPriority="99" w:semiHidden="0" w:name="Body Text First Indent 2"/>
    <w:lsdException w:qFormat="1" w:unhideWhenUsed="0" w:uiPriority="0" w:semiHidden="0" w:name="Note Heading"/>
    <w:lsdException w:qFormat="1" w:unhideWhenUsed="0" w:uiPriority="99" w:semiHidden="0" w:name="Body Text 2"/>
    <w:lsdException w:uiPriority="99"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iPriority="0" w:semiHidden="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qFormat="1" w:unhideWhenUsed="0" w:uiPriority="0" w:semiHidden="0"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59" w:semiHidden="0" w:name="Table Grid"/>
    <w:lsdException w:uiPriority="99" w:name="Table Theme"/>
    <w:lsdException w:qFormat="1" w:unhideWhenUsed="0" w:uiPriority="99" w:name="Placeholder Text"/>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360" w:lineRule="auto"/>
      <w:ind w:firstLine="200" w:firstLineChars="200"/>
      <w:jc w:val="both"/>
    </w:pPr>
    <w:rPr>
      <w:rFonts w:ascii="Times New Roman" w:hAnsi="Times New Roman" w:eastAsia="宋体" w:cs="Times New Roman"/>
      <w:kern w:val="2"/>
      <w:sz w:val="24"/>
      <w:lang w:val="en-US" w:eastAsia="zh-CN" w:bidi="ar-SA"/>
    </w:rPr>
  </w:style>
  <w:style w:type="paragraph" w:styleId="2">
    <w:name w:val="heading 1"/>
    <w:basedOn w:val="1"/>
    <w:next w:val="1"/>
    <w:link w:val="62"/>
    <w:qFormat/>
    <w:uiPriority w:val="0"/>
    <w:pPr>
      <w:numPr>
        <w:ilvl w:val="0"/>
        <w:numId w:val="1"/>
      </w:numPr>
      <w:ind w:firstLine="0" w:firstLineChars="0"/>
      <w:jc w:val="center"/>
      <w:outlineLvl w:val="0"/>
    </w:pPr>
    <w:rPr>
      <w:b/>
      <w:bCs/>
      <w:kern w:val="44"/>
      <w:sz w:val="30"/>
      <w:szCs w:val="44"/>
    </w:rPr>
  </w:style>
  <w:style w:type="paragraph" w:styleId="3">
    <w:name w:val="heading 2"/>
    <w:basedOn w:val="1"/>
    <w:next w:val="1"/>
    <w:link w:val="63"/>
    <w:qFormat/>
    <w:uiPriority w:val="0"/>
    <w:pPr>
      <w:ind w:firstLine="0" w:firstLineChars="0"/>
      <w:outlineLvl w:val="1"/>
    </w:pPr>
    <w:rPr>
      <w:b/>
      <w:bCs/>
      <w:kern w:val="0"/>
      <w:sz w:val="30"/>
      <w:szCs w:val="32"/>
    </w:rPr>
  </w:style>
  <w:style w:type="paragraph" w:styleId="4">
    <w:name w:val="heading 3"/>
    <w:basedOn w:val="1"/>
    <w:next w:val="1"/>
    <w:link w:val="64"/>
    <w:qFormat/>
    <w:uiPriority w:val="0"/>
    <w:pPr>
      <w:adjustRightInd w:val="0"/>
      <w:snapToGrid w:val="0"/>
      <w:ind w:firstLine="0" w:firstLineChars="0"/>
      <w:outlineLvl w:val="2"/>
    </w:pPr>
    <w:rPr>
      <w:b/>
      <w:bCs/>
      <w:snapToGrid w:val="0"/>
      <w:kern w:val="0"/>
      <w:sz w:val="28"/>
    </w:rPr>
  </w:style>
  <w:style w:type="paragraph" w:styleId="5">
    <w:name w:val="heading 4"/>
    <w:basedOn w:val="1"/>
    <w:next w:val="1"/>
    <w:link w:val="65"/>
    <w:qFormat/>
    <w:uiPriority w:val="0"/>
    <w:pPr>
      <w:tabs>
        <w:tab w:val="left" w:pos="5400"/>
      </w:tabs>
      <w:ind w:firstLine="0" w:firstLineChars="0"/>
      <w:outlineLvl w:val="3"/>
    </w:pPr>
    <w:rPr>
      <w:b/>
      <w:bCs/>
      <w:szCs w:val="28"/>
    </w:rPr>
  </w:style>
  <w:style w:type="paragraph" w:styleId="6">
    <w:name w:val="heading 5"/>
    <w:next w:val="1"/>
    <w:link w:val="66"/>
    <w:unhideWhenUsed/>
    <w:qFormat/>
    <w:uiPriority w:val="0"/>
    <w:pPr>
      <w:keepLines/>
      <w:adjustRightInd w:val="0"/>
      <w:snapToGrid w:val="0"/>
      <w:jc w:val="center"/>
      <w:outlineLvl w:val="4"/>
    </w:pPr>
    <w:rPr>
      <w:rFonts w:ascii="Times New Roman" w:hAnsi="Times New Roman" w:eastAsia="宋体" w:cs="Times New Roman"/>
      <w:b/>
      <w:bCs/>
      <w:kern w:val="2"/>
      <w:sz w:val="24"/>
      <w:szCs w:val="28"/>
      <w:lang w:val="en-US" w:eastAsia="zh-CN" w:bidi="ar-SA"/>
    </w:rPr>
  </w:style>
  <w:style w:type="paragraph" w:styleId="7">
    <w:name w:val="heading 6"/>
    <w:basedOn w:val="1"/>
    <w:next w:val="1"/>
    <w:link w:val="67"/>
    <w:unhideWhenUsed/>
    <w:qFormat/>
    <w:uiPriority w:val="9"/>
    <w:pPr>
      <w:keepNext/>
      <w:keepLines/>
      <w:spacing w:before="240" w:after="64" w:line="320" w:lineRule="auto"/>
      <w:outlineLvl w:val="5"/>
    </w:pPr>
    <w:rPr>
      <w:rFonts w:asciiTheme="majorHAnsi" w:hAnsiTheme="majorHAnsi" w:eastAsiaTheme="majorEastAsia" w:cstheme="majorBidi"/>
      <w:b/>
      <w:bCs/>
      <w:szCs w:val="24"/>
    </w:rPr>
  </w:style>
  <w:style w:type="paragraph" w:styleId="8">
    <w:name w:val="heading 7"/>
    <w:basedOn w:val="1"/>
    <w:next w:val="1"/>
    <w:link w:val="68"/>
    <w:unhideWhenUsed/>
    <w:qFormat/>
    <w:uiPriority w:val="9"/>
    <w:pPr>
      <w:spacing w:before="240" w:after="60"/>
      <w:outlineLvl w:val="6"/>
    </w:pPr>
    <w:rPr>
      <w:rFonts w:ascii="Calibri" w:hAnsi="Calibri"/>
      <w:kern w:val="0"/>
      <w:szCs w:val="24"/>
    </w:rPr>
  </w:style>
  <w:style w:type="paragraph" w:styleId="9">
    <w:name w:val="heading 8"/>
    <w:basedOn w:val="1"/>
    <w:next w:val="1"/>
    <w:link w:val="69"/>
    <w:autoRedefine/>
    <w:unhideWhenUsed/>
    <w:qFormat/>
    <w:uiPriority w:val="9"/>
    <w:pPr>
      <w:spacing w:before="240" w:after="60"/>
      <w:outlineLvl w:val="7"/>
    </w:pPr>
    <w:rPr>
      <w:rFonts w:ascii="Calibri" w:hAnsi="Calibri"/>
      <w:i/>
      <w:iCs/>
      <w:kern w:val="0"/>
      <w:szCs w:val="24"/>
    </w:rPr>
  </w:style>
  <w:style w:type="paragraph" w:styleId="10">
    <w:name w:val="heading 9"/>
    <w:basedOn w:val="1"/>
    <w:next w:val="1"/>
    <w:link w:val="70"/>
    <w:autoRedefine/>
    <w:unhideWhenUsed/>
    <w:qFormat/>
    <w:uiPriority w:val="9"/>
    <w:pPr>
      <w:spacing w:before="240" w:after="60"/>
      <w:outlineLvl w:val="8"/>
    </w:pPr>
    <w:rPr>
      <w:rFonts w:ascii="Cambria" w:hAnsi="Cambria"/>
      <w:kern w:val="0"/>
      <w:sz w:val="20"/>
    </w:rPr>
  </w:style>
  <w:style w:type="character" w:default="1" w:styleId="52">
    <w:name w:val="Default Paragraph Font"/>
    <w:autoRedefine/>
    <w:semiHidden/>
    <w:unhideWhenUsed/>
    <w:qFormat/>
    <w:uiPriority w:val="1"/>
  </w:style>
  <w:style w:type="table" w:default="1" w:styleId="49">
    <w:name w:val="Normal Table"/>
    <w:autoRedefine/>
    <w:semiHidden/>
    <w:unhideWhenUsed/>
    <w:qFormat/>
    <w:uiPriority w:val="99"/>
    <w:tblPr>
      <w:tblCellMar>
        <w:top w:w="0" w:type="dxa"/>
        <w:left w:w="108" w:type="dxa"/>
        <w:bottom w:w="0" w:type="dxa"/>
        <w:right w:w="108" w:type="dxa"/>
      </w:tblCellMar>
    </w:tblPr>
  </w:style>
  <w:style w:type="paragraph" w:styleId="11">
    <w:name w:val="toc 7"/>
    <w:basedOn w:val="1"/>
    <w:next w:val="1"/>
    <w:autoRedefine/>
    <w:unhideWhenUsed/>
    <w:qFormat/>
    <w:uiPriority w:val="39"/>
    <w:pPr>
      <w:spacing w:after="100" w:line="276" w:lineRule="auto"/>
      <w:ind w:left="1320"/>
    </w:pPr>
    <w:rPr>
      <w:rFonts w:ascii="Calibri" w:hAnsi="Calibri"/>
      <w:kern w:val="0"/>
      <w:sz w:val="22"/>
      <w:szCs w:val="22"/>
      <w:lang w:val="en-GB"/>
    </w:rPr>
  </w:style>
  <w:style w:type="paragraph" w:styleId="12">
    <w:name w:val="Note Heading"/>
    <w:basedOn w:val="1"/>
    <w:next w:val="1"/>
    <w:autoRedefine/>
    <w:qFormat/>
    <w:uiPriority w:val="0"/>
    <w:pPr>
      <w:jc w:val="left"/>
    </w:pPr>
  </w:style>
  <w:style w:type="paragraph" w:styleId="13">
    <w:name w:val="List Number"/>
    <w:basedOn w:val="1"/>
    <w:autoRedefine/>
    <w:qFormat/>
    <w:uiPriority w:val="0"/>
    <w:pPr>
      <w:numPr>
        <w:ilvl w:val="0"/>
        <w:numId w:val="2"/>
      </w:numPr>
      <w:spacing w:line="420" w:lineRule="exact"/>
      <w:ind w:firstLine="0"/>
    </w:pPr>
  </w:style>
  <w:style w:type="paragraph" w:styleId="14">
    <w:name w:val="Normal Indent"/>
    <w:basedOn w:val="1"/>
    <w:next w:val="1"/>
    <w:autoRedefine/>
    <w:qFormat/>
    <w:uiPriority w:val="0"/>
    <w:pPr>
      <w:spacing w:line="240" w:lineRule="auto"/>
      <w:ind w:firstLine="420"/>
    </w:pPr>
    <w:rPr>
      <w:sz w:val="28"/>
      <w:szCs w:val="24"/>
    </w:rPr>
  </w:style>
  <w:style w:type="paragraph" w:styleId="15">
    <w:name w:val="caption"/>
    <w:basedOn w:val="1"/>
    <w:next w:val="1"/>
    <w:autoRedefine/>
    <w:qFormat/>
    <w:uiPriority w:val="0"/>
    <w:pPr>
      <w:keepNext/>
      <w:spacing w:line="240" w:lineRule="auto"/>
      <w:jc w:val="center"/>
    </w:pPr>
    <w:rPr>
      <w:b/>
      <w:sz w:val="21"/>
    </w:rPr>
  </w:style>
  <w:style w:type="paragraph" w:styleId="16">
    <w:name w:val="Document Map"/>
    <w:basedOn w:val="1"/>
    <w:link w:val="135"/>
    <w:autoRedefine/>
    <w:unhideWhenUsed/>
    <w:qFormat/>
    <w:uiPriority w:val="0"/>
    <w:rPr>
      <w:rFonts w:ascii="宋体"/>
      <w:sz w:val="18"/>
      <w:szCs w:val="18"/>
    </w:rPr>
  </w:style>
  <w:style w:type="paragraph" w:styleId="17">
    <w:name w:val="annotation text"/>
    <w:basedOn w:val="1"/>
    <w:link w:val="72"/>
    <w:unhideWhenUsed/>
    <w:qFormat/>
    <w:uiPriority w:val="0"/>
    <w:pPr>
      <w:ind w:firstLine="95" w:firstLineChars="95"/>
    </w:pPr>
  </w:style>
  <w:style w:type="paragraph" w:styleId="18">
    <w:name w:val="Body Text"/>
    <w:basedOn w:val="1"/>
    <w:link w:val="89"/>
    <w:qFormat/>
    <w:uiPriority w:val="0"/>
    <w:rPr>
      <w:rFonts w:ascii="宋体" w:hAnsi="宋体" w:cs="宋体"/>
      <w:sz w:val="21"/>
      <w:szCs w:val="21"/>
      <w:lang w:eastAsia="en-US" w:bidi="en-US"/>
    </w:rPr>
  </w:style>
  <w:style w:type="paragraph" w:styleId="19">
    <w:name w:val="Body Text Indent"/>
    <w:basedOn w:val="1"/>
    <w:next w:val="20"/>
    <w:link w:val="136"/>
    <w:unhideWhenUsed/>
    <w:qFormat/>
    <w:uiPriority w:val="0"/>
    <w:pPr>
      <w:spacing w:after="120"/>
      <w:ind w:left="420" w:leftChars="200"/>
    </w:pPr>
    <w:rPr>
      <w:szCs w:val="24"/>
    </w:rPr>
  </w:style>
  <w:style w:type="paragraph" w:styleId="20">
    <w:name w:val="Body Text First Indent 2"/>
    <w:basedOn w:val="19"/>
    <w:next w:val="21"/>
    <w:link w:val="148"/>
    <w:qFormat/>
    <w:uiPriority w:val="99"/>
    <w:pPr>
      <w:snapToGrid w:val="0"/>
      <w:ind w:firstLine="420"/>
    </w:pPr>
  </w:style>
  <w:style w:type="paragraph" w:styleId="21">
    <w:name w:val="Body Text First Indent"/>
    <w:basedOn w:val="18"/>
    <w:next w:val="1"/>
    <w:link w:val="147"/>
    <w:qFormat/>
    <w:uiPriority w:val="99"/>
    <w:pPr>
      <w:snapToGrid w:val="0"/>
      <w:spacing w:after="120" w:line="240" w:lineRule="auto"/>
      <w:ind w:firstLine="420" w:firstLineChars="100"/>
    </w:pPr>
    <w:rPr>
      <w:rFonts w:hAnsi="Times New Roman" w:cs="Times New Roman"/>
      <w:sz w:val="28"/>
      <w:szCs w:val="20"/>
      <w:lang w:eastAsia="zh-CN" w:bidi="ar-SA"/>
    </w:rPr>
  </w:style>
  <w:style w:type="paragraph" w:styleId="22">
    <w:name w:val="Block Text"/>
    <w:basedOn w:val="1"/>
    <w:qFormat/>
    <w:uiPriority w:val="99"/>
    <w:pPr>
      <w:adjustRightInd w:val="0"/>
      <w:spacing w:line="500" w:lineRule="exact"/>
      <w:ind w:left="57" w:right="113"/>
      <w:textAlignment w:val="baseline"/>
    </w:pPr>
    <w:rPr>
      <w:rFonts w:ascii="宋体"/>
      <w:kern w:val="0"/>
      <w:sz w:val="28"/>
    </w:rPr>
  </w:style>
  <w:style w:type="paragraph" w:styleId="23">
    <w:name w:val="toc 5"/>
    <w:basedOn w:val="1"/>
    <w:next w:val="1"/>
    <w:unhideWhenUsed/>
    <w:qFormat/>
    <w:uiPriority w:val="39"/>
    <w:pPr>
      <w:spacing w:after="100" w:line="276" w:lineRule="auto"/>
      <w:ind w:left="880"/>
    </w:pPr>
    <w:rPr>
      <w:rFonts w:ascii="Calibri" w:hAnsi="Calibri"/>
      <w:kern w:val="0"/>
      <w:sz w:val="22"/>
      <w:szCs w:val="22"/>
      <w:lang w:val="en-GB"/>
    </w:rPr>
  </w:style>
  <w:style w:type="paragraph" w:styleId="24">
    <w:name w:val="toc 3"/>
    <w:basedOn w:val="1"/>
    <w:next w:val="1"/>
    <w:unhideWhenUsed/>
    <w:qFormat/>
    <w:uiPriority w:val="39"/>
    <w:pPr>
      <w:spacing w:after="100"/>
      <w:ind w:left="480"/>
    </w:pPr>
    <w:rPr>
      <w:szCs w:val="24"/>
    </w:rPr>
  </w:style>
  <w:style w:type="paragraph" w:styleId="25">
    <w:name w:val="Plain Text"/>
    <w:basedOn w:val="1"/>
    <w:next w:val="1"/>
    <w:link w:val="138"/>
    <w:qFormat/>
    <w:uiPriority w:val="0"/>
    <w:pPr>
      <w:spacing w:line="240" w:lineRule="auto"/>
    </w:pPr>
    <w:rPr>
      <w:sz w:val="21"/>
      <w:szCs w:val="24"/>
    </w:rPr>
  </w:style>
  <w:style w:type="paragraph" w:styleId="26">
    <w:name w:val="List Bullet 5"/>
    <w:basedOn w:val="1"/>
    <w:semiHidden/>
    <w:unhideWhenUsed/>
    <w:qFormat/>
    <w:uiPriority w:val="99"/>
    <w:pPr>
      <w:numPr>
        <w:ilvl w:val="0"/>
        <w:numId w:val="3"/>
      </w:numPr>
    </w:pPr>
  </w:style>
  <w:style w:type="paragraph" w:styleId="27">
    <w:name w:val="toc 8"/>
    <w:basedOn w:val="1"/>
    <w:next w:val="1"/>
    <w:unhideWhenUsed/>
    <w:qFormat/>
    <w:uiPriority w:val="39"/>
    <w:pPr>
      <w:spacing w:after="100" w:line="276" w:lineRule="auto"/>
      <w:ind w:left="1540"/>
    </w:pPr>
    <w:rPr>
      <w:rFonts w:ascii="Calibri" w:hAnsi="Calibri"/>
      <w:kern w:val="0"/>
      <w:sz w:val="22"/>
      <w:szCs w:val="22"/>
      <w:lang w:val="en-GB"/>
    </w:rPr>
  </w:style>
  <w:style w:type="paragraph" w:styleId="28">
    <w:name w:val="Date"/>
    <w:basedOn w:val="1"/>
    <w:next w:val="1"/>
    <w:link w:val="139"/>
    <w:unhideWhenUsed/>
    <w:qFormat/>
    <w:uiPriority w:val="0"/>
    <w:pPr>
      <w:ind w:left="100" w:leftChars="2500"/>
    </w:pPr>
    <w:rPr>
      <w:szCs w:val="24"/>
    </w:rPr>
  </w:style>
  <w:style w:type="paragraph" w:styleId="29">
    <w:name w:val="Body Text Indent 2"/>
    <w:basedOn w:val="1"/>
    <w:link w:val="140"/>
    <w:qFormat/>
    <w:uiPriority w:val="99"/>
    <w:pPr>
      <w:snapToGrid w:val="0"/>
      <w:ind w:firstLine="630"/>
    </w:pPr>
    <w:rPr>
      <w:szCs w:val="24"/>
    </w:rPr>
  </w:style>
  <w:style w:type="paragraph" w:styleId="30">
    <w:name w:val="Balloon Text"/>
    <w:basedOn w:val="1"/>
    <w:link w:val="79"/>
    <w:autoRedefine/>
    <w:qFormat/>
    <w:uiPriority w:val="99"/>
    <w:pPr>
      <w:spacing w:line="240" w:lineRule="auto"/>
    </w:pPr>
    <w:rPr>
      <w:rFonts w:ascii="宋体" w:hAnsiTheme="minorHAnsi" w:eastAsiaTheme="minorEastAsia" w:cstheme="minorBidi"/>
      <w:sz w:val="18"/>
      <w:szCs w:val="18"/>
    </w:rPr>
  </w:style>
  <w:style w:type="paragraph" w:styleId="31">
    <w:name w:val="footer"/>
    <w:basedOn w:val="1"/>
    <w:link w:val="85"/>
    <w:autoRedefine/>
    <w:qFormat/>
    <w:uiPriority w:val="99"/>
    <w:pPr>
      <w:tabs>
        <w:tab w:val="center" w:pos="4153"/>
        <w:tab w:val="right" w:pos="8306"/>
      </w:tabs>
      <w:snapToGrid w:val="0"/>
    </w:pPr>
    <w:rPr>
      <w:rFonts w:ascii="宋体" w:hAnsi="宋体"/>
      <w:sz w:val="18"/>
      <w:szCs w:val="18"/>
    </w:rPr>
  </w:style>
  <w:style w:type="paragraph" w:styleId="32">
    <w:name w:val="header"/>
    <w:basedOn w:val="1"/>
    <w:link w:val="104"/>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33">
    <w:name w:val="Signature"/>
    <w:basedOn w:val="18"/>
    <w:link w:val="141"/>
    <w:autoRedefine/>
    <w:qFormat/>
    <w:uiPriority w:val="0"/>
    <w:pPr>
      <w:keepNext/>
      <w:keepLines/>
      <w:spacing w:before="660"/>
    </w:pPr>
    <w:rPr>
      <w:rFonts w:ascii="Verdana" w:hAnsi="Verdana" w:cs="Times New Roman"/>
      <w:sz w:val="28"/>
      <w:szCs w:val="22"/>
      <w:lang w:eastAsia="zh-CN" w:bidi="ar-SA"/>
    </w:rPr>
  </w:style>
  <w:style w:type="paragraph" w:styleId="34">
    <w:name w:val="toc 1"/>
    <w:basedOn w:val="1"/>
    <w:next w:val="1"/>
    <w:link w:val="103"/>
    <w:autoRedefine/>
    <w:qFormat/>
    <w:uiPriority w:val="39"/>
    <w:rPr>
      <w:b/>
      <w:sz w:val="28"/>
    </w:rPr>
  </w:style>
  <w:style w:type="paragraph" w:styleId="35">
    <w:name w:val="toc 4"/>
    <w:basedOn w:val="1"/>
    <w:next w:val="1"/>
    <w:autoRedefine/>
    <w:unhideWhenUsed/>
    <w:qFormat/>
    <w:uiPriority w:val="39"/>
    <w:pPr>
      <w:spacing w:after="100" w:line="276" w:lineRule="auto"/>
      <w:ind w:left="660"/>
    </w:pPr>
    <w:rPr>
      <w:rFonts w:ascii="Calibri" w:hAnsi="Calibri"/>
      <w:kern w:val="0"/>
      <w:sz w:val="22"/>
      <w:szCs w:val="22"/>
      <w:lang w:val="en-GB"/>
    </w:rPr>
  </w:style>
  <w:style w:type="paragraph" w:styleId="36">
    <w:name w:val="Subtitle"/>
    <w:basedOn w:val="5"/>
    <w:next w:val="6"/>
    <w:link w:val="142"/>
    <w:autoRedefine/>
    <w:qFormat/>
    <w:uiPriority w:val="11"/>
    <w:pPr>
      <w:keepNext/>
      <w:tabs>
        <w:tab w:val="clear" w:pos="5400"/>
      </w:tabs>
      <w:ind w:firstLine="200" w:firstLineChars="200"/>
      <w:outlineLvl w:val="1"/>
    </w:pPr>
    <w:rPr>
      <w:kern w:val="0"/>
    </w:rPr>
  </w:style>
  <w:style w:type="paragraph" w:styleId="37">
    <w:name w:val="List"/>
    <w:basedOn w:val="1"/>
    <w:autoRedefine/>
    <w:qFormat/>
    <w:uiPriority w:val="0"/>
    <w:pPr>
      <w:spacing w:line="240" w:lineRule="auto"/>
      <w:ind w:left="420" w:hanging="420"/>
    </w:pPr>
    <w:rPr>
      <w:sz w:val="21"/>
    </w:rPr>
  </w:style>
  <w:style w:type="paragraph" w:styleId="38">
    <w:name w:val="toc 6"/>
    <w:basedOn w:val="1"/>
    <w:next w:val="1"/>
    <w:autoRedefine/>
    <w:unhideWhenUsed/>
    <w:qFormat/>
    <w:uiPriority w:val="39"/>
    <w:pPr>
      <w:spacing w:after="100" w:line="276" w:lineRule="auto"/>
      <w:ind w:left="1100"/>
    </w:pPr>
    <w:rPr>
      <w:rFonts w:ascii="Calibri" w:hAnsi="Calibri"/>
      <w:kern w:val="0"/>
      <w:sz w:val="22"/>
      <w:szCs w:val="22"/>
      <w:lang w:val="en-GB"/>
    </w:rPr>
  </w:style>
  <w:style w:type="paragraph" w:styleId="39">
    <w:name w:val="Body Text Indent 3"/>
    <w:basedOn w:val="1"/>
    <w:link w:val="143"/>
    <w:autoRedefine/>
    <w:qFormat/>
    <w:uiPriority w:val="99"/>
    <w:pPr>
      <w:snapToGrid w:val="0"/>
      <w:ind w:firstLine="420"/>
      <w:outlineLvl w:val="0"/>
    </w:pPr>
    <w:rPr>
      <w:sz w:val="16"/>
      <w:szCs w:val="16"/>
    </w:rPr>
  </w:style>
  <w:style w:type="paragraph" w:styleId="40">
    <w:name w:val="index 7"/>
    <w:basedOn w:val="1"/>
    <w:next w:val="1"/>
    <w:autoRedefine/>
    <w:qFormat/>
    <w:uiPriority w:val="0"/>
    <w:pPr>
      <w:ind w:left="1200" w:leftChars="1200"/>
    </w:pPr>
  </w:style>
  <w:style w:type="paragraph" w:styleId="41">
    <w:name w:val="toc 2"/>
    <w:basedOn w:val="1"/>
    <w:next w:val="1"/>
    <w:link w:val="88"/>
    <w:autoRedefine/>
    <w:qFormat/>
    <w:uiPriority w:val="39"/>
  </w:style>
  <w:style w:type="paragraph" w:styleId="42">
    <w:name w:val="toc 9"/>
    <w:basedOn w:val="1"/>
    <w:next w:val="1"/>
    <w:autoRedefine/>
    <w:unhideWhenUsed/>
    <w:qFormat/>
    <w:uiPriority w:val="39"/>
    <w:pPr>
      <w:spacing w:after="100" w:line="276" w:lineRule="auto"/>
      <w:ind w:left="1760"/>
    </w:pPr>
    <w:rPr>
      <w:rFonts w:ascii="Calibri" w:hAnsi="Calibri"/>
      <w:kern w:val="0"/>
      <w:sz w:val="22"/>
      <w:szCs w:val="22"/>
      <w:lang w:val="en-GB"/>
    </w:rPr>
  </w:style>
  <w:style w:type="paragraph" w:styleId="43">
    <w:name w:val="Body Text 2"/>
    <w:basedOn w:val="1"/>
    <w:link w:val="144"/>
    <w:autoRedefine/>
    <w:qFormat/>
    <w:uiPriority w:val="99"/>
    <w:pPr>
      <w:snapToGrid w:val="0"/>
      <w:jc w:val="center"/>
    </w:pPr>
    <w:rPr>
      <w:szCs w:val="24"/>
    </w:rPr>
  </w:style>
  <w:style w:type="paragraph" w:styleId="44">
    <w:name w:val="Message Header"/>
    <w:basedOn w:val="18"/>
    <w:link w:val="145"/>
    <w:autoRedefine/>
    <w:qFormat/>
    <w:uiPriority w:val="0"/>
    <w:pPr>
      <w:keepLines/>
      <w:tabs>
        <w:tab w:val="left" w:pos="720"/>
        <w:tab w:val="left" w:pos="4320"/>
        <w:tab w:val="left" w:pos="5040"/>
        <w:tab w:val="right" w:pos="8640"/>
      </w:tabs>
      <w:spacing w:after="40" w:line="440" w:lineRule="atLeast"/>
      <w:ind w:left="720" w:hanging="720"/>
    </w:pPr>
    <w:rPr>
      <w:rFonts w:ascii="Verdana" w:hAnsi="Verdana" w:cs="Times New Roman"/>
      <w:sz w:val="28"/>
      <w:szCs w:val="22"/>
      <w:lang w:eastAsia="zh-CN" w:bidi="ar-SA"/>
    </w:rPr>
  </w:style>
  <w:style w:type="paragraph" w:styleId="45">
    <w:name w:val="HTML Preformatted"/>
    <w:basedOn w:val="1"/>
    <w:link w:val="146"/>
    <w:autoRedefine/>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宋体" w:hAnsi="宋体" w:cs="宋体"/>
      <w:kern w:val="0"/>
      <w:szCs w:val="24"/>
    </w:rPr>
  </w:style>
  <w:style w:type="paragraph" w:styleId="46">
    <w:name w:val="Normal (Web)"/>
    <w:basedOn w:val="1"/>
    <w:link w:val="534"/>
    <w:autoRedefine/>
    <w:unhideWhenUsed/>
    <w:qFormat/>
    <w:uiPriority w:val="99"/>
    <w:pPr>
      <w:keepNext/>
      <w:spacing w:before="100" w:beforeAutospacing="1" w:after="100" w:afterAutospacing="1" w:line="240" w:lineRule="auto"/>
    </w:pPr>
    <w:rPr>
      <w:rFonts w:ascii="宋体" w:hAnsi="宋体" w:cs="宋体"/>
      <w:kern w:val="0"/>
      <w:szCs w:val="24"/>
    </w:rPr>
  </w:style>
  <w:style w:type="paragraph" w:styleId="47">
    <w:name w:val="Title"/>
    <w:basedOn w:val="1"/>
    <w:next w:val="1"/>
    <w:link w:val="73"/>
    <w:autoRedefine/>
    <w:qFormat/>
    <w:uiPriority w:val="0"/>
    <w:pPr>
      <w:spacing w:before="240" w:after="60"/>
      <w:jc w:val="center"/>
      <w:outlineLvl w:val="0"/>
    </w:pPr>
    <w:rPr>
      <w:rFonts w:ascii="Arial" w:hAnsi="Arial" w:cs="Arial" w:eastAsiaTheme="minorEastAsia"/>
      <w:b/>
      <w:bCs/>
      <w:sz w:val="32"/>
      <w:szCs w:val="32"/>
    </w:rPr>
  </w:style>
  <w:style w:type="paragraph" w:styleId="48">
    <w:name w:val="annotation subject"/>
    <w:basedOn w:val="17"/>
    <w:next w:val="17"/>
    <w:link w:val="71"/>
    <w:autoRedefine/>
    <w:qFormat/>
    <w:uiPriority w:val="0"/>
    <w:rPr>
      <w:rFonts w:asciiTheme="minorHAnsi" w:hAnsiTheme="minorHAnsi" w:eastAsiaTheme="minorEastAsia" w:cstheme="minorBidi"/>
      <w:b/>
      <w:bCs/>
      <w:szCs w:val="22"/>
    </w:rPr>
  </w:style>
  <w:style w:type="table" w:styleId="50">
    <w:name w:val="Table Grid"/>
    <w:basedOn w:val="49"/>
    <w:autoRedefine/>
    <w:qFormat/>
    <w:uiPriority w:val="59"/>
    <w:pPr>
      <w:widowControl w:val="0"/>
      <w:jc w:val="both"/>
    </w:pPr>
    <w:rPr>
      <w:rFonts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51">
    <w:name w:val="Table Classic 2"/>
    <w:basedOn w:val="49"/>
    <w:autoRedefine/>
    <w:qFormat/>
    <w:uiPriority w:val="0"/>
    <w:pPr>
      <w:widowControl w:val="0"/>
      <w:jc w:val="both"/>
    </w:pPr>
    <w:rPr>
      <w:rFonts w:eastAsia="等线"/>
    </w:rPr>
    <w:tblPr>
      <w:tblBorders>
        <w:top w:val="single" w:color="000000" w:sz="12" w:space="0"/>
        <w:bottom w:val="single" w:color="000000" w:sz="12" w:space="0"/>
        <w:insideH w:val="single" w:color="auto" w:sz="4" w:space="0"/>
        <w:insideV w:val="single" w:color="auto" w:sz="4" w:space="0"/>
      </w:tblBorders>
    </w:tblPr>
    <w:tcPr>
      <w:shd w:val="clear" w:color="auto" w:fill="auto"/>
    </w:tcPr>
    <w:tblStylePr w:type="firstRow">
      <w:rPr>
        <w:color w:val="FFFFFF"/>
      </w:rPr>
      <w:tblPr/>
      <w:tcPr>
        <w:tcBorders>
          <w:top w:val="nil"/>
          <w:left w:val="nil"/>
          <w:bottom w:val="single" w:color="000000" w:sz="6" w:space="0"/>
          <w:right w:val="nil"/>
          <w:insideH w:val="nil"/>
          <w:insideV w:val="nil"/>
          <w:tl2br w:val="nil"/>
          <w:tr2bl w:val="nil"/>
        </w:tcBorders>
        <w:shd w:val="solid" w:color="800080" w:fill="FFFFFF"/>
      </w:tcPr>
    </w:tblStylePr>
    <w:tblStylePr w:type="lastRow">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character" w:styleId="53">
    <w:name w:val="Strong"/>
    <w:basedOn w:val="52"/>
    <w:autoRedefine/>
    <w:qFormat/>
    <w:uiPriority w:val="0"/>
    <w:rPr>
      <w:b/>
      <w:bCs/>
    </w:rPr>
  </w:style>
  <w:style w:type="character" w:styleId="54">
    <w:name w:val="page number"/>
    <w:autoRedefine/>
    <w:qFormat/>
    <w:uiPriority w:val="0"/>
    <w:rPr>
      <w:rFonts w:ascii="Times New Roman" w:hAnsi="Times New Roman" w:eastAsia="宋体"/>
      <w:sz w:val="18"/>
    </w:rPr>
  </w:style>
  <w:style w:type="character" w:styleId="55">
    <w:name w:val="FollowedHyperlink"/>
    <w:autoRedefine/>
    <w:qFormat/>
    <w:uiPriority w:val="99"/>
    <w:rPr>
      <w:color w:val="800080"/>
      <w:u w:val="single"/>
    </w:rPr>
  </w:style>
  <w:style w:type="character" w:styleId="56">
    <w:name w:val="Emphasis"/>
    <w:autoRedefine/>
    <w:qFormat/>
    <w:uiPriority w:val="20"/>
    <w:rPr>
      <w:color w:val="CC0033"/>
    </w:rPr>
  </w:style>
  <w:style w:type="character" w:styleId="57">
    <w:name w:val="Hyperlink"/>
    <w:autoRedefine/>
    <w:qFormat/>
    <w:uiPriority w:val="99"/>
    <w:rPr>
      <w:color w:val="0000FF"/>
      <w:u w:val="single"/>
    </w:rPr>
  </w:style>
  <w:style w:type="character" w:styleId="58">
    <w:name w:val="annotation reference"/>
    <w:autoRedefine/>
    <w:qFormat/>
    <w:uiPriority w:val="99"/>
    <w:rPr>
      <w:sz w:val="21"/>
      <w:szCs w:val="21"/>
    </w:rPr>
  </w:style>
  <w:style w:type="paragraph" w:customStyle="1" w:styleId="59">
    <w:name w:val="Default"/>
    <w:basedOn w:val="60"/>
    <w:next w:val="11"/>
    <w:link w:val="308"/>
    <w:autoRedefine/>
    <w:qFormat/>
    <w:uiPriority w:val="0"/>
    <w:pPr>
      <w:autoSpaceDE w:val="0"/>
      <w:autoSpaceDN w:val="0"/>
      <w:adjustRightInd w:val="0"/>
      <w:spacing w:beforeLines="50" w:afterLines="50"/>
    </w:pPr>
    <w:rPr>
      <w:rFonts w:hAnsiTheme="minorHAnsi" w:cstheme="minorBidi"/>
      <w:color w:val="000000"/>
      <w:szCs w:val="24"/>
    </w:rPr>
  </w:style>
  <w:style w:type="paragraph" w:customStyle="1" w:styleId="60">
    <w:name w:val="纯文本1"/>
    <w:basedOn w:val="1"/>
    <w:link w:val="307"/>
    <w:autoRedefine/>
    <w:qFormat/>
    <w:uiPriority w:val="99"/>
    <w:pPr>
      <w:snapToGrid w:val="0"/>
    </w:pPr>
    <w:rPr>
      <w:rFonts w:ascii="宋体" w:hAnsi="Courier New" w:cs="Courier New" w:eastAsiaTheme="minorEastAsia"/>
      <w:szCs w:val="21"/>
    </w:rPr>
  </w:style>
  <w:style w:type="paragraph" w:customStyle="1" w:styleId="61">
    <w:name w:val="标题3"/>
    <w:basedOn w:val="1"/>
    <w:autoRedefine/>
    <w:qFormat/>
    <w:uiPriority w:val="0"/>
    <w:rPr>
      <w:szCs w:val="24"/>
    </w:rPr>
  </w:style>
  <w:style w:type="character" w:customStyle="1" w:styleId="62">
    <w:name w:val="标题 1 字符"/>
    <w:basedOn w:val="52"/>
    <w:link w:val="2"/>
    <w:autoRedefine/>
    <w:qFormat/>
    <w:uiPriority w:val="0"/>
    <w:rPr>
      <w:b/>
      <w:bCs/>
      <w:kern w:val="44"/>
      <w:sz w:val="30"/>
      <w:szCs w:val="44"/>
    </w:rPr>
  </w:style>
  <w:style w:type="character" w:customStyle="1" w:styleId="63">
    <w:name w:val="标题 2 字符"/>
    <w:basedOn w:val="52"/>
    <w:link w:val="3"/>
    <w:autoRedefine/>
    <w:qFormat/>
    <w:uiPriority w:val="0"/>
    <w:rPr>
      <w:rFonts w:ascii="Times New Roman" w:hAnsi="Times New Roman" w:eastAsia="宋体" w:cs="Times New Roman"/>
      <w:b/>
      <w:bCs/>
      <w:kern w:val="0"/>
      <w:sz w:val="30"/>
      <w:szCs w:val="32"/>
    </w:rPr>
  </w:style>
  <w:style w:type="character" w:customStyle="1" w:styleId="64">
    <w:name w:val="标题 3 字符"/>
    <w:basedOn w:val="52"/>
    <w:link w:val="4"/>
    <w:autoRedefine/>
    <w:qFormat/>
    <w:uiPriority w:val="0"/>
    <w:rPr>
      <w:rFonts w:ascii="Times New Roman" w:hAnsi="Times New Roman" w:eastAsia="宋体"/>
      <w:b/>
      <w:bCs/>
      <w:snapToGrid w:val="0"/>
      <w:sz w:val="28"/>
      <w:szCs w:val="24"/>
    </w:rPr>
  </w:style>
  <w:style w:type="character" w:customStyle="1" w:styleId="65">
    <w:name w:val="标题 4 字符"/>
    <w:basedOn w:val="52"/>
    <w:link w:val="5"/>
    <w:autoRedefine/>
    <w:qFormat/>
    <w:uiPriority w:val="0"/>
    <w:rPr>
      <w:rFonts w:ascii="Times New Roman" w:hAnsi="Times New Roman" w:eastAsia="宋体" w:cs="Times New Roman"/>
      <w:b/>
      <w:bCs/>
      <w:sz w:val="24"/>
      <w:szCs w:val="28"/>
    </w:rPr>
  </w:style>
  <w:style w:type="character" w:customStyle="1" w:styleId="66">
    <w:name w:val="标题 5 字符"/>
    <w:basedOn w:val="52"/>
    <w:link w:val="6"/>
    <w:autoRedefine/>
    <w:qFormat/>
    <w:uiPriority w:val="0"/>
    <w:rPr>
      <w:b/>
      <w:bCs/>
      <w:kern w:val="2"/>
      <w:sz w:val="24"/>
      <w:szCs w:val="28"/>
    </w:rPr>
  </w:style>
  <w:style w:type="character" w:customStyle="1" w:styleId="67">
    <w:name w:val="标题 6 字符"/>
    <w:basedOn w:val="52"/>
    <w:link w:val="7"/>
    <w:autoRedefine/>
    <w:qFormat/>
    <w:uiPriority w:val="9"/>
    <w:rPr>
      <w:rFonts w:asciiTheme="majorHAnsi" w:hAnsiTheme="majorHAnsi" w:eastAsiaTheme="majorEastAsia" w:cstheme="majorBidi"/>
      <w:b/>
      <w:bCs/>
      <w:sz w:val="24"/>
      <w:szCs w:val="24"/>
    </w:rPr>
  </w:style>
  <w:style w:type="character" w:customStyle="1" w:styleId="68">
    <w:name w:val="标题 7 字符"/>
    <w:basedOn w:val="52"/>
    <w:link w:val="8"/>
    <w:autoRedefine/>
    <w:qFormat/>
    <w:uiPriority w:val="9"/>
    <w:rPr>
      <w:rFonts w:ascii="Calibri" w:hAnsi="Calibri" w:eastAsia="宋体" w:cs="Times New Roman"/>
      <w:kern w:val="0"/>
      <w:sz w:val="24"/>
      <w:szCs w:val="24"/>
    </w:rPr>
  </w:style>
  <w:style w:type="character" w:customStyle="1" w:styleId="69">
    <w:name w:val="标题 8 字符"/>
    <w:basedOn w:val="52"/>
    <w:link w:val="9"/>
    <w:autoRedefine/>
    <w:qFormat/>
    <w:uiPriority w:val="9"/>
    <w:rPr>
      <w:rFonts w:ascii="Calibri" w:hAnsi="Calibri" w:eastAsia="宋体" w:cs="Times New Roman"/>
      <w:i/>
      <w:iCs/>
      <w:kern w:val="0"/>
      <w:sz w:val="24"/>
      <w:szCs w:val="24"/>
    </w:rPr>
  </w:style>
  <w:style w:type="character" w:customStyle="1" w:styleId="70">
    <w:name w:val="标题 9 字符"/>
    <w:basedOn w:val="52"/>
    <w:link w:val="10"/>
    <w:autoRedefine/>
    <w:qFormat/>
    <w:uiPriority w:val="9"/>
    <w:rPr>
      <w:rFonts w:ascii="Cambria" w:hAnsi="Cambria" w:eastAsia="宋体" w:cs="Times New Roman"/>
      <w:kern w:val="0"/>
      <w:sz w:val="20"/>
      <w:szCs w:val="20"/>
    </w:rPr>
  </w:style>
  <w:style w:type="character" w:customStyle="1" w:styleId="71">
    <w:name w:val="批注主题 字符"/>
    <w:link w:val="48"/>
    <w:autoRedefine/>
    <w:qFormat/>
    <w:uiPriority w:val="99"/>
    <w:rPr>
      <w:b/>
      <w:bCs/>
      <w:sz w:val="24"/>
    </w:rPr>
  </w:style>
  <w:style w:type="character" w:customStyle="1" w:styleId="72">
    <w:name w:val="批注文字 字符1"/>
    <w:basedOn w:val="52"/>
    <w:link w:val="17"/>
    <w:autoRedefine/>
    <w:qFormat/>
    <w:uiPriority w:val="0"/>
    <w:rPr>
      <w:kern w:val="2"/>
      <w:sz w:val="24"/>
    </w:rPr>
  </w:style>
  <w:style w:type="character" w:customStyle="1" w:styleId="73">
    <w:name w:val="标题 字符"/>
    <w:link w:val="47"/>
    <w:autoRedefine/>
    <w:qFormat/>
    <w:uiPriority w:val="0"/>
    <w:rPr>
      <w:rFonts w:ascii="Arial" w:hAnsi="Arial" w:cs="Arial"/>
      <w:b/>
      <w:bCs/>
      <w:sz w:val="32"/>
      <w:szCs w:val="32"/>
    </w:rPr>
  </w:style>
  <w:style w:type="character" w:customStyle="1" w:styleId="74">
    <w:name w:val="表格标题CCW Char"/>
    <w:link w:val="75"/>
    <w:autoRedefine/>
    <w:qFormat/>
    <w:uiPriority w:val="0"/>
    <w:rPr>
      <w:rFonts w:ascii="Times New Roman" w:hAnsi="Times New Roman" w:eastAsia="宋体"/>
      <w:b/>
    </w:rPr>
  </w:style>
  <w:style w:type="paragraph" w:customStyle="1" w:styleId="75">
    <w:name w:val="表格标题CCW"/>
    <w:basedOn w:val="1"/>
    <w:link w:val="74"/>
    <w:autoRedefine/>
    <w:qFormat/>
    <w:uiPriority w:val="0"/>
    <w:pPr>
      <w:spacing w:line="240" w:lineRule="auto"/>
      <w:jc w:val="center"/>
    </w:pPr>
    <w:rPr>
      <w:rFonts w:cstheme="minorBidi"/>
      <w:b/>
      <w:sz w:val="21"/>
      <w:szCs w:val="22"/>
    </w:rPr>
  </w:style>
  <w:style w:type="character" w:customStyle="1" w:styleId="76">
    <w:name w:val="表格内容CCW Char"/>
    <w:link w:val="77"/>
    <w:autoRedefine/>
    <w:qFormat/>
    <w:uiPriority w:val="0"/>
    <w:rPr>
      <w:rFonts w:ascii="Times New Roman" w:hAnsi="Times New Roman" w:eastAsia="宋体"/>
      <w:sz w:val="18"/>
    </w:rPr>
  </w:style>
  <w:style w:type="paragraph" w:customStyle="1" w:styleId="77">
    <w:name w:val="表格内容CCW"/>
    <w:basedOn w:val="1"/>
    <w:link w:val="76"/>
    <w:autoRedefine/>
    <w:qFormat/>
    <w:uiPriority w:val="0"/>
    <w:pPr>
      <w:spacing w:line="240" w:lineRule="auto"/>
      <w:jc w:val="center"/>
    </w:pPr>
    <w:rPr>
      <w:rFonts w:cstheme="minorBidi"/>
      <w:sz w:val="18"/>
      <w:szCs w:val="22"/>
    </w:rPr>
  </w:style>
  <w:style w:type="character" w:customStyle="1" w:styleId="78">
    <w:name w:val="批注文字 字符"/>
    <w:autoRedefine/>
    <w:qFormat/>
    <w:uiPriority w:val="0"/>
    <w:rPr>
      <w:kern w:val="2"/>
      <w:sz w:val="24"/>
    </w:rPr>
  </w:style>
  <w:style w:type="character" w:customStyle="1" w:styleId="79">
    <w:name w:val="批注框文本 字符"/>
    <w:link w:val="30"/>
    <w:autoRedefine/>
    <w:qFormat/>
    <w:uiPriority w:val="99"/>
    <w:rPr>
      <w:rFonts w:ascii="宋体"/>
      <w:sz w:val="18"/>
      <w:szCs w:val="18"/>
    </w:rPr>
  </w:style>
  <w:style w:type="paragraph" w:customStyle="1" w:styleId="80">
    <w:name w:val="7表格(治)"/>
    <w:link w:val="81"/>
    <w:autoRedefine/>
    <w:qFormat/>
    <w:uiPriority w:val="0"/>
    <w:pPr>
      <w:spacing w:beforeLines="50" w:afterLines="50" w:line="360" w:lineRule="auto"/>
      <w:jc w:val="center"/>
    </w:pPr>
    <w:rPr>
      <w:rFonts w:ascii="Times New Roman" w:hAnsi="Times New Roman" w:eastAsia="宋体" w:cs="Times New Roman"/>
      <w:sz w:val="21"/>
      <w:lang w:val="en-US" w:eastAsia="zh-CN" w:bidi="ar-SA"/>
    </w:rPr>
  </w:style>
  <w:style w:type="character" w:customStyle="1" w:styleId="81">
    <w:name w:val="7表格(治) Char"/>
    <w:link w:val="80"/>
    <w:autoRedefine/>
    <w:qFormat/>
    <w:locked/>
    <w:uiPriority w:val="0"/>
    <w:rPr>
      <w:rFonts w:ascii="Times New Roman" w:hAnsi="Times New Roman" w:eastAsia="宋体" w:cs="Times New Roman"/>
      <w:kern w:val="0"/>
      <w:szCs w:val="20"/>
    </w:rPr>
  </w:style>
  <w:style w:type="paragraph" w:customStyle="1" w:styleId="82">
    <w:name w:val="5文章(治)"/>
    <w:basedOn w:val="1"/>
    <w:link w:val="83"/>
    <w:autoRedefine/>
    <w:qFormat/>
    <w:uiPriority w:val="0"/>
    <w:pPr>
      <w:ind w:firstLine="560"/>
    </w:pPr>
  </w:style>
  <w:style w:type="character" w:customStyle="1" w:styleId="83">
    <w:name w:val="5文章(治) Char"/>
    <w:link w:val="82"/>
    <w:autoRedefine/>
    <w:qFormat/>
    <w:locked/>
    <w:uiPriority w:val="0"/>
    <w:rPr>
      <w:rFonts w:ascii="Times New Roman" w:hAnsi="Times New Roman" w:eastAsia="宋体" w:cs="Times New Roman"/>
      <w:sz w:val="24"/>
      <w:szCs w:val="20"/>
    </w:rPr>
  </w:style>
  <w:style w:type="character" w:customStyle="1" w:styleId="84">
    <w:name w:val="批注主题 字符1"/>
    <w:basedOn w:val="72"/>
    <w:autoRedefine/>
    <w:semiHidden/>
    <w:qFormat/>
    <w:uiPriority w:val="99"/>
    <w:rPr>
      <w:rFonts w:ascii="Times New Roman" w:hAnsi="Times New Roman" w:eastAsia="宋体" w:cs="Times New Roman"/>
      <w:b/>
      <w:bCs/>
      <w:kern w:val="2"/>
      <w:sz w:val="24"/>
      <w:szCs w:val="20"/>
    </w:rPr>
  </w:style>
  <w:style w:type="character" w:customStyle="1" w:styleId="85">
    <w:name w:val="页脚 字符"/>
    <w:basedOn w:val="52"/>
    <w:link w:val="31"/>
    <w:autoRedefine/>
    <w:qFormat/>
    <w:uiPriority w:val="99"/>
    <w:rPr>
      <w:rFonts w:ascii="宋体" w:hAnsi="宋体" w:eastAsia="宋体" w:cs="Times New Roman"/>
      <w:sz w:val="18"/>
      <w:szCs w:val="18"/>
    </w:rPr>
  </w:style>
  <w:style w:type="paragraph" w:customStyle="1" w:styleId="86">
    <w:name w:val="表格及图标题"/>
    <w:basedOn w:val="1"/>
    <w:autoRedefine/>
    <w:qFormat/>
    <w:uiPriority w:val="0"/>
    <w:pPr>
      <w:spacing w:line="240" w:lineRule="auto"/>
      <w:jc w:val="center"/>
    </w:pPr>
    <w:rPr>
      <w:b/>
    </w:rPr>
  </w:style>
  <w:style w:type="character" w:customStyle="1" w:styleId="87">
    <w:name w:val="标题 字符1"/>
    <w:basedOn w:val="52"/>
    <w:autoRedefine/>
    <w:qFormat/>
    <w:uiPriority w:val="10"/>
    <w:rPr>
      <w:rFonts w:asciiTheme="majorHAnsi" w:hAnsiTheme="majorHAnsi" w:eastAsiaTheme="majorEastAsia" w:cstheme="majorBidi"/>
      <w:b/>
      <w:bCs/>
      <w:sz w:val="32"/>
      <w:szCs w:val="32"/>
    </w:rPr>
  </w:style>
  <w:style w:type="character" w:customStyle="1" w:styleId="88">
    <w:name w:val="目录 2 字符"/>
    <w:link w:val="41"/>
    <w:autoRedefine/>
    <w:qFormat/>
    <w:uiPriority w:val="39"/>
    <w:rPr>
      <w:rFonts w:ascii="Times New Roman" w:hAnsi="Times New Roman" w:eastAsia="宋体" w:cs="Times New Roman"/>
      <w:sz w:val="24"/>
      <w:szCs w:val="20"/>
    </w:rPr>
  </w:style>
  <w:style w:type="character" w:customStyle="1" w:styleId="89">
    <w:name w:val="正文文本 字符"/>
    <w:basedOn w:val="52"/>
    <w:link w:val="18"/>
    <w:autoRedefine/>
    <w:qFormat/>
    <w:uiPriority w:val="0"/>
    <w:rPr>
      <w:rFonts w:ascii="宋体" w:hAnsi="宋体" w:eastAsia="宋体" w:cs="宋体"/>
      <w:szCs w:val="21"/>
      <w:lang w:eastAsia="en-US" w:bidi="en-US"/>
    </w:rPr>
  </w:style>
  <w:style w:type="character" w:customStyle="1" w:styleId="90">
    <w:name w:val="批注框文本 字符1"/>
    <w:basedOn w:val="52"/>
    <w:autoRedefine/>
    <w:semiHidden/>
    <w:qFormat/>
    <w:uiPriority w:val="99"/>
    <w:rPr>
      <w:rFonts w:ascii="Times New Roman" w:hAnsi="Times New Roman" w:eastAsia="宋体" w:cs="Times New Roman"/>
      <w:sz w:val="18"/>
      <w:szCs w:val="18"/>
    </w:rPr>
  </w:style>
  <w:style w:type="paragraph" w:customStyle="1" w:styleId="91">
    <w:name w:val="万澈表头"/>
    <w:basedOn w:val="1"/>
    <w:autoRedefine/>
    <w:qFormat/>
    <w:uiPriority w:val="0"/>
    <w:pPr>
      <w:adjustRightInd w:val="0"/>
      <w:jc w:val="center"/>
    </w:pPr>
    <w:rPr>
      <w:rFonts w:eastAsia="黑体"/>
      <w:snapToGrid w:val="0"/>
      <w:kern w:val="18"/>
      <w:szCs w:val="24"/>
    </w:rPr>
  </w:style>
  <w:style w:type="paragraph" w:customStyle="1" w:styleId="92">
    <w:name w:val="标题4"/>
    <w:basedOn w:val="1"/>
    <w:link w:val="93"/>
    <w:autoRedefine/>
    <w:qFormat/>
    <w:uiPriority w:val="0"/>
    <w:pPr>
      <w:tabs>
        <w:tab w:val="left" w:pos="1980"/>
        <w:tab w:val="left" w:pos="3825"/>
        <w:tab w:val="left" w:pos="4680"/>
      </w:tabs>
    </w:pPr>
    <w:rPr>
      <w:b/>
    </w:rPr>
  </w:style>
  <w:style w:type="character" w:customStyle="1" w:styleId="93">
    <w:name w:val="标题4 Char"/>
    <w:link w:val="92"/>
    <w:autoRedefine/>
    <w:qFormat/>
    <w:uiPriority w:val="0"/>
    <w:rPr>
      <w:rFonts w:ascii="Times New Roman" w:hAnsi="Times New Roman" w:eastAsia="宋体" w:cs="Times New Roman"/>
      <w:b/>
      <w:sz w:val="24"/>
      <w:szCs w:val="20"/>
    </w:rPr>
  </w:style>
  <w:style w:type="paragraph" w:customStyle="1" w:styleId="94">
    <w:name w:val="6表格中字"/>
    <w:basedOn w:val="1"/>
    <w:autoRedefine/>
    <w:qFormat/>
    <w:uiPriority w:val="0"/>
    <w:pPr>
      <w:adjustRightInd w:val="0"/>
      <w:snapToGrid w:val="0"/>
      <w:jc w:val="center"/>
    </w:pPr>
    <w:rPr>
      <w:rFonts w:ascii="宋体" w:hAnsi="宋体" w:cs="宋体"/>
      <w:kern w:val="0"/>
      <w:szCs w:val="24"/>
    </w:rPr>
  </w:style>
  <w:style w:type="paragraph" w:customStyle="1" w:styleId="95">
    <w:name w:val="万澈 正文"/>
    <w:basedOn w:val="1"/>
    <w:autoRedefine/>
    <w:qFormat/>
    <w:uiPriority w:val="0"/>
    <w:pPr>
      <w:ind w:firstLine="480"/>
    </w:pPr>
    <w:rPr>
      <w:rFonts w:eastAsia="Times New Roman"/>
    </w:rPr>
  </w:style>
  <w:style w:type="paragraph" w:customStyle="1" w:styleId="96">
    <w:name w:val="表格"/>
    <w:basedOn w:val="97"/>
    <w:next w:val="1"/>
    <w:link w:val="98"/>
    <w:autoRedefine/>
    <w:qFormat/>
    <w:uiPriority w:val="0"/>
    <w:pPr>
      <w:autoSpaceDE w:val="0"/>
      <w:autoSpaceDN w:val="0"/>
      <w:spacing w:line="240" w:lineRule="auto"/>
      <w:jc w:val="center"/>
    </w:pPr>
    <w:rPr>
      <w:rFonts w:eastAsia="楷体_GB2312"/>
      <w:kern w:val="0"/>
      <w:sz w:val="21"/>
      <w:szCs w:val="21"/>
    </w:rPr>
  </w:style>
  <w:style w:type="paragraph" w:customStyle="1" w:styleId="97">
    <w:name w:val="三化正文文本"/>
    <w:autoRedefine/>
    <w:qFormat/>
    <w:uiPriority w:val="0"/>
    <w:pPr>
      <w:widowControl w:val="0"/>
      <w:adjustRightInd w:val="0"/>
      <w:snapToGrid w:val="0"/>
      <w:spacing w:line="420" w:lineRule="exact"/>
      <w:ind w:firstLine="200" w:firstLineChars="200"/>
      <w:jc w:val="both"/>
    </w:pPr>
    <w:rPr>
      <w:rFonts w:ascii="Times New Roman" w:hAnsi="Times New Roman" w:eastAsia="宋体" w:cs="Times New Roman"/>
      <w:kern w:val="2"/>
      <w:sz w:val="24"/>
      <w:szCs w:val="24"/>
      <w:lang w:val="en-US" w:eastAsia="zh-CN" w:bidi="ar-SA"/>
    </w:rPr>
  </w:style>
  <w:style w:type="character" w:customStyle="1" w:styleId="98">
    <w:name w:val="表格 字符"/>
    <w:link w:val="96"/>
    <w:autoRedefine/>
    <w:qFormat/>
    <w:uiPriority w:val="0"/>
    <w:rPr>
      <w:rFonts w:ascii="Times New Roman" w:hAnsi="Times New Roman" w:eastAsia="楷体_GB2312" w:cs="Times New Roman"/>
      <w:kern w:val="0"/>
      <w:szCs w:val="21"/>
    </w:rPr>
  </w:style>
  <w:style w:type="paragraph" w:customStyle="1" w:styleId="99">
    <w:name w:val="表头"/>
    <w:basedOn w:val="18"/>
    <w:next w:val="1"/>
    <w:autoRedefine/>
    <w:qFormat/>
    <w:uiPriority w:val="0"/>
  </w:style>
  <w:style w:type="paragraph" w:customStyle="1" w:styleId="100">
    <w:name w:val="环评正文"/>
    <w:basedOn w:val="1"/>
    <w:autoRedefine/>
    <w:qFormat/>
    <w:uiPriority w:val="0"/>
    <w:pPr>
      <w:ind w:firstLine="480"/>
    </w:pPr>
  </w:style>
  <w:style w:type="paragraph" w:customStyle="1" w:styleId="101">
    <w:name w:val="表格标注"/>
    <w:basedOn w:val="1"/>
    <w:autoRedefine/>
    <w:qFormat/>
    <w:uiPriority w:val="0"/>
    <w:pPr>
      <w:jc w:val="center"/>
    </w:pPr>
    <w:rPr>
      <w:sz w:val="18"/>
      <w:szCs w:val="18"/>
    </w:rPr>
  </w:style>
  <w:style w:type="paragraph" w:customStyle="1" w:styleId="102">
    <w:name w:val="环评表头"/>
    <w:basedOn w:val="1"/>
    <w:autoRedefine/>
    <w:qFormat/>
    <w:uiPriority w:val="0"/>
    <w:pPr>
      <w:jc w:val="center"/>
    </w:pPr>
    <w:rPr>
      <w:rFonts w:eastAsia="黑体"/>
      <w:b/>
      <w:szCs w:val="28"/>
    </w:rPr>
  </w:style>
  <w:style w:type="character" w:customStyle="1" w:styleId="103">
    <w:name w:val="目录 1 字符"/>
    <w:link w:val="34"/>
    <w:autoRedefine/>
    <w:qFormat/>
    <w:uiPriority w:val="39"/>
    <w:rPr>
      <w:rFonts w:ascii="Times New Roman" w:hAnsi="Times New Roman" w:eastAsia="宋体" w:cs="Times New Roman"/>
      <w:b/>
      <w:sz w:val="28"/>
      <w:szCs w:val="20"/>
    </w:rPr>
  </w:style>
  <w:style w:type="character" w:customStyle="1" w:styleId="104">
    <w:name w:val="页眉 字符"/>
    <w:basedOn w:val="52"/>
    <w:link w:val="32"/>
    <w:autoRedefine/>
    <w:qFormat/>
    <w:uiPriority w:val="99"/>
    <w:rPr>
      <w:rFonts w:ascii="Times New Roman" w:hAnsi="Times New Roman" w:eastAsia="宋体" w:cs="Times New Roman"/>
      <w:sz w:val="18"/>
      <w:szCs w:val="20"/>
    </w:rPr>
  </w:style>
  <w:style w:type="paragraph" w:customStyle="1" w:styleId="105">
    <w:name w:val="Table Paragraph"/>
    <w:basedOn w:val="1"/>
    <w:autoRedefine/>
    <w:qFormat/>
    <w:uiPriority w:val="0"/>
    <w:rPr>
      <w:rFonts w:ascii="宋体" w:hAnsi="宋体" w:cs="宋体"/>
      <w:lang w:eastAsia="en-US" w:bidi="en-US"/>
    </w:rPr>
  </w:style>
  <w:style w:type="paragraph" w:customStyle="1" w:styleId="106">
    <w:name w:val="环评3标题"/>
    <w:basedOn w:val="1"/>
    <w:autoRedefine/>
    <w:qFormat/>
    <w:uiPriority w:val="0"/>
    <w:pPr>
      <w:keepNext/>
      <w:keepLines/>
      <w:outlineLvl w:val="2"/>
    </w:pPr>
    <w:rPr>
      <w:rFonts w:eastAsia="黑体"/>
      <w:b/>
      <w:sz w:val="28"/>
      <w:szCs w:val="28"/>
    </w:rPr>
  </w:style>
  <w:style w:type="paragraph" w:customStyle="1" w:styleId="107">
    <w:name w:val="样式 Arial 小四 行距: 固定值 30 磅 首行缩进:  2 字符"/>
    <w:basedOn w:val="1"/>
    <w:autoRedefine/>
    <w:qFormat/>
    <w:uiPriority w:val="0"/>
    <w:pPr>
      <w:ind w:firstLine="480"/>
    </w:pPr>
    <w:rPr>
      <w:rFonts w:ascii="宋体" w:hAnsi="宋体" w:cs="宋体"/>
      <w:szCs w:val="24"/>
    </w:rPr>
  </w:style>
  <w:style w:type="paragraph" w:customStyle="1" w:styleId="108">
    <w:name w:val="样式 小四 行距: 固定值 30 磅 首行缩进:  2 字符1"/>
    <w:basedOn w:val="1"/>
    <w:autoRedefine/>
    <w:qFormat/>
    <w:uiPriority w:val="0"/>
    <w:rPr>
      <w:rFonts w:cs="宋体"/>
      <w:szCs w:val="24"/>
    </w:rPr>
  </w:style>
  <w:style w:type="paragraph" w:customStyle="1" w:styleId="109">
    <w:name w:val="环评表格"/>
    <w:basedOn w:val="1"/>
    <w:autoRedefine/>
    <w:qFormat/>
    <w:uiPriority w:val="0"/>
    <w:pPr>
      <w:jc w:val="center"/>
    </w:pPr>
    <w:rPr>
      <w:sz w:val="21"/>
    </w:rPr>
  </w:style>
  <w:style w:type="paragraph" w:customStyle="1" w:styleId="110">
    <w:name w:val="文"/>
    <w:autoRedefine/>
    <w:qFormat/>
    <w:uiPriority w:val="0"/>
    <w:pPr>
      <w:spacing w:beforeLines="50" w:afterLines="50" w:line="360" w:lineRule="auto"/>
      <w:ind w:firstLine="200" w:firstLineChars="200"/>
    </w:pPr>
    <w:rPr>
      <w:rFonts w:ascii="Times New Roman" w:hAnsi="Times New Roman" w:eastAsia="宋体" w:cs="Times New Roman"/>
      <w:bCs/>
      <w:sz w:val="24"/>
      <w:szCs w:val="28"/>
      <w:lang w:val="en-US" w:eastAsia="zh-CN" w:bidi="ar-SA"/>
    </w:rPr>
  </w:style>
  <w:style w:type="paragraph" w:customStyle="1" w:styleId="111">
    <w:name w:val="环评4标题"/>
    <w:basedOn w:val="1"/>
    <w:autoRedefine/>
    <w:qFormat/>
    <w:uiPriority w:val="0"/>
    <w:pPr>
      <w:outlineLvl w:val="3"/>
    </w:pPr>
    <w:rPr>
      <w:b/>
      <w:sz w:val="28"/>
    </w:rPr>
  </w:style>
  <w:style w:type="table" w:customStyle="1" w:styleId="112">
    <w:name w:val="网格型7"/>
    <w:basedOn w:val="49"/>
    <w:autoRedefine/>
    <w:qFormat/>
    <w:uiPriority w:val="0"/>
    <w:pPr>
      <w:widowControl w:val="0"/>
      <w:jc w:val="both"/>
    </w:pPr>
    <w:rPr>
      <w:rFonts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13">
    <w:name w:val="表内容"/>
    <w:link w:val="114"/>
    <w:autoRedefine/>
    <w:qFormat/>
    <w:uiPriority w:val="0"/>
    <w:pPr>
      <w:adjustRightInd w:val="0"/>
      <w:jc w:val="center"/>
    </w:pPr>
    <w:rPr>
      <w:rFonts w:ascii="Times New Roman" w:hAnsi="Times New Roman" w:eastAsia="宋体" w:cs="Times New Roman"/>
      <w:kern w:val="2"/>
      <w:sz w:val="21"/>
      <w:szCs w:val="21"/>
      <w:lang w:val="en-US" w:eastAsia="zh-CN" w:bidi="ar-SA"/>
    </w:rPr>
  </w:style>
  <w:style w:type="character" w:customStyle="1" w:styleId="114">
    <w:name w:val="表内容 字符"/>
    <w:link w:val="113"/>
    <w:autoRedefine/>
    <w:qFormat/>
    <w:uiPriority w:val="0"/>
    <w:rPr>
      <w:rFonts w:ascii="Times New Roman" w:hAnsi="Times New Roman" w:eastAsia="宋体" w:cs="Times New Roman"/>
      <w:szCs w:val="21"/>
    </w:rPr>
  </w:style>
  <w:style w:type="character" w:customStyle="1" w:styleId="115">
    <w:name w:val="font01"/>
    <w:autoRedefine/>
    <w:qFormat/>
    <w:uiPriority w:val="0"/>
    <w:rPr>
      <w:rFonts w:hint="eastAsia" w:ascii="宋体" w:hAnsi="宋体" w:eastAsia="宋体"/>
      <w:color w:val="000000"/>
      <w:sz w:val="21"/>
      <w:szCs w:val="21"/>
      <w:u w:val="none"/>
    </w:rPr>
  </w:style>
  <w:style w:type="character" w:customStyle="1" w:styleId="116">
    <w:name w:val="font11"/>
    <w:autoRedefine/>
    <w:qFormat/>
    <w:uiPriority w:val="0"/>
    <w:rPr>
      <w:rFonts w:hint="eastAsia" w:ascii="宋体" w:hAnsi="宋体" w:eastAsia="宋体"/>
      <w:color w:val="000000"/>
      <w:sz w:val="21"/>
      <w:szCs w:val="21"/>
      <w:u w:val="none"/>
    </w:rPr>
  </w:style>
  <w:style w:type="paragraph" w:customStyle="1" w:styleId="117">
    <w:name w:val="表内文字"/>
    <w:basedOn w:val="118"/>
    <w:link w:val="119"/>
    <w:autoRedefine/>
    <w:qFormat/>
    <w:uiPriority w:val="0"/>
    <w:pPr>
      <w:adjustRightInd w:val="0"/>
      <w:snapToGrid w:val="0"/>
      <w:spacing w:line="240" w:lineRule="auto"/>
      <w:jc w:val="center"/>
    </w:pPr>
    <w:rPr>
      <w:kern w:val="0"/>
      <w:sz w:val="21"/>
      <w:szCs w:val="21"/>
    </w:rPr>
  </w:style>
  <w:style w:type="paragraph" w:customStyle="1" w:styleId="118">
    <w:name w:val="5段落"/>
    <w:basedOn w:val="1"/>
    <w:autoRedefine/>
    <w:qFormat/>
    <w:uiPriority w:val="0"/>
    <w:rPr>
      <w:szCs w:val="28"/>
    </w:rPr>
  </w:style>
  <w:style w:type="character" w:customStyle="1" w:styleId="119">
    <w:name w:val="表内文字 Char"/>
    <w:link w:val="117"/>
    <w:autoRedefine/>
    <w:qFormat/>
    <w:uiPriority w:val="0"/>
    <w:rPr>
      <w:rFonts w:ascii="Times New Roman" w:hAnsi="Times New Roman" w:eastAsia="宋体" w:cs="Times New Roman"/>
      <w:kern w:val="0"/>
      <w:szCs w:val="21"/>
    </w:rPr>
  </w:style>
  <w:style w:type="paragraph" w:customStyle="1" w:styleId="120">
    <w:name w:val="标题5"/>
    <w:basedOn w:val="6"/>
    <w:next w:val="1"/>
    <w:link w:val="121"/>
    <w:autoRedefine/>
    <w:qFormat/>
    <w:uiPriority w:val="0"/>
    <w:rPr>
      <w:lang w:val="zh-CN"/>
    </w:rPr>
  </w:style>
  <w:style w:type="character" w:customStyle="1" w:styleId="121">
    <w:name w:val="标题5 字符"/>
    <w:link w:val="120"/>
    <w:autoRedefine/>
    <w:qFormat/>
    <w:uiPriority w:val="0"/>
    <w:rPr>
      <w:rFonts w:ascii="Times New Roman" w:hAnsi="Times New Roman" w:eastAsia="宋体" w:cs="Times New Roman"/>
      <w:b/>
      <w:bCs/>
      <w:sz w:val="24"/>
      <w:szCs w:val="28"/>
      <w:lang w:val="zh-CN"/>
    </w:rPr>
  </w:style>
  <w:style w:type="paragraph" w:customStyle="1" w:styleId="122">
    <w:name w:val="C正文"/>
    <w:next w:val="32"/>
    <w:autoRedefine/>
    <w:qFormat/>
    <w:uiPriority w:val="0"/>
    <w:pPr>
      <w:wordWrap w:val="0"/>
      <w:adjustRightInd w:val="0"/>
      <w:snapToGrid w:val="0"/>
      <w:spacing w:beforeLines="50" w:afterLines="50" w:line="360" w:lineRule="auto"/>
      <w:ind w:firstLine="200" w:firstLineChars="200"/>
      <w:jc w:val="both"/>
    </w:pPr>
    <w:rPr>
      <w:rFonts w:ascii="Times New Roman" w:hAnsi="Times New Roman" w:eastAsia="仿宋_GB2312" w:cs="Arial"/>
      <w:kern w:val="2"/>
      <w:sz w:val="32"/>
      <w:szCs w:val="30"/>
      <w:lang w:val="en-US" w:eastAsia="zh-CN" w:bidi="ar-SA"/>
    </w:rPr>
  </w:style>
  <w:style w:type="paragraph" w:customStyle="1" w:styleId="123">
    <w:name w:val="xry表格标题"/>
    <w:basedOn w:val="1"/>
    <w:autoRedefine/>
    <w:qFormat/>
    <w:uiPriority w:val="0"/>
    <w:pPr>
      <w:spacing w:line="240" w:lineRule="auto"/>
      <w:jc w:val="center"/>
    </w:pPr>
    <w:rPr>
      <w:b/>
      <w:kern w:val="0"/>
      <w:szCs w:val="24"/>
    </w:rPr>
  </w:style>
  <w:style w:type="paragraph" w:customStyle="1" w:styleId="124">
    <w:name w:val="xry表格文字"/>
    <w:basedOn w:val="1"/>
    <w:autoRedefine/>
    <w:qFormat/>
    <w:uiPriority w:val="0"/>
    <w:pPr>
      <w:snapToGrid w:val="0"/>
      <w:spacing w:line="240" w:lineRule="auto"/>
      <w:jc w:val="center"/>
    </w:pPr>
    <w:rPr>
      <w:b/>
      <w:kern w:val="0"/>
      <w:sz w:val="21"/>
      <w:szCs w:val="24"/>
    </w:rPr>
  </w:style>
  <w:style w:type="paragraph" w:customStyle="1" w:styleId="125">
    <w:name w:val="表内容1"/>
    <w:basedOn w:val="96"/>
    <w:autoRedefine/>
    <w:qFormat/>
    <w:uiPriority w:val="0"/>
    <w:pPr>
      <w:autoSpaceDE/>
      <w:autoSpaceDN/>
      <w:adjustRightInd/>
    </w:pPr>
    <w:rPr>
      <w:rFonts w:eastAsia="宋体" w:cstheme="minorBidi"/>
      <w:kern w:val="2"/>
    </w:rPr>
  </w:style>
  <w:style w:type="paragraph" w:customStyle="1" w:styleId="126">
    <w:name w:val="xry正文"/>
    <w:basedOn w:val="1"/>
    <w:autoRedefine/>
    <w:qFormat/>
    <w:uiPriority w:val="0"/>
    <w:rPr>
      <w:szCs w:val="24"/>
    </w:rPr>
  </w:style>
  <w:style w:type="paragraph" w:customStyle="1" w:styleId="127">
    <w:name w:val="表名"/>
    <w:basedOn w:val="1"/>
    <w:link w:val="128"/>
    <w:autoRedefine/>
    <w:qFormat/>
    <w:uiPriority w:val="0"/>
    <w:pPr>
      <w:spacing w:line="240" w:lineRule="auto"/>
      <w:jc w:val="center"/>
    </w:pPr>
    <w:rPr>
      <w:b/>
      <w:bCs/>
    </w:rPr>
  </w:style>
  <w:style w:type="character" w:customStyle="1" w:styleId="128">
    <w:name w:val="表名 Char"/>
    <w:link w:val="127"/>
    <w:autoRedefine/>
    <w:qFormat/>
    <w:uiPriority w:val="0"/>
    <w:rPr>
      <w:rFonts w:ascii="Times New Roman" w:hAnsi="Times New Roman" w:eastAsia="宋体" w:cs="Times New Roman"/>
      <w:b/>
      <w:bCs/>
      <w:sz w:val="24"/>
      <w:szCs w:val="20"/>
    </w:rPr>
  </w:style>
  <w:style w:type="paragraph" w:customStyle="1" w:styleId="129">
    <w:name w:val="2表内正文CM"/>
    <w:basedOn w:val="1"/>
    <w:next w:val="1"/>
    <w:autoRedefine/>
    <w:qFormat/>
    <w:uiPriority w:val="0"/>
    <w:pPr>
      <w:adjustRightInd w:val="0"/>
      <w:snapToGrid w:val="0"/>
      <w:spacing w:line="240" w:lineRule="auto"/>
      <w:jc w:val="center"/>
    </w:pPr>
    <w:rPr>
      <w:kern w:val="0"/>
      <w:sz w:val="20"/>
    </w:rPr>
  </w:style>
  <w:style w:type="paragraph" w:customStyle="1" w:styleId="130">
    <w:name w:val="正文5"/>
    <w:autoRedefine/>
    <w:qFormat/>
    <w:uiPriority w:val="0"/>
    <w:pPr>
      <w:spacing w:beforeLines="50" w:afterLines="50" w:line="360" w:lineRule="auto"/>
      <w:jc w:val="both"/>
    </w:pPr>
    <w:rPr>
      <w:rFonts w:ascii="Times New Roman" w:hAnsi="Times New Roman" w:eastAsia="宋体" w:cs="Times New Roman"/>
      <w:kern w:val="2"/>
      <w:sz w:val="21"/>
      <w:szCs w:val="21"/>
      <w:lang w:val="en-US" w:eastAsia="zh-CN" w:bidi="ar-SA"/>
    </w:rPr>
  </w:style>
  <w:style w:type="paragraph" w:customStyle="1" w:styleId="131">
    <w:name w:val="图标标题"/>
    <w:basedOn w:val="7"/>
    <w:autoRedefine/>
    <w:qFormat/>
    <w:uiPriority w:val="0"/>
    <w:pPr>
      <w:keepNext w:val="0"/>
      <w:spacing w:before="0" w:after="0" w:line="360" w:lineRule="auto"/>
      <w:jc w:val="center"/>
    </w:pPr>
    <w:rPr>
      <w:rFonts w:ascii="Times New Roman" w:hAnsi="Times New Roman" w:eastAsia="宋体" w:cs="Times New Roman"/>
      <w:kern w:val="0"/>
    </w:rPr>
  </w:style>
  <w:style w:type="paragraph" w:customStyle="1" w:styleId="132">
    <w:name w:val="表内正文-Q"/>
    <w:basedOn w:val="1"/>
    <w:next w:val="1"/>
    <w:link w:val="133"/>
    <w:autoRedefine/>
    <w:qFormat/>
    <w:uiPriority w:val="0"/>
    <w:pPr>
      <w:adjustRightInd w:val="0"/>
      <w:snapToGrid w:val="0"/>
      <w:spacing w:line="240" w:lineRule="auto"/>
      <w:jc w:val="center"/>
    </w:pPr>
    <w:rPr>
      <w:sz w:val="21"/>
      <w:szCs w:val="21"/>
    </w:rPr>
  </w:style>
  <w:style w:type="character" w:customStyle="1" w:styleId="133">
    <w:name w:val="表内正文-Q Char"/>
    <w:link w:val="132"/>
    <w:autoRedefine/>
    <w:qFormat/>
    <w:uiPriority w:val="0"/>
    <w:rPr>
      <w:rFonts w:ascii="Times New Roman" w:hAnsi="Times New Roman" w:eastAsia="宋体" w:cs="Times New Roman"/>
      <w:szCs w:val="21"/>
    </w:rPr>
  </w:style>
  <w:style w:type="paragraph" w:customStyle="1" w:styleId="134">
    <w:name w:val="样式 宋体 小四 段前: 3.1 磅 段后: 4.65 磅 行距: 多倍行距 1.3 字行"/>
    <w:basedOn w:val="1"/>
    <w:autoRedefine/>
    <w:qFormat/>
    <w:uiPriority w:val="0"/>
    <w:pPr>
      <w:spacing w:beforeLines="20" w:afterLines="30" w:line="312" w:lineRule="auto"/>
    </w:pPr>
    <w:rPr>
      <w:rFonts w:ascii="宋体" w:hAnsi="宋体" w:cs="宋体"/>
      <w:kern w:val="32"/>
    </w:rPr>
  </w:style>
  <w:style w:type="character" w:customStyle="1" w:styleId="135">
    <w:name w:val="文档结构图 字符"/>
    <w:basedOn w:val="52"/>
    <w:link w:val="16"/>
    <w:autoRedefine/>
    <w:qFormat/>
    <w:uiPriority w:val="0"/>
    <w:rPr>
      <w:rFonts w:ascii="宋体" w:hAnsi="Times New Roman" w:eastAsia="宋体" w:cs="Times New Roman"/>
      <w:sz w:val="18"/>
      <w:szCs w:val="18"/>
    </w:rPr>
  </w:style>
  <w:style w:type="character" w:customStyle="1" w:styleId="136">
    <w:name w:val="正文文本缩进 字符1"/>
    <w:basedOn w:val="52"/>
    <w:link w:val="19"/>
    <w:autoRedefine/>
    <w:qFormat/>
    <w:uiPriority w:val="99"/>
    <w:rPr>
      <w:rFonts w:ascii="Times New Roman" w:hAnsi="Times New Roman" w:eastAsia="宋体" w:cs="Times New Roman"/>
      <w:sz w:val="24"/>
      <w:szCs w:val="24"/>
    </w:rPr>
  </w:style>
  <w:style w:type="character" w:customStyle="1" w:styleId="137">
    <w:name w:val="正文文本缩进 字符"/>
    <w:basedOn w:val="52"/>
    <w:autoRedefine/>
    <w:qFormat/>
    <w:uiPriority w:val="99"/>
    <w:rPr>
      <w:rFonts w:ascii="Times New Roman" w:hAnsi="Times New Roman" w:eastAsia="宋体" w:cs="Times New Roman"/>
      <w:sz w:val="24"/>
      <w:szCs w:val="20"/>
    </w:rPr>
  </w:style>
  <w:style w:type="character" w:customStyle="1" w:styleId="138">
    <w:name w:val="纯文本 字符"/>
    <w:basedOn w:val="52"/>
    <w:link w:val="25"/>
    <w:autoRedefine/>
    <w:qFormat/>
    <w:uiPriority w:val="99"/>
    <w:rPr>
      <w:rFonts w:ascii="Times New Roman" w:hAnsi="Times New Roman" w:eastAsia="宋体" w:cs="Times New Roman"/>
      <w:szCs w:val="24"/>
    </w:rPr>
  </w:style>
  <w:style w:type="character" w:customStyle="1" w:styleId="139">
    <w:name w:val="日期 字符"/>
    <w:basedOn w:val="52"/>
    <w:link w:val="28"/>
    <w:autoRedefine/>
    <w:qFormat/>
    <w:uiPriority w:val="99"/>
    <w:rPr>
      <w:rFonts w:ascii="Times New Roman" w:hAnsi="Times New Roman" w:eastAsia="宋体" w:cs="Times New Roman"/>
      <w:sz w:val="24"/>
      <w:szCs w:val="24"/>
    </w:rPr>
  </w:style>
  <w:style w:type="character" w:customStyle="1" w:styleId="140">
    <w:name w:val="正文文本缩进 2 字符"/>
    <w:basedOn w:val="52"/>
    <w:link w:val="29"/>
    <w:autoRedefine/>
    <w:qFormat/>
    <w:uiPriority w:val="99"/>
    <w:rPr>
      <w:rFonts w:ascii="Times New Roman" w:hAnsi="Times New Roman" w:eastAsia="宋体" w:cs="Times New Roman"/>
      <w:sz w:val="24"/>
      <w:szCs w:val="24"/>
    </w:rPr>
  </w:style>
  <w:style w:type="character" w:customStyle="1" w:styleId="141">
    <w:name w:val="签名 字符"/>
    <w:basedOn w:val="52"/>
    <w:link w:val="33"/>
    <w:autoRedefine/>
    <w:qFormat/>
    <w:uiPriority w:val="0"/>
    <w:rPr>
      <w:rFonts w:ascii="Verdana" w:hAnsi="Verdana" w:eastAsia="宋体" w:cs="Times New Roman"/>
      <w:sz w:val="28"/>
    </w:rPr>
  </w:style>
  <w:style w:type="character" w:customStyle="1" w:styleId="142">
    <w:name w:val="副标题 字符"/>
    <w:basedOn w:val="52"/>
    <w:link w:val="36"/>
    <w:autoRedefine/>
    <w:qFormat/>
    <w:uiPriority w:val="11"/>
    <w:rPr>
      <w:rFonts w:ascii="Times New Roman" w:hAnsi="Times New Roman" w:eastAsia="宋体" w:cs="Times New Roman"/>
      <w:b/>
      <w:bCs/>
      <w:kern w:val="0"/>
      <w:sz w:val="24"/>
      <w:szCs w:val="28"/>
    </w:rPr>
  </w:style>
  <w:style w:type="character" w:customStyle="1" w:styleId="143">
    <w:name w:val="正文文本缩进 3 字符"/>
    <w:basedOn w:val="52"/>
    <w:link w:val="39"/>
    <w:autoRedefine/>
    <w:qFormat/>
    <w:uiPriority w:val="99"/>
    <w:rPr>
      <w:rFonts w:ascii="Times New Roman" w:hAnsi="Times New Roman" w:eastAsia="宋体" w:cs="Times New Roman"/>
      <w:sz w:val="16"/>
      <w:szCs w:val="16"/>
    </w:rPr>
  </w:style>
  <w:style w:type="character" w:customStyle="1" w:styleId="144">
    <w:name w:val="正文文本 2 字符"/>
    <w:basedOn w:val="52"/>
    <w:link w:val="43"/>
    <w:autoRedefine/>
    <w:qFormat/>
    <w:uiPriority w:val="99"/>
    <w:rPr>
      <w:rFonts w:ascii="Times New Roman" w:hAnsi="Times New Roman" w:eastAsia="宋体" w:cs="Times New Roman"/>
      <w:sz w:val="24"/>
      <w:szCs w:val="24"/>
    </w:rPr>
  </w:style>
  <w:style w:type="character" w:customStyle="1" w:styleId="145">
    <w:name w:val="信息标题 字符"/>
    <w:basedOn w:val="52"/>
    <w:link w:val="44"/>
    <w:autoRedefine/>
    <w:qFormat/>
    <w:uiPriority w:val="0"/>
    <w:rPr>
      <w:rFonts w:ascii="Verdana" w:hAnsi="Verdana" w:eastAsia="宋体" w:cs="Times New Roman"/>
      <w:sz w:val="28"/>
    </w:rPr>
  </w:style>
  <w:style w:type="character" w:customStyle="1" w:styleId="146">
    <w:name w:val="HTML 预设格式 字符"/>
    <w:basedOn w:val="52"/>
    <w:link w:val="45"/>
    <w:autoRedefine/>
    <w:qFormat/>
    <w:uiPriority w:val="99"/>
    <w:rPr>
      <w:rFonts w:ascii="宋体" w:hAnsi="宋体" w:eastAsia="宋体" w:cs="宋体"/>
      <w:kern w:val="0"/>
      <w:sz w:val="24"/>
      <w:szCs w:val="24"/>
    </w:rPr>
  </w:style>
  <w:style w:type="character" w:customStyle="1" w:styleId="147">
    <w:name w:val="正文首行缩进 字符"/>
    <w:basedOn w:val="89"/>
    <w:link w:val="21"/>
    <w:autoRedefine/>
    <w:qFormat/>
    <w:uiPriority w:val="99"/>
    <w:rPr>
      <w:rFonts w:ascii="宋体" w:hAnsi="Times New Roman" w:eastAsia="宋体" w:cs="Times New Roman"/>
      <w:sz w:val="28"/>
      <w:szCs w:val="20"/>
      <w:lang w:eastAsia="en-US" w:bidi="en-US"/>
    </w:rPr>
  </w:style>
  <w:style w:type="character" w:customStyle="1" w:styleId="148">
    <w:name w:val="正文首行缩进 2 字符"/>
    <w:basedOn w:val="137"/>
    <w:link w:val="20"/>
    <w:autoRedefine/>
    <w:qFormat/>
    <w:uiPriority w:val="99"/>
    <w:rPr>
      <w:rFonts w:ascii="Times New Roman" w:hAnsi="Times New Roman" w:eastAsia="宋体" w:cs="Times New Roman"/>
      <w:sz w:val="24"/>
      <w:szCs w:val="24"/>
    </w:rPr>
  </w:style>
  <w:style w:type="paragraph" w:customStyle="1" w:styleId="149">
    <w:name w:val="_Style 8"/>
    <w:basedOn w:val="1"/>
    <w:autoRedefine/>
    <w:qFormat/>
    <w:uiPriority w:val="0"/>
    <w:rPr>
      <w:szCs w:val="24"/>
    </w:rPr>
  </w:style>
  <w:style w:type="paragraph" w:customStyle="1" w:styleId="150">
    <w:name w:val="正文 + 小四"/>
    <w:basedOn w:val="29"/>
    <w:autoRedefine/>
    <w:qFormat/>
    <w:uiPriority w:val="0"/>
    <w:pPr>
      <w:snapToGrid/>
      <w:spacing w:line="500" w:lineRule="exact"/>
      <w:ind w:firstLine="480"/>
    </w:pPr>
    <w:rPr>
      <w:rFonts w:ascii="宋体" w:hAnsi="宋体"/>
      <w:bCs/>
    </w:rPr>
  </w:style>
  <w:style w:type="paragraph" w:customStyle="1" w:styleId="151">
    <w:name w:val="目录1级"/>
    <w:basedOn w:val="1"/>
    <w:link w:val="152"/>
    <w:autoRedefine/>
    <w:qFormat/>
    <w:uiPriority w:val="0"/>
    <w:pPr>
      <w:tabs>
        <w:tab w:val="right" w:leader="dot" w:pos="8720"/>
      </w:tabs>
      <w:spacing w:before="80" w:after="80" w:line="300" w:lineRule="auto"/>
    </w:pPr>
    <w:rPr>
      <w:rFonts w:ascii="宋体" w:hAnsi="宋体"/>
      <w:b/>
      <w:bCs/>
      <w:caps/>
      <w:szCs w:val="24"/>
    </w:rPr>
  </w:style>
  <w:style w:type="character" w:customStyle="1" w:styleId="152">
    <w:name w:val="目录1级 Char"/>
    <w:link w:val="151"/>
    <w:autoRedefine/>
    <w:qFormat/>
    <w:uiPriority w:val="0"/>
    <w:rPr>
      <w:rFonts w:ascii="宋体" w:hAnsi="宋体" w:eastAsia="宋体" w:cs="Times New Roman"/>
      <w:b/>
      <w:bCs/>
      <w:caps/>
      <w:sz w:val="24"/>
      <w:szCs w:val="24"/>
    </w:rPr>
  </w:style>
  <w:style w:type="paragraph" w:customStyle="1" w:styleId="153">
    <w:name w:val="目录2级"/>
    <w:basedOn w:val="41"/>
    <w:autoRedefine/>
    <w:qFormat/>
    <w:uiPriority w:val="0"/>
    <w:pPr>
      <w:tabs>
        <w:tab w:val="right" w:leader="dot" w:pos="8720"/>
      </w:tabs>
      <w:ind w:firstLine="1" w:firstLineChars="1"/>
    </w:pPr>
    <w:rPr>
      <w:smallCaps/>
    </w:rPr>
  </w:style>
  <w:style w:type="paragraph" w:customStyle="1" w:styleId="154">
    <w:name w:val="封面标题"/>
    <w:basedOn w:val="1"/>
    <w:next w:val="1"/>
    <w:link w:val="155"/>
    <w:autoRedefine/>
    <w:qFormat/>
    <w:uiPriority w:val="0"/>
    <w:pPr>
      <w:jc w:val="center"/>
    </w:pPr>
    <w:rPr>
      <w:rFonts w:eastAsia="黑体"/>
      <w:b/>
      <w:bCs/>
      <w:sz w:val="44"/>
      <w:szCs w:val="24"/>
    </w:rPr>
  </w:style>
  <w:style w:type="character" w:customStyle="1" w:styleId="155">
    <w:name w:val="封面标题 Char"/>
    <w:link w:val="154"/>
    <w:autoRedefine/>
    <w:qFormat/>
    <w:uiPriority w:val="0"/>
    <w:rPr>
      <w:rFonts w:ascii="Times New Roman" w:hAnsi="Times New Roman" w:eastAsia="黑体" w:cs="Times New Roman"/>
      <w:b/>
      <w:bCs/>
      <w:sz w:val="44"/>
      <w:szCs w:val="24"/>
    </w:rPr>
  </w:style>
  <w:style w:type="paragraph" w:customStyle="1" w:styleId="156">
    <w:name w:val="封面文字"/>
    <w:basedOn w:val="1"/>
    <w:link w:val="157"/>
    <w:autoRedefine/>
    <w:qFormat/>
    <w:uiPriority w:val="0"/>
    <w:pPr>
      <w:ind w:firstLine="448" w:firstLineChars="448"/>
    </w:pPr>
    <w:rPr>
      <w:rFonts w:eastAsia="黑体"/>
      <w:b/>
      <w:bCs/>
      <w:sz w:val="28"/>
      <w:szCs w:val="28"/>
    </w:rPr>
  </w:style>
  <w:style w:type="character" w:customStyle="1" w:styleId="157">
    <w:name w:val="封面文字 Char"/>
    <w:link w:val="156"/>
    <w:autoRedefine/>
    <w:qFormat/>
    <w:uiPriority w:val="0"/>
    <w:rPr>
      <w:rFonts w:ascii="Times New Roman" w:hAnsi="Times New Roman" w:eastAsia="黑体" w:cs="Times New Roman"/>
      <w:b/>
      <w:bCs/>
      <w:sz w:val="28"/>
      <w:szCs w:val="28"/>
    </w:rPr>
  </w:style>
  <w:style w:type="paragraph" w:customStyle="1" w:styleId="158">
    <w:name w:val="我的正文"/>
    <w:basedOn w:val="1"/>
    <w:link w:val="159"/>
    <w:autoRedefine/>
    <w:qFormat/>
    <w:uiPriority w:val="0"/>
    <w:pPr>
      <w:ind w:firstLine="512"/>
    </w:pPr>
    <w:rPr>
      <w:bCs/>
      <w:spacing w:val="8"/>
      <w:kern w:val="44"/>
      <w:szCs w:val="24"/>
    </w:rPr>
  </w:style>
  <w:style w:type="character" w:customStyle="1" w:styleId="159">
    <w:name w:val="我的正文 Char"/>
    <w:link w:val="158"/>
    <w:autoRedefine/>
    <w:qFormat/>
    <w:uiPriority w:val="0"/>
    <w:rPr>
      <w:rFonts w:ascii="Times New Roman" w:hAnsi="Times New Roman" w:eastAsia="宋体" w:cs="Times New Roman"/>
      <w:bCs/>
      <w:spacing w:val="8"/>
      <w:kern w:val="44"/>
      <w:sz w:val="24"/>
      <w:szCs w:val="24"/>
    </w:rPr>
  </w:style>
  <w:style w:type="paragraph" w:customStyle="1" w:styleId="160">
    <w:name w:val="表格头"/>
    <w:link w:val="161"/>
    <w:autoRedefine/>
    <w:qFormat/>
    <w:uiPriority w:val="0"/>
    <w:pPr>
      <w:spacing w:beforeLines="50" w:afterLines="50" w:line="360" w:lineRule="auto"/>
      <w:jc w:val="center"/>
    </w:pPr>
    <w:rPr>
      <w:rFonts w:ascii="Times New Roman" w:hAnsi="Times New Roman" w:eastAsia="宋体" w:cs="Times New Roman"/>
      <w:b/>
      <w:bCs/>
      <w:kern w:val="44"/>
      <w:position w:val="-28"/>
      <w:sz w:val="24"/>
      <w:szCs w:val="24"/>
      <w:lang w:val="en-US" w:eastAsia="zh-CN" w:bidi="ar-SA"/>
    </w:rPr>
  </w:style>
  <w:style w:type="character" w:customStyle="1" w:styleId="161">
    <w:name w:val="表格头 Char"/>
    <w:link w:val="160"/>
    <w:autoRedefine/>
    <w:qFormat/>
    <w:uiPriority w:val="0"/>
    <w:rPr>
      <w:rFonts w:ascii="Times New Roman" w:hAnsi="Times New Roman" w:eastAsia="宋体" w:cs="Times New Roman"/>
      <w:b/>
      <w:bCs/>
      <w:kern w:val="44"/>
      <w:position w:val="-28"/>
      <w:sz w:val="24"/>
      <w:szCs w:val="24"/>
    </w:rPr>
  </w:style>
  <w:style w:type="paragraph" w:customStyle="1" w:styleId="162">
    <w:name w:val="这里的正文"/>
    <w:basedOn w:val="1"/>
    <w:link w:val="163"/>
    <w:autoRedefine/>
    <w:qFormat/>
    <w:uiPriority w:val="0"/>
    <w:pPr>
      <w:ind w:firstLine="482"/>
    </w:pPr>
  </w:style>
  <w:style w:type="character" w:customStyle="1" w:styleId="163">
    <w:name w:val="这里的正文 Char"/>
    <w:link w:val="162"/>
    <w:autoRedefine/>
    <w:qFormat/>
    <w:uiPriority w:val="0"/>
    <w:rPr>
      <w:rFonts w:ascii="Times New Roman" w:hAnsi="Times New Roman" w:eastAsia="宋体" w:cs="Times New Roman"/>
      <w:sz w:val="24"/>
      <w:szCs w:val="20"/>
    </w:rPr>
  </w:style>
  <w:style w:type="paragraph" w:customStyle="1" w:styleId="164">
    <w:name w:val="样式1"/>
    <w:basedOn w:val="1"/>
    <w:autoRedefine/>
    <w:qFormat/>
    <w:uiPriority w:val="0"/>
    <w:pPr>
      <w:jc w:val="center"/>
    </w:pPr>
    <w:rPr>
      <w:b/>
      <w:szCs w:val="24"/>
    </w:rPr>
  </w:style>
  <w:style w:type="paragraph" w:customStyle="1" w:styleId="165">
    <w:name w:val="图表标题"/>
    <w:basedOn w:val="166"/>
    <w:link w:val="170"/>
    <w:autoRedefine/>
    <w:qFormat/>
    <w:uiPriority w:val="0"/>
    <w:pPr>
      <w:tabs>
        <w:tab w:val="left" w:pos="1980"/>
        <w:tab w:val="left" w:pos="3825"/>
        <w:tab w:val="left" w:pos="4680"/>
      </w:tabs>
    </w:pPr>
    <w:rPr>
      <w:b/>
      <w:sz w:val="24"/>
    </w:rPr>
  </w:style>
  <w:style w:type="paragraph" w:customStyle="1" w:styleId="166">
    <w:name w:val="表格内文字"/>
    <w:basedOn w:val="167"/>
    <w:link w:val="169"/>
    <w:autoRedefine/>
    <w:qFormat/>
    <w:uiPriority w:val="0"/>
    <w:pPr>
      <w:keepNext/>
      <w:tabs>
        <w:tab w:val="left" w:pos="1980"/>
        <w:tab w:val="left" w:pos="3825"/>
        <w:tab w:val="left" w:pos="4680"/>
      </w:tabs>
      <w:adjustRightInd w:val="0"/>
      <w:snapToGrid w:val="0"/>
      <w:spacing w:line="240" w:lineRule="auto"/>
    </w:pPr>
    <w:rPr>
      <w:b w:val="0"/>
      <w:sz w:val="21"/>
      <w:szCs w:val="21"/>
    </w:rPr>
  </w:style>
  <w:style w:type="paragraph" w:customStyle="1" w:styleId="167">
    <w:name w:val="表格名称"/>
    <w:basedOn w:val="1"/>
    <w:link w:val="168"/>
    <w:autoRedefine/>
    <w:qFormat/>
    <w:uiPriority w:val="0"/>
    <w:pPr>
      <w:tabs>
        <w:tab w:val="left" w:pos="1980"/>
        <w:tab w:val="left" w:pos="3825"/>
        <w:tab w:val="left" w:pos="4680"/>
      </w:tabs>
      <w:jc w:val="center"/>
    </w:pPr>
    <w:rPr>
      <w:b/>
      <w:color w:val="000000"/>
      <w:kern w:val="0"/>
      <w:szCs w:val="24"/>
    </w:rPr>
  </w:style>
  <w:style w:type="character" w:customStyle="1" w:styleId="168">
    <w:name w:val="表格名称 Char"/>
    <w:link w:val="167"/>
    <w:autoRedefine/>
    <w:qFormat/>
    <w:uiPriority w:val="0"/>
    <w:rPr>
      <w:rFonts w:ascii="Times New Roman" w:hAnsi="Times New Roman" w:eastAsia="宋体" w:cs="Times New Roman"/>
      <w:b/>
      <w:color w:val="000000"/>
      <w:kern w:val="0"/>
      <w:sz w:val="24"/>
      <w:szCs w:val="24"/>
    </w:rPr>
  </w:style>
  <w:style w:type="character" w:customStyle="1" w:styleId="169">
    <w:name w:val="表格内文字 Char"/>
    <w:link w:val="166"/>
    <w:autoRedefine/>
    <w:qFormat/>
    <w:uiPriority w:val="0"/>
    <w:rPr>
      <w:rFonts w:ascii="Times New Roman" w:hAnsi="Times New Roman" w:eastAsia="宋体" w:cs="Times New Roman"/>
      <w:color w:val="000000"/>
      <w:kern w:val="0"/>
      <w:szCs w:val="21"/>
    </w:rPr>
  </w:style>
  <w:style w:type="character" w:customStyle="1" w:styleId="170">
    <w:name w:val="图表标题 Char"/>
    <w:link w:val="165"/>
    <w:autoRedefine/>
    <w:qFormat/>
    <w:uiPriority w:val="0"/>
    <w:rPr>
      <w:rFonts w:ascii="Times New Roman" w:hAnsi="Times New Roman" w:eastAsia="宋体" w:cs="Times New Roman"/>
      <w:b/>
      <w:color w:val="000000"/>
      <w:kern w:val="0"/>
      <w:sz w:val="24"/>
      <w:szCs w:val="21"/>
    </w:rPr>
  </w:style>
  <w:style w:type="paragraph" w:customStyle="1" w:styleId="171">
    <w:name w:val="一级目录"/>
    <w:basedOn w:val="34"/>
    <w:link w:val="172"/>
    <w:autoRedefine/>
    <w:qFormat/>
    <w:uiPriority w:val="0"/>
    <w:pPr>
      <w:spacing w:line="300" w:lineRule="auto"/>
      <w:ind w:firstLine="1" w:firstLineChars="1"/>
    </w:pPr>
    <w:rPr>
      <w:bCs/>
      <w:caps/>
    </w:rPr>
  </w:style>
  <w:style w:type="character" w:customStyle="1" w:styleId="172">
    <w:name w:val="一级目录 Char"/>
    <w:basedOn w:val="103"/>
    <w:link w:val="171"/>
    <w:autoRedefine/>
    <w:qFormat/>
    <w:uiPriority w:val="0"/>
    <w:rPr>
      <w:rFonts w:ascii="Times New Roman" w:hAnsi="Times New Roman" w:eastAsia="宋体" w:cs="Times New Roman"/>
      <w:bCs/>
      <w:caps/>
      <w:sz w:val="28"/>
      <w:szCs w:val="20"/>
    </w:rPr>
  </w:style>
  <w:style w:type="paragraph" w:customStyle="1" w:styleId="173">
    <w:name w:val="二级目录"/>
    <w:basedOn w:val="41"/>
    <w:link w:val="174"/>
    <w:autoRedefine/>
    <w:qFormat/>
    <w:uiPriority w:val="0"/>
    <w:pPr>
      <w:tabs>
        <w:tab w:val="right" w:leader="dot" w:pos="8720"/>
      </w:tabs>
      <w:ind w:firstLine="1" w:firstLineChars="1"/>
    </w:pPr>
    <w:rPr>
      <w:szCs w:val="21"/>
    </w:rPr>
  </w:style>
  <w:style w:type="character" w:customStyle="1" w:styleId="174">
    <w:name w:val="二级目录 Char"/>
    <w:link w:val="173"/>
    <w:autoRedefine/>
    <w:qFormat/>
    <w:uiPriority w:val="0"/>
    <w:rPr>
      <w:rFonts w:ascii="Times New Roman" w:hAnsi="Times New Roman" w:eastAsia="宋体" w:cs="Times New Roman"/>
      <w:sz w:val="24"/>
      <w:szCs w:val="21"/>
    </w:rPr>
  </w:style>
  <w:style w:type="paragraph" w:customStyle="1" w:styleId="175">
    <w:name w:val="附件标题"/>
    <w:basedOn w:val="1"/>
    <w:link w:val="176"/>
    <w:autoRedefine/>
    <w:qFormat/>
    <w:uiPriority w:val="0"/>
    <w:rPr>
      <w:b/>
      <w:sz w:val="28"/>
      <w:szCs w:val="24"/>
    </w:rPr>
  </w:style>
  <w:style w:type="character" w:customStyle="1" w:styleId="176">
    <w:name w:val="附件标题 Char"/>
    <w:basedOn w:val="52"/>
    <w:link w:val="175"/>
    <w:autoRedefine/>
    <w:qFormat/>
    <w:uiPriority w:val="0"/>
    <w:rPr>
      <w:rFonts w:ascii="Times New Roman" w:hAnsi="Times New Roman" w:eastAsia="宋体" w:cs="Times New Roman"/>
      <w:b/>
      <w:sz w:val="28"/>
      <w:szCs w:val="24"/>
    </w:rPr>
  </w:style>
  <w:style w:type="paragraph" w:customStyle="1" w:styleId="177">
    <w:name w:val="一级"/>
    <w:basedOn w:val="1"/>
    <w:autoRedefine/>
    <w:qFormat/>
    <w:uiPriority w:val="0"/>
    <w:pPr>
      <w:keepNext/>
      <w:adjustRightInd w:val="0"/>
      <w:snapToGrid w:val="0"/>
      <w:outlineLvl w:val="0"/>
    </w:pPr>
    <w:rPr>
      <w:rFonts w:cs="宋体"/>
      <w:b/>
      <w:bCs/>
      <w:sz w:val="32"/>
    </w:rPr>
  </w:style>
  <w:style w:type="paragraph" w:customStyle="1" w:styleId="178">
    <w:name w:val="正文内容"/>
    <w:basedOn w:val="1"/>
    <w:link w:val="179"/>
    <w:autoRedefine/>
    <w:qFormat/>
    <w:uiPriority w:val="0"/>
    <w:pPr>
      <w:keepNext/>
      <w:adjustRightInd w:val="0"/>
      <w:snapToGrid w:val="0"/>
      <w:ind w:firstLine="480"/>
    </w:pPr>
    <w:rPr>
      <w:rFonts w:cs="宋体"/>
    </w:rPr>
  </w:style>
  <w:style w:type="character" w:customStyle="1" w:styleId="179">
    <w:name w:val="正文内容 Char"/>
    <w:basedOn w:val="52"/>
    <w:link w:val="178"/>
    <w:autoRedefine/>
    <w:qFormat/>
    <w:uiPriority w:val="0"/>
    <w:rPr>
      <w:rFonts w:ascii="Times New Roman" w:hAnsi="Times New Roman" w:eastAsia="宋体" w:cs="宋体"/>
      <w:sz w:val="24"/>
      <w:szCs w:val="20"/>
    </w:rPr>
  </w:style>
  <w:style w:type="paragraph" w:customStyle="1" w:styleId="180">
    <w:name w:val="三级"/>
    <w:basedOn w:val="178"/>
    <w:link w:val="181"/>
    <w:autoRedefine/>
    <w:qFormat/>
    <w:uiPriority w:val="0"/>
    <w:pPr>
      <w:outlineLvl w:val="2"/>
    </w:pPr>
    <w:rPr>
      <w:b/>
      <w:bCs/>
    </w:rPr>
  </w:style>
  <w:style w:type="character" w:customStyle="1" w:styleId="181">
    <w:name w:val="三级 Char"/>
    <w:basedOn w:val="179"/>
    <w:link w:val="180"/>
    <w:autoRedefine/>
    <w:qFormat/>
    <w:uiPriority w:val="0"/>
    <w:rPr>
      <w:rFonts w:ascii="Times New Roman" w:hAnsi="Times New Roman" w:eastAsia="宋体" w:cs="宋体"/>
      <w:b/>
      <w:bCs/>
      <w:sz w:val="24"/>
      <w:szCs w:val="20"/>
    </w:rPr>
  </w:style>
  <w:style w:type="paragraph" w:customStyle="1" w:styleId="182">
    <w:name w:val="样式 正文0000 + 首行缩进:  2 字符1"/>
    <w:basedOn w:val="1"/>
    <w:link w:val="183"/>
    <w:autoRedefine/>
    <w:qFormat/>
    <w:uiPriority w:val="0"/>
    <w:pPr>
      <w:keepNext/>
      <w:tabs>
        <w:tab w:val="left" w:pos="1980"/>
        <w:tab w:val="left" w:pos="3825"/>
        <w:tab w:val="left" w:pos="4680"/>
      </w:tabs>
      <w:adjustRightInd w:val="0"/>
      <w:snapToGrid w:val="0"/>
    </w:pPr>
    <w:rPr>
      <w:rFonts w:cs="宋体"/>
    </w:rPr>
  </w:style>
  <w:style w:type="character" w:customStyle="1" w:styleId="183">
    <w:name w:val="样式 正文0000 + 首行缩进:  2 字符1 Char"/>
    <w:basedOn w:val="52"/>
    <w:link w:val="182"/>
    <w:autoRedefine/>
    <w:qFormat/>
    <w:uiPriority w:val="0"/>
    <w:rPr>
      <w:rFonts w:ascii="Times New Roman" w:hAnsi="Times New Roman" w:eastAsia="宋体" w:cs="宋体"/>
      <w:sz w:val="24"/>
      <w:szCs w:val="20"/>
    </w:rPr>
  </w:style>
  <w:style w:type="paragraph" w:customStyle="1" w:styleId="184">
    <w:name w:val="二级"/>
    <w:basedOn w:val="1"/>
    <w:link w:val="185"/>
    <w:autoRedefine/>
    <w:qFormat/>
    <w:uiPriority w:val="0"/>
    <w:pPr>
      <w:keepNext/>
      <w:adjustRightInd w:val="0"/>
      <w:snapToGrid w:val="0"/>
      <w:outlineLvl w:val="1"/>
    </w:pPr>
    <w:rPr>
      <w:rFonts w:cs="宋体"/>
      <w:b/>
      <w:bCs/>
      <w:kern w:val="0"/>
      <w:sz w:val="30"/>
    </w:rPr>
  </w:style>
  <w:style w:type="character" w:customStyle="1" w:styleId="185">
    <w:name w:val="二级 Char"/>
    <w:basedOn w:val="52"/>
    <w:link w:val="184"/>
    <w:autoRedefine/>
    <w:qFormat/>
    <w:uiPriority w:val="0"/>
    <w:rPr>
      <w:rFonts w:ascii="Times New Roman" w:hAnsi="Times New Roman" w:eastAsia="宋体" w:cs="宋体"/>
      <w:b/>
      <w:bCs/>
      <w:kern w:val="0"/>
      <w:sz w:val="30"/>
      <w:szCs w:val="20"/>
    </w:rPr>
  </w:style>
  <w:style w:type="paragraph" w:customStyle="1" w:styleId="186">
    <w:name w:val="正文1"/>
    <w:basedOn w:val="19"/>
    <w:link w:val="187"/>
    <w:autoRedefine/>
    <w:qFormat/>
    <w:uiPriority w:val="0"/>
  </w:style>
  <w:style w:type="character" w:customStyle="1" w:styleId="187">
    <w:name w:val="正文 Char"/>
    <w:basedOn w:val="179"/>
    <w:link w:val="186"/>
    <w:autoRedefine/>
    <w:qFormat/>
    <w:uiPriority w:val="0"/>
    <w:rPr>
      <w:rFonts w:ascii="Times New Roman" w:hAnsi="Times New Roman" w:eastAsia="宋体" w:cs="Times New Roman"/>
      <w:sz w:val="24"/>
      <w:szCs w:val="24"/>
    </w:rPr>
  </w:style>
  <w:style w:type="paragraph" w:customStyle="1" w:styleId="188">
    <w:name w:val="首页表内文字"/>
    <w:basedOn w:val="1"/>
    <w:link w:val="189"/>
    <w:autoRedefine/>
    <w:qFormat/>
    <w:uiPriority w:val="0"/>
    <w:pPr>
      <w:keepNext/>
      <w:adjustRightInd w:val="0"/>
      <w:snapToGrid w:val="0"/>
      <w:spacing w:line="240" w:lineRule="auto"/>
      <w:jc w:val="center"/>
    </w:pPr>
    <w:rPr>
      <w:szCs w:val="24"/>
    </w:rPr>
  </w:style>
  <w:style w:type="character" w:customStyle="1" w:styleId="189">
    <w:name w:val="首页表内文字 Char"/>
    <w:basedOn w:val="52"/>
    <w:link w:val="188"/>
    <w:autoRedefine/>
    <w:qFormat/>
    <w:uiPriority w:val="0"/>
    <w:rPr>
      <w:rFonts w:ascii="Times New Roman" w:hAnsi="Times New Roman" w:eastAsia="宋体" w:cs="Times New Roman"/>
      <w:sz w:val="24"/>
      <w:szCs w:val="24"/>
    </w:rPr>
  </w:style>
  <w:style w:type="character" w:customStyle="1" w:styleId="190">
    <w:name w:val="Font Style92"/>
    <w:autoRedefine/>
    <w:qFormat/>
    <w:uiPriority w:val="0"/>
    <w:rPr>
      <w:rFonts w:ascii="宋体" w:eastAsia="宋体" w:cs="宋体"/>
      <w:spacing w:val="10"/>
      <w:sz w:val="26"/>
      <w:szCs w:val="26"/>
    </w:rPr>
  </w:style>
  <w:style w:type="paragraph" w:customStyle="1" w:styleId="191">
    <w:name w:val=".66l.66l"/>
    <w:basedOn w:val="1"/>
    <w:autoRedefine/>
    <w:qFormat/>
    <w:uiPriority w:val="0"/>
    <w:pPr>
      <w:keepNext/>
      <w:autoSpaceDE w:val="0"/>
      <w:autoSpaceDN w:val="0"/>
      <w:adjustRightInd w:val="0"/>
      <w:snapToGrid w:val="0"/>
      <w:spacing w:line="312" w:lineRule="atLeast"/>
      <w:ind w:firstLine="570"/>
      <w:textAlignment w:val="baseline"/>
    </w:pPr>
    <w:rPr>
      <w:rFonts w:ascii="宋体"/>
      <w:kern w:val="0"/>
      <w:sz w:val="28"/>
    </w:rPr>
  </w:style>
  <w:style w:type="paragraph" w:styleId="192">
    <w:name w:val="List Paragraph"/>
    <w:basedOn w:val="1"/>
    <w:link w:val="193"/>
    <w:autoRedefine/>
    <w:qFormat/>
    <w:uiPriority w:val="99"/>
    <w:pPr>
      <w:ind w:firstLine="420"/>
    </w:pPr>
    <w:rPr>
      <w:szCs w:val="24"/>
    </w:rPr>
  </w:style>
  <w:style w:type="character" w:customStyle="1" w:styleId="193">
    <w:name w:val="列出段落 字符"/>
    <w:basedOn w:val="52"/>
    <w:link w:val="192"/>
    <w:autoRedefine/>
    <w:qFormat/>
    <w:uiPriority w:val="34"/>
    <w:rPr>
      <w:rFonts w:ascii="Times New Roman" w:hAnsi="Times New Roman" w:eastAsia="宋体" w:cs="Times New Roman"/>
      <w:sz w:val="24"/>
      <w:szCs w:val="24"/>
    </w:rPr>
  </w:style>
  <w:style w:type="paragraph" w:customStyle="1" w:styleId="194">
    <w:name w:val="四级"/>
    <w:basedOn w:val="180"/>
    <w:link w:val="195"/>
    <w:autoRedefine/>
    <w:qFormat/>
    <w:uiPriority w:val="0"/>
    <w:pPr>
      <w:outlineLvl w:val="3"/>
    </w:pPr>
    <w:rPr>
      <w:b w:val="0"/>
      <w:bCs w:val="0"/>
    </w:rPr>
  </w:style>
  <w:style w:type="character" w:customStyle="1" w:styleId="195">
    <w:name w:val="四级 Char"/>
    <w:basedOn w:val="181"/>
    <w:link w:val="194"/>
    <w:autoRedefine/>
    <w:qFormat/>
    <w:uiPriority w:val="0"/>
    <w:rPr>
      <w:rFonts w:ascii="Times New Roman" w:hAnsi="Times New Roman" w:eastAsia="宋体" w:cs="宋体"/>
      <w:b w:val="0"/>
      <w:bCs w:val="0"/>
      <w:sz w:val="24"/>
      <w:szCs w:val="20"/>
    </w:rPr>
  </w:style>
  <w:style w:type="paragraph" w:customStyle="1" w:styleId="196">
    <w:name w:val="5文章"/>
    <w:basedOn w:val="1"/>
    <w:autoRedefine/>
    <w:qFormat/>
    <w:uiPriority w:val="0"/>
    <w:pPr>
      <w:keepNext/>
      <w:ind w:firstLine="480"/>
    </w:pPr>
    <w:rPr>
      <w:rFonts w:ascii="Arial" w:hAnsi="Arial" w:cs="Tahoma"/>
      <w:szCs w:val="21"/>
    </w:rPr>
  </w:style>
  <w:style w:type="paragraph" w:customStyle="1" w:styleId="197">
    <w:name w:val="样式 四号 加粗 行距: 1.5 倍行距"/>
    <w:basedOn w:val="1"/>
    <w:autoRedefine/>
    <w:qFormat/>
    <w:uiPriority w:val="0"/>
    <w:pPr>
      <w:keepNext/>
    </w:pPr>
    <w:rPr>
      <w:rFonts w:cs="宋体"/>
      <w:b/>
      <w:bCs/>
    </w:rPr>
  </w:style>
  <w:style w:type="paragraph" w:customStyle="1" w:styleId="198">
    <w:name w:val="_Style 4"/>
    <w:basedOn w:val="1"/>
    <w:autoRedefine/>
    <w:qFormat/>
    <w:uiPriority w:val="0"/>
    <w:pPr>
      <w:tabs>
        <w:tab w:val="left" w:pos="4665"/>
        <w:tab w:val="left" w:pos="8970"/>
      </w:tabs>
      <w:spacing w:line="240" w:lineRule="auto"/>
      <w:ind w:firstLine="400"/>
    </w:pPr>
    <w:rPr>
      <w:rFonts w:ascii="宋体" w:hAnsi="宋体"/>
      <w:kern w:val="0"/>
      <w:sz w:val="30"/>
      <w:szCs w:val="30"/>
    </w:rPr>
  </w:style>
  <w:style w:type="character" w:customStyle="1" w:styleId="199">
    <w:name w:val="apple-converted-space"/>
    <w:basedOn w:val="52"/>
    <w:autoRedefine/>
    <w:qFormat/>
    <w:uiPriority w:val="0"/>
  </w:style>
  <w:style w:type="paragraph" w:customStyle="1" w:styleId="200">
    <w:name w:val="表下注释"/>
    <w:basedOn w:val="117"/>
    <w:link w:val="201"/>
    <w:autoRedefine/>
    <w:qFormat/>
    <w:uiPriority w:val="0"/>
    <w:pPr>
      <w:jc w:val="both"/>
    </w:pPr>
  </w:style>
  <w:style w:type="character" w:customStyle="1" w:styleId="201">
    <w:name w:val="表下注释 Char"/>
    <w:basedOn w:val="119"/>
    <w:link w:val="200"/>
    <w:autoRedefine/>
    <w:qFormat/>
    <w:uiPriority w:val="0"/>
    <w:rPr>
      <w:rFonts w:ascii="Times New Roman" w:hAnsi="Times New Roman" w:eastAsia="宋体" w:cs="Times New Roman"/>
      <w:kern w:val="0"/>
      <w:szCs w:val="21"/>
    </w:rPr>
  </w:style>
  <w:style w:type="paragraph" w:customStyle="1" w:styleId="202">
    <w:name w:val="reader-word-layer"/>
    <w:basedOn w:val="1"/>
    <w:autoRedefine/>
    <w:qFormat/>
    <w:uiPriority w:val="0"/>
    <w:pPr>
      <w:spacing w:before="100" w:beforeAutospacing="1" w:after="100" w:afterAutospacing="1" w:line="240" w:lineRule="auto"/>
    </w:pPr>
    <w:rPr>
      <w:rFonts w:ascii="宋体" w:hAnsi="宋体" w:cs="宋体"/>
      <w:kern w:val="0"/>
      <w:szCs w:val="24"/>
    </w:rPr>
  </w:style>
  <w:style w:type="paragraph" w:customStyle="1" w:styleId="203">
    <w:name w:val="Char1 Char Char Char Char Char Char12"/>
    <w:basedOn w:val="1"/>
    <w:autoRedefine/>
    <w:qFormat/>
    <w:uiPriority w:val="0"/>
    <w:pPr>
      <w:spacing w:line="240" w:lineRule="auto"/>
    </w:pPr>
    <w:rPr>
      <w:sz w:val="21"/>
      <w:szCs w:val="21"/>
    </w:rPr>
  </w:style>
  <w:style w:type="paragraph" w:customStyle="1" w:styleId="204">
    <w:name w:val="样式4"/>
    <w:basedOn w:val="151"/>
    <w:autoRedefine/>
    <w:qFormat/>
    <w:uiPriority w:val="0"/>
    <w:pPr>
      <w:tabs>
        <w:tab w:val="clear" w:pos="8720"/>
      </w:tabs>
      <w:spacing w:before="0" w:after="0" w:line="360" w:lineRule="auto"/>
      <w:ind w:firstLine="480"/>
    </w:pPr>
    <w:rPr>
      <w:rFonts w:ascii="Times New Roman" w:hAnsi="Times New Roman"/>
      <w:b w:val="0"/>
      <w:bCs w:val="0"/>
      <w:caps w:val="0"/>
      <w:szCs w:val="28"/>
    </w:rPr>
  </w:style>
  <w:style w:type="paragraph" w:customStyle="1" w:styleId="205">
    <w:name w:val="Char"/>
    <w:basedOn w:val="1"/>
    <w:autoRedefine/>
    <w:qFormat/>
    <w:uiPriority w:val="0"/>
    <w:pPr>
      <w:spacing w:line="240" w:lineRule="auto"/>
    </w:pPr>
    <w:rPr>
      <w:sz w:val="21"/>
      <w:szCs w:val="24"/>
    </w:rPr>
  </w:style>
  <w:style w:type="paragraph" w:customStyle="1" w:styleId="206">
    <w:name w:val="表格2"/>
    <w:basedOn w:val="1"/>
    <w:autoRedefine/>
    <w:qFormat/>
    <w:uiPriority w:val="0"/>
    <w:pPr>
      <w:autoSpaceDE w:val="0"/>
      <w:autoSpaceDN w:val="0"/>
      <w:adjustRightInd w:val="0"/>
      <w:spacing w:line="240" w:lineRule="auto"/>
      <w:ind w:left="-1" w:leftChars="-16" w:hanging="31" w:hangingChars="15"/>
      <w:jc w:val="center"/>
    </w:pPr>
    <w:rPr>
      <w:kern w:val="0"/>
      <w:sz w:val="21"/>
    </w:rPr>
  </w:style>
  <w:style w:type="paragraph" w:styleId="207">
    <w:name w:val="No Spacing"/>
    <w:link w:val="208"/>
    <w:autoRedefine/>
    <w:qFormat/>
    <w:uiPriority w:val="99"/>
    <w:pPr>
      <w:widowControl w:val="0"/>
      <w:spacing w:beforeLines="50" w:afterLines="50" w:line="360" w:lineRule="auto"/>
      <w:ind w:firstLine="200" w:firstLineChars="200"/>
      <w:jc w:val="both"/>
    </w:pPr>
    <w:rPr>
      <w:rFonts w:ascii="Times New Roman" w:hAnsi="Times New Roman" w:eastAsia="宋体" w:cs="Times New Roman"/>
      <w:kern w:val="2"/>
      <w:sz w:val="24"/>
      <w:szCs w:val="24"/>
      <w:lang w:val="en-US" w:eastAsia="zh-CN" w:bidi="ar-SA"/>
    </w:rPr>
  </w:style>
  <w:style w:type="character" w:customStyle="1" w:styleId="208">
    <w:name w:val="无间隔 字符"/>
    <w:link w:val="207"/>
    <w:autoRedefine/>
    <w:qFormat/>
    <w:uiPriority w:val="0"/>
    <w:rPr>
      <w:rFonts w:ascii="Times New Roman" w:hAnsi="Times New Roman" w:eastAsia="宋体" w:cs="Times New Roman"/>
      <w:sz w:val="24"/>
      <w:szCs w:val="24"/>
    </w:rPr>
  </w:style>
  <w:style w:type="paragraph" w:customStyle="1" w:styleId="209">
    <w:name w:val="封面下方"/>
    <w:basedOn w:val="47"/>
    <w:link w:val="210"/>
    <w:autoRedefine/>
    <w:qFormat/>
    <w:uiPriority w:val="0"/>
    <w:pPr>
      <w:spacing w:before="0" w:after="0"/>
      <w:ind w:firstLine="600" w:firstLineChars="600"/>
      <w:jc w:val="left"/>
      <w:outlineLvl w:val="9"/>
    </w:pPr>
    <w:rPr>
      <w:rFonts w:ascii="Cambria" w:hAnsi="Cambria" w:eastAsia="黑体" w:cs="Times New Roman"/>
      <w:sz w:val="28"/>
    </w:rPr>
  </w:style>
  <w:style w:type="character" w:customStyle="1" w:styleId="210">
    <w:name w:val="封面下方 Char"/>
    <w:basedOn w:val="73"/>
    <w:link w:val="209"/>
    <w:autoRedefine/>
    <w:qFormat/>
    <w:uiPriority w:val="0"/>
    <w:rPr>
      <w:rFonts w:ascii="Cambria" w:hAnsi="Cambria" w:eastAsia="黑体" w:cs="Times New Roman"/>
      <w:sz w:val="28"/>
      <w:szCs w:val="32"/>
    </w:rPr>
  </w:style>
  <w:style w:type="paragraph" w:customStyle="1" w:styleId="211">
    <w:name w:val="海河课题正文"/>
    <w:basedOn w:val="1"/>
    <w:autoRedefine/>
    <w:qFormat/>
    <w:uiPriority w:val="0"/>
    <w:pPr>
      <w:adjustRightInd w:val="0"/>
      <w:snapToGrid w:val="0"/>
      <w:ind w:firstLine="192" w:firstLineChars="192"/>
    </w:pPr>
    <w:rPr>
      <w:rFonts w:eastAsia="仿宋_GB2312"/>
      <w:sz w:val="28"/>
      <w:szCs w:val="28"/>
    </w:rPr>
  </w:style>
  <w:style w:type="paragraph" w:customStyle="1" w:styleId="212">
    <w:name w:val="表格正文"/>
    <w:basedOn w:val="1"/>
    <w:autoRedefine/>
    <w:qFormat/>
    <w:uiPriority w:val="0"/>
    <w:pPr>
      <w:spacing w:line="240" w:lineRule="auto"/>
      <w:jc w:val="center"/>
    </w:pPr>
    <w:rPr>
      <w:kern w:val="0"/>
      <w:sz w:val="21"/>
      <w:szCs w:val="24"/>
    </w:rPr>
  </w:style>
  <w:style w:type="paragraph" w:customStyle="1" w:styleId="213">
    <w:name w:val="表格文字"/>
    <w:next w:val="32"/>
    <w:link w:val="214"/>
    <w:autoRedefine/>
    <w:qFormat/>
    <w:uiPriority w:val="0"/>
    <w:pPr>
      <w:spacing w:beforeLines="50" w:afterLines="50" w:line="252" w:lineRule="auto"/>
      <w:jc w:val="center"/>
    </w:pPr>
    <w:rPr>
      <w:rFonts w:ascii="Times New Roman" w:hAnsi="Times New Roman" w:eastAsia="宋体" w:cs="Times New Roman"/>
      <w:sz w:val="21"/>
      <w:lang w:val="en-US" w:eastAsia="zh-CN" w:bidi="ar-SA"/>
    </w:rPr>
  </w:style>
  <w:style w:type="character" w:customStyle="1" w:styleId="214">
    <w:name w:val="表格文字 Char Char1"/>
    <w:basedOn w:val="52"/>
    <w:link w:val="213"/>
    <w:autoRedefine/>
    <w:qFormat/>
    <w:uiPriority w:val="0"/>
    <w:rPr>
      <w:rFonts w:ascii="Times New Roman" w:hAnsi="Times New Roman" w:eastAsia="宋体" w:cs="Times New Roman"/>
      <w:kern w:val="0"/>
      <w:szCs w:val="20"/>
    </w:rPr>
  </w:style>
  <w:style w:type="paragraph" w:customStyle="1" w:styleId="215">
    <w:name w:val="TOC 标题1"/>
    <w:basedOn w:val="2"/>
    <w:next w:val="1"/>
    <w:autoRedefine/>
    <w:unhideWhenUsed/>
    <w:qFormat/>
    <w:uiPriority w:val="39"/>
    <w:pPr>
      <w:keepNext/>
      <w:pageBreakBefore/>
      <w:spacing w:before="156" w:after="156"/>
      <w:outlineLvl w:val="9"/>
    </w:pPr>
    <w:rPr>
      <w:rFonts w:ascii="Cambria" w:hAnsi="Cambria"/>
      <w:bCs w:val="0"/>
      <w:iCs/>
      <w:kern w:val="32"/>
      <w:szCs w:val="32"/>
    </w:rPr>
  </w:style>
  <w:style w:type="character" w:customStyle="1" w:styleId="216">
    <w:name w:val="不明显强调1"/>
    <w:basedOn w:val="52"/>
    <w:autoRedefine/>
    <w:qFormat/>
    <w:uiPriority w:val="19"/>
    <w:rPr>
      <w:i/>
      <w:iCs/>
      <w:color w:val="808080"/>
    </w:rPr>
  </w:style>
  <w:style w:type="character" w:customStyle="1" w:styleId="217">
    <w:name w:val="fontstyle01"/>
    <w:basedOn w:val="52"/>
    <w:autoRedefine/>
    <w:qFormat/>
    <w:uiPriority w:val="0"/>
    <w:rPr>
      <w:rFonts w:hint="default" w:ascii="仿宋" w:hAnsi="仿宋"/>
      <w:color w:val="000000"/>
      <w:sz w:val="28"/>
      <w:szCs w:val="28"/>
    </w:rPr>
  </w:style>
  <w:style w:type="paragraph" w:customStyle="1" w:styleId="218">
    <w:name w:val="样式 四号 左 行距: 1.5 倍行距 首行缩进:  2 字符"/>
    <w:basedOn w:val="1"/>
    <w:autoRedefine/>
    <w:qFormat/>
    <w:uiPriority w:val="0"/>
    <w:pPr>
      <w:ind w:firstLine="560"/>
    </w:pPr>
    <w:rPr>
      <w:rFonts w:cs="宋体"/>
    </w:rPr>
  </w:style>
  <w:style w:type="paragraph" w:customStyle="1" w:styleId="219">
    <w:name w:val="彩色列表 - 强调文字颜色 11"/>
    <w:basedOn w:val="1"/>
    <w:autoRedefine/>
    <w:qFormat/>
    <w:uiPriority w:val="0"/>
    <w:pPr>
      <w:spacing w:line="240" w:lineRule="auto"/>
      <w:ind w:firstLine="420"/>
    </w:pPr>
    <w:rPr>
      <w:rFonts w:ascii="Calibri" w:hAnsi="Calibri"/>
      <w:sz w:val="21"/>
    </w:rPr>
  </w:style>
  <w:style w:type="paragraph" w:customStyle="1" w:styleId="220">
    <w:name w:val="图表标题-带单位"/>
    <w:basedOn w:val="165"/>
    <w:link w:val="221"/>
    <w:autoRedefine/>
    <w:qFormat/>
    <w:uiPriority w:val="0"/>
    <w:pPr>
      <w:jc w:val="right"/>
    </w:pPr>
  </w:style>
  <w:style w:type="character" w:customStyle="1" w:styleId="221">
    <w:name w:val="图表标题-带单位 Char"/>
    <w:basedOn w:val="170"/>
    <w:link w:val="220"/>
    <w:autoRedefine/>
    <w:qFormat/>
    <w:uiPriority w:val="0"/>
    <w:rPr>
      <w:rFonts w:ascii="Times New Roman" w:hAnsi="Times New Roman" w:eastAsia="宋体" w:cs="Times New Roman"/>
      <w:color w:val="000000"/>
      <w:kern w:val="0"/>
      <w:sz w:val="24"/>
      <w:szCs w:val="21"/>
    </w:rPr>
  </w:style>
  <w:style w:type="paragraph" w:customStyle="1" w:styleId="222">
    <w:name w:val="目录标题"/>
    <w:basedOn w:val="2"/>
    <w:link w:val="223"/>
    <w:autoRedefine/>
    <w:qFormat/>
    <w:uiPriority w:val="0"/>
    <w:pPr>
      <w:keepNext/>
      <w:keepLines/>
      <w:adjustRightInd w:val="0"/>
      <w:snapToGrid w:val="0"/>
    </w:pPr>
  </w:style>
  <w:style w:type="character" w:customStyle="1" w:styleId="223">
    <w:name w:val="目录标题 Char"/>
    <w:basedOn w:val="62"/>
    <w:link w:val="222"/>
    <w:autoRedefine/>
    <w:qFormat/>
    <w:uiPriority w:val="0"/>
    <w:rPr>
      <w:rFonts w:ascii="Times New Roman" w:hAnsi="Times New Roman" w:eastAsia="宋体" w:cs="Times New Roman"/>
      <w:kern w:val="44"/>
      <w:sz w:val="44"/>
      <w:szCs w:val="44"/>
    </w:rPr>
  </w:style>
  <w:style w:type="paragraph" w:customStyle="1" w:styleId="224">
    <w:name w:val="Char Char Char Char"/>
    <w:basedOn w:val="1"/>
    <w:autoRedefine/>
    <w:qFormat/>
    <w:uiPriority w:val="0"/>
    <w:pPr>
      <w:spacing w:line="240" w:lineRule="auto"/>
    </w:pPr>
    <w:rPr>
      <w:szCs w:val="24"/>
    </w:rPr>
  </w:style>
  <w:style w:type="character" w:customStyle="1" w:styleId="225">
    <w:name w:val="图名称 Char"/>
    <w:link w:val="226"/>
    <w:autoRedefine/>
    <w:qFormat/>
    <w:uiPriority w:val="0"/>
    <w:rPr>
      <w:b/>
      <w:sz w:val="24"/>
    </w:rPr>
  </w:style>
  <w:style w:type="paragraph" w:customStyle="1" w:styleId="226">
    <w:name w:val="图名称"/>
    <w:basedOn w:val="166"/>
    <w:link w:val="225"/>
    <w:autoRedefine/>
    <w:qFormat/>
    <w:uiPriority w:val="0"/>
    <w:pPr>
      <w:keepNext w:val="0"/>
    </w:pPr>
    <w:rPr>
      <w:rFonts w:asciiTheme="minorHAnsi" w:hAnsiTheme="minorHAnsi" w:eastAsiaTheme="minorEastAsia" w:cstheme="minorBidi"/>
      <w:b/>
      <w:color w:val="auto"/>
      <w:kern w:val="2"/>
      <w:sz w:val="24"/>
      <w:szCs w:val="22"/>
    </w:rPr>
  </w:style>
  <w:style w:type="character" w:customStyle="1" w:styleId="227">
    <w:name w:val="无"/>
    <w:autoRedefine/>
    <w:qFormat/>
    <w:uiPriority w:val="0"/>
  </w:style>
  <w:style w:type="paragraph" w:customStyle="1" w:styleId="228">
    <w:name w:val="无间隔1"/>
    <w:basedOn w:val="1"/>
    <w:next w:val="18"/>
    <w:autoRedefine/>
    <w:qFormat/>
    <w:uiPriority w:val="99"/>
    <w:pPr>
      <w:tabs>
        <w:tab w:val="right" w:pos="8502"/>
        <w:tab w:val="right" w:pos="8802"/>
      </w:tabs>
      <w:kinsoku w:val="0"/>
      <w:autoSpaceDE w:val="0"/>
      <w:autoSpaceDN w:val="0"/>
      <w:adjustRightInd w:val="0"/>
      <w:snapToGrid w:val="0"/>
      <w:spacing w:line="240" w:lineRule="auto"/>
      <w:jc w:val="center"/>
      <w:textAlignment w:val="baseline"/>
    </w:pPr>
    <w:rPr>
      <w:sz w:val="21"/>
      <w:szCs w:val="21"/>
    </w:rPr>
  </w:style>
  <w:style w:type="character" w:customStyle="1" w:styleId="229">
    <w:name w:val="表格内段落 Char"/>
    <w:link w:val="230"/>
    <w:autoRedefine/>
    <w:qFormat/>
    <w:uiPriority w:val="0"/>
    <w:rPr>
      <w:szCs w:val="21"/>
    </w:rPr>
  </w:style>
  <w:style w:type="paragraph" w:customStyle="1" w:styleId="230">
    <w:name w:val="表格内段落"/>
    <w:basedOn w:val="1"/>
    <w:link w:val="229"/>
    <w:autoRedefine/>
    <w:qFormat/>
    <w:uiPriority w:val="0"/>
    <w:pPr>
      <w:tabs>
        <w:tab w:val="left" w:pos="1980"/>
        <w:tab w:val="left" w:pos="3825"/>
        <w:tab w:val="left" w:pos="4680"/>
      </w:tabs>
      <w:spacing w:line="240" w:lineRule="auto"/>
      <w:ind w:firstLine="420"/>
    </w:pPr>
    <w:rPr>
      <w:rFonts w:asciiTheme="minorHAnsi" w:hAnsiTheme="minorHAnsi" w:eastAsiaTheme="minorEastAsia" w:cstheme="minorBidi"/>
      <w:sz w:val="21"/>
      <w:szCs w:val="21"/>
    </w:rPr>
  </w:style>
  <w:style w:type="paragraph" w:customStyle="1" w:styleId="231">
    <w:name w:val="表格内段落（顶格）"/>
    <w:basedOn w:val="230"/>
    <w:autoRedefine/>
    <w:qFormat/>
    <w:uiPriority w:val="0"/>
    <w:pPr>
      <w:ind w:firstLine="0"/>
      <w:jc w:val="center"/>
    </w:pPr>
  </w:style>
  <w:style w:type="paragraph" w:customStyle="1" w:styleId="232">
    <w:name w:val="目录"/>
    <w:basedOn w:val="1"/>
    <w:autoRedefine/>
    <w:qFormat/>
    <w:uiPriority w:val="0"/>
    <w:pPr>
      <w:tabs>
        <w:tab w:val="left" w:pos="1980"/>
        <w:tab w:val="left" w:pos="3825"/>
        <w:tab w:val="left" w:pos="4680"/>
      </w:tabs>
      <w:jc w:val="center"/>
    </w:pPr>
    <w:rPr>
      <w:rFonts w:cs="Calibri"/>
      <w:b/>
      <w:sz w:val="36"/>
      <w:szCs w:val="36"/>
    </w:rPr>
  </w:style>
  <w:style w:type="paragraph" w:customStyle="1" w:styleId="233">
    <w:name w:val="首页标题"/>
    <w:basedOn w:val="1"/>
    <w:autoRedefine/>
    <w:qFormat/>
    <w:uiPriority w:val="0"/>
    <w:pPr>
      <w:tabs>
        <w:tab w:val="left" w:pos="1980"/>
        <w:tab w:val="left" w:pos="3825"/>
        <w:tab w:val="left" w:pos="4680"/>
      </w:tabs>
      <w:jc w:val="center"/>
    </w:pPr>
    <w:rPr>
      <w:b/>
      <w:sz w:val="44"/>
      <w:szCs w:val="44"/>
    </w:rPr>
  </w:style>
  <w:style w:type="paragraph" w:customStyle="1" w:styleId="234">
    <w:name w:val="注释"/>
    <w:basedOn w:val="167"/>
    <w:autoRedefine/>
    <w:qFormat/>
    <w:uiPriority w:val="0"/>
    <w:pPr>
      <w:spacing w:line="240" w:lineRule="auto"/>
      <w:jc w:val="left"/>
    </w:pPr>
    <w:rPr>
      <w:b w:val="0"/>
      <w:color w:val="auto"/>
      <w:kern w:val="2"/>
      <w:sz w:val="21"/>
      <w:szCs w:val="21"/>
    </w:rPr>
  </w:style>
  <w:style w:type="paragraph" w:customStyle="1" w:styleId="235">
    <w:name w:val="表格内文字（两端对齐）"/>
    <w:basedOn w:val="166"/>
    <w:autoRedefine/>
    <w:qFormat/>
    <w:uiPriority w:val="0"/>
    <w:pPr>
      <w:keepNext w:val="0"/>
      <w:bidi/>
    </w:pPr>
    <w:rPr>
      <w:snapToGrid w:val="0"/>
    </w:rPr>
  </w:style>
  <w:style w:type="paragraph" w:customStyle="1" w:styleId="236">
    <w:name w:val="备注"/>
    <w:basedOn w:val="5"/>
    <w:link w:val="237"/>
    <w:autoRedefine/>
    <w:qFormat/>
    <w:uiPriority w:val="0"/>
    <w:pPr>
      <w:keepNext/>
      <w:keepLines/>
      <w:tabs>
        <w:tab w:val="left" w:pos="1980"/>
        <w:tab w:val="left" w:pos="3825"/>
        <w:tab w:val="left" w:pos="4680"/>
        <w:tab w:val="clear" w:pos="5400"/>
      </w:tabs>
      <w:spacing w:line="240" w:lineRule="auto"/>
    </w:pPr>
    <w:rPr>
      <w:b w:val="0"/>
      <w:bCs w:val="0"/>
      <w:sz w:val="21"/>
      <w:szCs w:val="21"/>
    </w:rPr>
  </w:style>
  <w:style w:type="character" w:customStyle="1" w:styleId="237">
    <w:name w:val="备注 字符"/>
    <w:basedOn w:val="238"/>
    <w:link w:val="236"/>
    <w:autoRedefine/>
    <w:qFormat/>
    <w:uiPriority w:val="0"/>
    <w:rPr>
      <w:rFonts w:ascii="Times New Roman" w:hAnsi="Times New Roman" w:eastAsia="宋体" w:cs="Times New Roman"/>
      <w:szCs w:val="21"/>
    </w:rPr>
  </w:style>
  <w:style w:type="character" w:customStyle="1" w:styleId="238">
    <w:name w:val="表格内文字 字符"/>
    <w:basedOn w:val="52"/>
    <w:autoRedefine/>
    <w:qFormat/>
    <w:uiPriority w:val="0"/>
    <w:rPr>
      <w:rFonts w:ascii="Times New Roman" w:hAnsi="Times New Roman" w:eastAsia="宋体"/>
    </w:rPr>
  </w:style>
  <w:style w:type="paragraph" w:customStyle="1" w:styleId="239">
    <w:name w:val="默认"/>
    <w:autoRedefine/>
    <w:qFormat/>
    <w:uiPriority w:val="0"/>
    <w:pPr>
      <w:framePr w:wrap="around" w:vAnchor="margin" w:hAnchor="text" w:yAlign="top"/>
      <w:spacing w:beforeLines="50" w:afterLines="50" w:line="360" w:lineRule="auto"/>
    </w:pPr>
    <w:rPr>
      <w:rFonts w:ascii="Helvetica Neue" w:hAnsi="Helvetica Neue" w:eastAsia="Helvetica Neue" w:cs="Helvetica Neue"/>
      <w:color w:val="000000"/>
      <w:sz w:val="22"/>
      <w:szCs w:val="22"/>
      <w:lang w:val="en-US" w:eastAsia="zh-CN" w:bidi="ar-SA"/>
    </w:rPr>
  </w:style>
  <w:style w:type="paragraph" w:customStyle="1" w:styleId="240">
    <w:name w:val="报告书项目名称"/>
    <w:basedOn w:val="241"/>
    <w:autoRedefine/>
    <w:qFormat/>
    <w:uiPriority w:val="0"/>
    <w:pPr>
      <w:tabs>
        <w:tab w:val="left" w:pos="1980"/>
        <w:tab w:val="left" w:pos="3825"/>
        <w:tab w:val="left" w:pos="4680"/>
      </w:tabs>
      <w:jc w:val="center"/>
    </w:pPr>
    <w:rPr>
      <w:sz w:val="44"/>
    </w:rPr>
  </w:style>
  <w:style w:type="paragraph" w:customStyle="1" w:styleId="241">
    <w:name w:val="证书编号"/>
    <w:basedOn w:val="1"/>
    <w:autoRedefine/>
    <w:qFormat/>
    <w:uiPriority w:val="0"/>
    <w:pPr>
      <w:tabs>
        <w:tab w:val="left" w:pos="1980"/>
        <w:tab w:val="left" w:pos="3825"/>
        <w:tab w:val="left" w:pos="4680"/>
      </w:tabs>
    </w:pPr>
    <w:rPr>
      <w:rFonts w:eastAsia="黑体" w:cs="Calibri"/>
      <w:b/>
      <w:sz w:val="28"/>
      <w:szCs w:val="24"/>
    </w:rPr>
  </w:style>
  <w:style w:type="paragraph" w:customStyle="1" w:styleId="242">
    <w:name w:val="建设单位"/>
    <w:basedOn w:val="243"/>
    <w:autoRedefine/>
    <w:qFormat/>
    <w:uiPriority w:val="0"/>
    <w:pPr>
      <w:tabs>
        <w:tab w:val="left" w:pos="1980"/>
        <w:tab w:val="left" w:pos="3825"/>
        <w:tab w:val="left" w:pos="4680"/>
      </w:tabs>
      <w:jc w:val="both"/>
    </w:pPr>
    <w:rPr>
      <w:b/>
      <w:sz w:val="28"/>
    </w:rPr>
  </w:style>
  <w:style w:type="paragraph" w:customStyle="1" w:styleId="243">
    <w:name w:val="（报批稿）"/>
    <w:basedOn w:val="240"/>
    <w:autoRedefine/>
    <w:qFormat/>
    <w:uiPriority w:val="0"/>
    <w:rPr>
      <w:b w:val="0"/>
      <w:sz w:val="30"/>
    </w:rPr>
  </w:style>
  <w:style w:type="paragraph" w:customStyle="1" w:styleId="244">
    <w:name w:val="表号"/>
    <w:autoRedefine/>
    <w:qFormat/>
    <w:uiPriority w:val="0"/>
    <w:pPr>
      <w:adjustRightInd w:val="0"/>
      <w:snapToGrid w:val="0"/>
      <w:spacing w:beforeLines="50" w:afterLines="50" w:line="240" w:lineRule="atLeast"/>
      <w:jc w:val="both"/>
      <w:outlineLvl w:val="4"/>
    </w:pPr>
    <w:rPr>
      <w:rFonts w:ascii="宋体" w:hAnsi="宋体" w:eastAsia="宋体" w:cs="Calibri"/>
      <w:snapToGrid w:val="0"/>
      <w:sz w:val="24"/>
      <w:szCs w:val="24"/>
      <w:lang w:val="en-US" w:eastAsia="zh-CN" w:bidi="ar-SA"/>
    </w:rPr>
  </w:style>
  <w:style w:type="paragraph" w:customStyle="1" w:styleId="245">
    <w:name w:val="图表标题-单位"/>
    <w:basedOn w:val="165"/>
    <w:link w:val="246"/>
    <w:autoRedefine/>
    <w:qFormat/>
    <w:uiPriority w:val="0"/>
    <w:pPr>
      <w:autoSpaceDE w:val="0"/>
      <w:autoSpaceDN w:val="0"/>
      <w:jc w:val="right"/>
    </w:pPr>
  </w:style>
  <w:style w:type="character" w:customStyle="1" w:styleId="246">
    <w:name w:val="图表标题-单位 Char"/>
    <w:basedOn w:val="170"/>
    <w:link w:val="245"/>
    <w:autoRedefine/>
    <w:qFormat/>
    <w:uiPriority w:val="0"/>
    <w:rPr>
      <w:rFonts w:ascii="Times New Roman" w:hAnsi="Times New Roman" w:eastAsia="宋体" w:cs="Times New Roman"/>
      <w:color w:val="000000"/>
      <w:kern w:val="0"/>
      <w:sz w:val="24"/>
      <w:szCs w:val="21"/>
    </w:rPr>
  </w:style>
  <w:style w:type="character" w:customStyle="1" w:styleId="247">
    <w:name w:val="表格 Char"/>
    <w:autoRedefine/>
    <w:qFormat/>
    <w:uiPriority w:val="0"/>
    <w:rPr>
      <w:rFonts w:eastAsia="楷体_GB2312"/>
      <w:sz w:val="21"/>
      <w:lang w:val="en-US" w:eastAsia="zh-CN" w:bidi="ar-SA"/>
    </w:rPr>
  </w:style>
  <w:style w:type="character" w:customStyle="1" w:styleId="248">
    <w:name w:val="font41"/>
    <w:basedOn w:val="52"/>
    <w:autoRedefine/>
    <w:qFormat/>
    <w:uiPriority w:val="0"/>
    <w:rPr>
      <w:rFonts w:hint="default" w:ascii="Times New Roman" w:hAnsi="Times New Roman" w:cs="Times New Roman"/>
      <w:color w:val="000000"/>
      <w:sz w:val="16"/>
      <w:szCs w:val="16"/>
      <w:u w:val="none"/>
    </w:rPr>
  </w:style>
  <w:style w:type="paragraph" w:customStyle="1" w:styleId="249">
    <w:name w:val="正文 New New New New New New New New New"/>
    <w:autoRedefine/>
    <w:qFormat/>
    <w:uiPriority w:val="0"/>
    <w:pPr>
      <w:widowControl w:val="0"/>
      <w:spacing w:beforeLines="50" w:afterLines="50" w:line="360" w:lineRule="auto"/>
      <w:jc w:val="both"/>
    </w:pPr>
    <w:rPr>
      <w:rFonts w:ascii="Times New Roman" w:hAnsi="Times New Roman" w:eastAsia="宋体" w:cs="Times New Roman"/>
      <w:kern w:val="2"/>
      <w:sz w:val="21"/>
      <w:szCs w:val="24"/>
      <w:lang w:val="en-US" w:eastAsia="zh-CN" w:bidi="ar-SA"/>
    </w:rPr>
  </w:style>
  <w:style w:type="character" w:customStyle="1" w:styleId="250">
    <w:name w:val="正文文本_"/>
    <w:link w:val="251"/>
    <w:autoRedefine/>
    <w:unhideWhenUsed/>
    <w:qFormat/>
    <w:uiPriority w:val="99"/>
    <w:rPr>
      <w:rFonts w:ascii="MingLiU" w:hAnsi="MingLiU" w:eastAsia="MingLiU"/>
      <w:spacing w:val="10"/>
      <w:shd w:val="clear" w:color="auto" w:fill="FFFFFF"/>
    </w:rPr>
  </w:style>
  <w:style w:type="paragraph" w:customStyle="1" w:styleId="251">
    <w:name w:val="正文文本1"/>
    <w:basedOn w:val="1"/>
    <w:link w:val="250"/>
    <w:autoRedefine/>
    <w:unhideWhenUsed/>
    <w:qFormat/>
    <w:uiPriority w:val="99"/>
    <w:pPr>
      <w:shd w:val="clear" w:color="auto" w:fill="FFFFFF"/>
      <w:spacing w:line="466" w:lineRule="exact"/>
      <w:jc w:val="distribute"/>
    </w:pPr>
    <w:rPr>
      <w:rFonts w:ascii="MingLiU" w:hAnsi="MingLiU" w:eastAsia="MingLiU" w:cstheme="minorBidi"/>
      <w:spacing w:val="10"/>
      <w:sz w:val="21"/>
      <w:szCs w:val="22"/>
    </w:rPr>
  </w:style>
  <w:style w:type="paragraph" w:customStyle="1" w:styleId="252">
    <w:name w:val="Char Char7"/>
    <w:basedOn w:val="1"/>
    <w:autoRedefine/>
    <w:qFormat/>
    <w:uiPriority w:val="0"/>
    <w:pPr>
      <w:adjustRightInd w:val="0"/>
      <w:spacing w:line="240" w:lineRule="auto"/>
      <w:textAlignment w:val="baseline"/>
    </w:pPr>
    <w:rPr>
      <w:sz w:val="21"/>
      <w:szCs w:val="24"/>
    </w:rPr>
  </w:style>
  <w:style w:type="paragraph" w:customStyle="1" w:styleId="253">
    <w:name w:val="自编号正文"/>
    <w:basedOn w:val="192"/>
    <w:link w:val="254"/>
    <w:autoRedefine/>
    <w:qFormat/>
    <w:uiPriority w:val="0"/>
    <w:pPr>
      <w:numPr>
        <w:ilvl w:val="0"/>
        <w:numId w:val="4"/>
      </w:numPr>
      <w:ind w:firstLine="200"/>
    </w:pPr>
  </w:style>
  <w:style w:type="character" w:customStyle="1" w:styleId="254">
    <w:name w:val="自编号正文 字符"/>
    <w:basedOn w:val="193"/>
    <w:link w:val="253"/>
    <w:autoRedefine/>
    <w:qFormat/>
    <w:uiPriority w:val="0"/>
    <w:rPr>
      <w:rFonts w:ascii="Times New Roman" w:hAnsi="Times New Roman" w:eastAsia="宋体" w:cs="Times New Roman"/>
      <w:sz w:val="24"/>
      <w:szCs w:val="24"/>
    </w:rPr>
  </w:style>
  <w:style w:type="paragraph" w:customStyle="1" w:styleId="255">
    <w:name w:val="2级标题"/>
    <w:basedOn w:val="3"/>
    <w:link w:val="256"/>
    <w:autoRedefine/>
    <w:qFormat/>
    <w:uiPriority w:val="0"/>
    <w:pPr>
      <w:keepNext/>
      <w:keepLines/>
      <w:numPr>
        <w:ilvl w:val="0"/>
        <w:numId w:val="5"/>
      </w:numPr>
      <w:adjustRightInd w:val="0"/>
      <w:snapToGrid w:val="0"/>
    </w:pPr>
  </w:style>
  <w:style w:type="character" w:customStyle="1" w:styleId="256">
    <w:name w:val="2级标题 字符"/>
    <w:basedOn w:val="63"/>
    <w:link w:val="255"/>
    <w:autoRedefine/>
    <w:qFormat/>
    <w:uiPriority w:val="0"/>
    <w:rPr>
      <w:rFonts w:ascii="Times New Roman" w:hAnsi="Times New Roman" w:eastAsia="宋体" w:cs="Times New Roman"/>
      <w:kern w:val="0"/>
      <w:sz w:val="32"/>
      <w:szCs w:val="32"/>
    </w:rPr>
  </w:style>
  <w:style w:type="paragraph" w:customStyle="1" w:styleId="257">
    <w:name w:val="3级标题"/>
    <w:basedOn w:val="4"/>
    <w:link w:val="258"/>
    <w:autoRedefine/>
    <w:qFormat/>
    <w:uiPriority w:val="0"/>
    <w:pPr>
      <w:keepNext/>
      <w:keepLines/>
      <w:numPr>
        <w:ilvl w:val="0"/>
        <w:numId w:val="6"/>
      </w:numPr>
      <w:ind w:left="0" w:firstLine="0"/>
    </w:pPr>
    <w:rPr>
      <w:szCs w:val="32"/>
    </w:rPr>
  </w:style>
  <w:style w:type="character" w:customStyle="1" w:styleId="258">
    <w:name w:val="3级标题 字符"/>
    <w:basedOn w:val="64"/>
    <w:link w:val="257"/>
    <w:autoRedefine/>
    <w:qFormat/>
    <w:uiPriority w:val="0"/>
    <w:rPr>
      <w:rFonts w:ascii="Times New Roman" w:hAnsi="Times New Roman" w:eastAsia="宋体" w:cs="Times New Roman"/>
      <w:snapToGrid w:val="0"/>
      <w:kern w:val="0"/>
      <w:sz w:val="28"/>
      <w:szCs w:val="32"/>
    </w:rPr>
  </w:style>
  <w:style w:type="paragraph" w:customStyle="1" w:styleId="259">
    <w:name w:val="4级标题"/>
    <w:basedOn w:val="5"/>
    <w:link w:val="260"/>
    <w:autoRedefine/>
    <w:qFormat/>
    <w:uiPriority w:val="0"/>
    <w:pPr>
      <w:keepNext/>
      <w:keepLines/>
      <w:tabs>
        <w:tab w:val="clear" w:pos="5400"/>
      </w:tabs>
      <w:adjustRightInd w:val="0"/>
      <w:snapToGrid w:val="0"/>
      <w:ind w:left="425" w:hanging="425"/>
    </w:pPr>
    <w:rPr>
      <w:kern w:val="0"/>
    </w:rPr>
  </w:style>
  <w:style w:type="character" w:customStyle="1" w:styleId="260">
    <w:name w:val="4级标题 字符"/>
    <w:basedOn w:val="65"/>
    <w:link w:val="259"/>
    <w:autoRedefine/>
    <w:qFormat/>
    <w:uiPriority w:val="0"/>
    <w:rPr>
      <w:rFonts w:ascii="Times New Roman" w:hAnsi="Times New Roman" w:eastAsia="宋体" w:cs="Times New Roman"/>
      <w:sz w:val="24"/>
      <w:szCs w:val="28"/>
    </w:rPr>
  </w:style>
  <w:style w:type="paragraph" w:customStyle="1" w:styleId="261">
    <w:name w:val="表格文字小四"/>
    <w:basedOn w:val="1"/>
    <w:autoRedefine/>
    <w:qFormat/>
    <w:uiPriority w:val="0"/>
    <w:pPr>
      <w:spacing w:line="240" w:lineRule="auto"/>
      <w:jc w:val="center"/>
    </w:pPr>
    <w:rPr>
      <w:rFonts w:ascii="Times" w:hAnsi="Times"/>
      <w:kern w:val="24"/>
      <w:szCs w:val="24"/>
    </w:rPr>
  </w:style>
  <w:style w:type="character" w:customStyle="1" w:styleId="262">
    <w:name w:val="正文首行缩进 Char Char"/>
    <w:link w:val="263"/>
    <w:autoRedefine/>
    <w:qFormat/>
    <w:uiPriority w:val="0"/>
  </w:style>
  <w:style w:type="paragraph" w:customStyle="1" w:styleId="263">
    <w:name w:val="正文首行缩进1"/>
    <w:basedOn w:val="1"/>
    <w:link w:val="262"/>
    <w:autoRedefine/>
    <w:qFormat/>
    <w:uiPriority w:val="0"/>
    <w:pPr>
      <w:snapToGrid w:val="0"/>
      <w:spacing w:after="120" w:line="240" w:lineRule="auto"/>
      <w:ind w:firstLine="420" w:firstLineChars="100"/>
    </w:pPr>
    <w:rPr>
      <w:rFonts w:asciiTheme="minorHAnsi" w:hAnsiTheme="minorHAnsi" w:eastAsiaTheme="minorEastAsia" w:cstheme="minorBidi"/>
      <w:sz w:val="21"/>
      <w:szCs w:val="22"/>
    </w:rPr>
  </w:style>
  <w:style w:type="character" w:customStyle="1" w:styleId="264">
    <w:name w:val="茂名 正文 Char"/>
    <w:link w:val="265"/>
    <w:autoRedefine/>
    <w:qFormat/>
    <w:locked/>
    <w:uiPriority w:val="0"/>
    <w:rPr>
      <w:rFonts w:ascii="Arial" w:hAnsi="Arial" w:cs="Arial"/>
      <w:sz w:val="24"/>
      <w:szCs w:val="24"/>
    </w:rPr>
  </w:style>
  <w:style w:type="paragraph" w:customStyle="1" w:styleId="265">
    <w:name w:val="茂名 正文"/>
    <w:basedOn w:val="1"/>
    <w:link w:val="264"/>
    <w:autoRedefine/>
    <w:qFormat/>
    <w:uiPriority w:val="0"/>
    <w:pPr>
      <w:topLinePunct/>
      <w:spacing w:line="480" w:lineRule="exact"/>
      <w:ind w:firstLine="539"/>
    </w:pPr>
    <w:rPr>
      <w:rFonts w:ascii="Arial" w:hAnsi="Arial" w:cs="Arial" w:eastAsiaTheme="minorEastAsia"/>
      <w:szCs w:val="24"/>
    </w:rPr>
  </w:style>
  <w:style w:type="character" w:customStyle="1" w:styleId="266">
    <w:name w:val="正文样式 Char1"/>
    <w:link w:val="267"/>
    <w:qFormat/>
    <w:uiPriority w:val="0"/>
    <w:rPr>
      <w:sz w:val="28"/>
      <w:szCs w:val="24"/>
    </w:rPr>
  </w:style>
  <w:style w:type="paragraph" w:customStyle="1" w:styleId="267">
    <w:name w:val="正文样式"/>
    <w:basedOn w:val="1"/>
    <w:link w:val="266"/>
    <w:qFormat/>
    <w:uiPriority w:val="0"/>
    <w:rPr>
      <w:rFonts w:asciiTheme="minorHAnsi" w:hAnsiTheme="minorHAnsi" w:eastAsiaTheme="minorEastAsia" w:cstheme="minorBidi"/>
      <w:sz w:val="28"/>
      <w:szCs w:val="24"/>
    </w:rPr>
  </w:style>
  <w:style w:type="character" w:customStyle="1" w:styleId="268">
    <w:name w:val="批注主题 Char Char"/>
    <w:link w:val="269"/>
    <w:qFormat/>
    <w:uiPriority w:val="0"/>
    <w:rPr>
      <w:b/>
      <w:bCs/>
      <w:sz w:val="24"/>
      <w:szCs w:val="28"/>
    </w:rPr>
  </w:style>
  <w:style w:type="paragraph" w:customStyle="1" w:styleId="269">
    <w:name w:val="批注主题1"/>
    <w:basedOn w:val="270"/>
    <w:next w:val="270"/>
    <w:link w:val="268"/>
    <w:qFormat/>
    <w:uiPriority w:val="0"/>
    <w:pPr>
      <w:snapToGrid/>
      <w:spacing w:before="100" w:beforeAutospacing="1" w:after="100" w:afterAutospacing="1"/>
    </w:pPr>
    <w:rPr>
      <w:rFonts w:asciiTheme="minorHAnsi" w:hAnsiTheme="minorHAnsi" w:eastAsiaTheme="minorEastAsia" w:cstheme="minorBidi"/>
      <w:b/>
      <w:bCs/>
      <w:szCs w:val="28"/>
    </w:rPr>
  </w:style>
  <w:style w:type="paragraph" w:customStyle="1" w:styleId="270">
    <w:name w:val="批注文字1"/>
    <w:basedOn w:val="1"/>
    <w:link w:val="271"/>
    <w:qFormat/>
    <w:uiPriority w:val="0"/>
    <w:pPr>
      <w:snapToGrid w:val="0"/>
    </w:pPr>
    <w:rPr>
      <w:szCs w:val="24"/>
    </w:rPr>
  </w:style>
  <w:style w:type="character" w:customStyle="1" w:styleId="271">
    <w:name w:val="批注文字 Char Char"/>
    <w:link w:val="270"/>
    <w:qFormat/>
    <w:uiPriority w:val="0"/>
    <w:rPr>
      <w:rFonts w:ascii="Times New Roman" w:hAnsi="Times New Roman" w:eastAsia="宋体" w:cs="Times New Roman"/>
      <w:sz w:val="24"/>
      <w:szCs w:val="24"/>
    </w:rPr>
  </w:style>
  <w:style w:type="character" w:customStyle="1" w:styleId="272">
    <w:name w:val="正文文本缩进 2 Char Char"/>
    <w:link w:val="273"/>
    <w:qFormat/>
    <w:uiPriority w:val="0"/>
    <w:rPr>
      <w:rFonts w:ascii="宋体"/>
      <w:sz w:val="28"/>
    </w:rPr>
  </w:style>
  <w:style w:type="paragraph" w:customStyle="1" w:styleId="273">
    <w:name w:val="正文文本缩进 21"/>
    <w:basedOn w:val="1"/>
    <w:link w:val="272"/>
    <w:qFormat/>
    <w:uiPriority w:val="0"/>
    <w:pPr>
      <w:snapToGrid w:val="0"/>
      <w:ind w:firstLine="630"/>
    </w:pPr>
    <w:rPr>
      <w:rFonts w:ascii="宋体" w:hAnsiTheme="minorHAnsi" w:eastAsiaTheme="minorEastAsia" w:cstheme="minorBidi"/>
      <w:sz w:val="28"/>
      <w:szCs w:val="22"/>
    </w:rPr>
  </w:style>
  <w:style w:type="character" w:customStyle="1" w:styleId="274">
    <w:name w:val="规定正文 Char"/>
    <w:link w:val="275"/>
    <w:qFormat/>
    <w:uiPriority w:val="0"/>
    <w:rPr>
      <w:sz w:val="24"/>
    </w:rPr>
  </w:style>
  <w:style w:type="paragraph" w:customStyle="1" w:styleId="275">
    <w:name w:val="规定正文"/>
    <w:link w:val="274"/>
    <w:qFormat/>
    <w:uiPriority w:val="0"/>
    <w:pPr>
      <w:spacing w:beforeLines="50" w:afterLines="50" w:line="440" w:lineRule="atLeast"/>
      <w:ind w:left="425" w:firstLine="425"/>
      <w:contextualSpacing/>
      <w:jc w:val="both"/>
    </w:pPr>
    <w:rPr>
      <w:rFonts w:asciiTheme="minorHAnsi" w:hAnsiTheme="minorHAnsi" w:eastAsiaTheme="minorEastAsia" w:cstheme="minorBidi"/>
      <w:kern w:val="2"/>
      <w:sz w:val="24"/>
      <w:szCs w:val="22"/>
      <w:lang w:val="en-US" w:eastAsia="zh-CN" w:bidi="ar-SA"/>
    </w:rPr>
  </w:style>
  <w:style w:type="character" w:customStyle="1" w:styleId="276">
    <w:name w:val="样式3 Char"/>
    <w:qFormat/>
    <w:locked/>
    <w:uiPriority w:val="0"/>
  </w:style>
  <w:style w:type="character" w:customStyle="1" w:styleId="277">
    <w:name w:val="可研报告正文 Char Char"/>
    <w:link w:val="278"/>
    <w:qFormat/>
    <w:uiPriority w:val="0"/>
    <w:rPr>
      <w:sz w:val="24"/>
      <w:szCs w:val="24"/>
    </w:rPr>
  </w:style>
  <w:style w:type="paragraph" w:customStyle="1" w:styleId="278">
    <w:name w:val="可研报告正文"/>
    <w:link w:val="277"/>
    <w:qFormat/>
    <w:uiPriority w:val="0"/>
    <w:pPr>
      <w:tabs>
        <w:tab w:val="left" w:pos="5880"/>
      </w:tabs>
      <w:spacing w:beforeLines="50" w:afterLines="50" w:line="440" w:lineRule="exact"/>
      <w:ind w:left="425" w:firstLine="482"/>
      <w:jc w:val="both"/>
    </w:pPr>
    <w:rPr>
      <w:rFonts w:asciiTheme="minorHAnsi" w:hAnsiTheme="minorHAnsi" w:eastAsiaTheme="minorEastAsia" w:cstheme="minorBidi"/>
      <w:kern w:val="2"/>
      <w:sz w:val="24"/>
      <w:szCs w:val="24"/>
      <w:lang w:val="en-US" w:eastAsia="zh-CN" w:bidi="ar-SA"/>
    </w:rPr>
  </w:style>
  <w:style w:type="character" w:customStyle="1" w:styleId="279">
    <w:name w:val="样式3 Char Char"/>
    <w:basedOn w:val="280"/>
    <w:link w:val="282"/>
    <w:qFormat/>
    <w:uiPriority w:val="0"/>
    <w:rPr>
      <w:rFonts w:ascii="黑体" w:hAnsi="黑体" w:eastAsia="黑体"/>
      <w:kern w:val="44"/>
      <w:sz w:val="24"/>
      <w:szCs w:val="28"/>
      <w:lang w:val="zh-CN"/>
    </w:rPr>
  </w:style>
  <w:style w:type="character" w:customStyle="1" w:styleId="280">
    <w:name w:val="样式2 Char Char"/>
    <w:link w:val="281"/>
    <w:qFormat/>
    <w:uiPriority w:val="0"/>
    <w:rPr>
      <w:rFonts w:ascii="黑体" w:hAnsi="黑体" w:eastAsia="黑体"/>
      <w:b/>
      <w:bCs/>
      <w:kern w:val="44"/>
      <w:sz w:val="24"/>
      <w:szCs w:val="28"/>
      <w:lang w:val="zh-CN"/>
    </w:rPr>
  </w:style>
  <w:style w:type="paragraph" w:customStyle="1" w:styleId="281">
    <w:name w:val="样式2"/>
    <w:basedOn w:val="4"/>
    <w:link w:val="280"/>
    <w:qFormat/>
    <w:uiPriority w:val="0"/>
    <w:pPr>
      <w:tabs>
        <w:tab w:val="left" w:pos="720"/>
      </w:tabs>
      <w:spacing w:beforeLines="100"/>
      <w:jc w:val="center"/>
    </w:pPr>
    <w:rPr>
      <w:rFonts w:ascii="黑体" w:hAnsi="黑体" w:eastAsia="黑体" w:cstheme="minorBidi"/>
      <w:kern w:val="44"/>
      <w:szCs w:val="28"/>
      <w:lang w:val="zh-CN"/>
    </w:rPr>
  </w:style>
  <w:style w:type="paragraph" w:customStyle="1" w:styleId="282">
    <w:name w:val="样式3"/>
    <w:basedOn w:val="4"/>
    <w:link w:val="279"/>
    <w:qFormat/>
    <w:uiPriority w:val="0"/>
    <w:pPr>
      <w:tabs>
        <w:tab w:val="left" w:pos="720"/>
      </w:tabs>
      <w:spacing w:beforeLines="100"/>
      <w:jc w:val="center"/>
    </w:pPr>
    <w:rPr>
      <w:rFonts w:ascii="黑体" w:hAnsi="黑体" w:eastAsia="黑体" w:cstheme="minorBidi"/>
      <w:kern w:val="44"/>
      <w:szCs w:val="28"/>
      <w:lang w:val="zh-CN"/>
    </w:rPr>
  </w:style>
  <w:style w:type="character" w:customStyle="1" w:styleId="283">
    <w:name w:val="正文文本缩进 Char Char"/>
    <w:link w:val="284"/>
    <w:qFormat/>
    <w:uiPriority w:val="0"/>
    <w:rPr>
      <w:rFonts w:ascii="宋体"/>
      <w:sz w:val="28"/>
    </w:rPr>
  </w:style>
  <w:style w:type="paragraph" w:customStyle="1" w:styleId="284">
    <w:name w:val="正文文本缩进1"/>
    <w:basedOn w:val="1"/>
    <w:link w:val="283"/>
    <w:qFormat/>
    <w:uiPriority w:val="0"/>
    <w:pPr>
      <w:snapToGrid w:val="0"/>
      <w:ind w:firstLine="900"/>
    </w:pPr>
    <w:rPr>
      <w:rFonts w:ascii="宋体" w:hAnsiTheme="minorHAnsi" w:eastAsiaTheme="minorEastAsia" w:cstheme="minorBidi"/>
      <w:sz w:val="28"/>
      <w:szCs w:val="22"/>
    </w:rPr>
  </w:style>
  <w:style w:type="character" w:customStyle="1" w:styleId="285">
    <w:name w:val="标题 3 字符1"/>
    <w:qFormat/>
    <w:uiPriority w:val="0"/>
    <w:rPr>
      <w:rFonts w:ascii="宋体" w:hAnsi="宋体" w:eastAsia="黑体"/>
      <w:kern w:val="2"/>
      <w:sz w:val="28"/>
      <w:szCs w:val="28"/>
      <w:lang w:val="zh-CN"/>
    </w:rPr>
  </w:style>
  <w:style w:type="character" w:customStyle="1" w:styleId="286">
    <w:name w:val="标题 Char1"/>
    <w:qFormat/>
    <w:uiPriority w:val="10"/>
    <w:rPr>
      <w:rFonts w:ascii="Cambria" w:hAnsi="Cambria" w:cs="Times New Roman"/>
      <w:b/>
      <w:bCs/>
      <w:kern w:val="2"/>
      <w:sz w:val="32"/>
      <w:szCs w:val="32"/>
    </w:rPr>
  </w:style>
  <w:style w:type="character" w:customStyle="1" w:styleId="287">
    <w:name w:val="文档结构图 Char Char"/>
    <w:link w:val="288"/>
    <w:qFormat/>
    <w:uiPriority w:val="0"/>
    <w:rPr>
      <w:rFonts w:ascii="宋体"/>
      <w:sz w:val="18"/>
      <w:szCs w:val="18"/>
    </w:rPr>
  </w:style>
  <w:style w:type="paragraph" w:customStyle="1" w:styleId="288">
    <w:name w:val="文档结构图1"/>
    <w:basedOn w:val="1"/>
    <w:link w:val="287"/>
    <w:qFormat/>
    <w:uiPriority w:val="0"/>
    <w:pPr>
      <w:snapToGrid w:val="0"/>
    </w:pPr>
    <w:rPr>
      <w:rFonts w:ascii="宋体" w:hAnsiTheme="minorHAnsi" w:eastAsiaTheme="minorEastAsia" w:cstheme="minorBidi"/>
      <w:sz w:val="18"/>
      <w:szCs w:val="18"/>
    </w:rPr>
  </w:style>
  <w:style w:type="character" w:customStyle="1" w:styleId="289">
    <w:name w:val="apple-style-span"/>
    <w:basedOn w:val="52"/>
    <w:qFormat/>
    <w:uiPriority w:val="0"/>
  </w:style>
  <w:style w:type="character" w:customStyle="1" w:styleId="290">
    <w:name w:val="页脚 Char"/>
    <w:link w:val="291"/>
    <w:qFormat/>
    <w:uiPriority w:val="99"/>
    <w:rPr>
      <w:sz w:val="18"/>
    </w:rPr>
  </w:style>
  <w:style w:type="paragraph" w:customStyle="1" w:styleId="291">
    <w:name w:val="页脚1"/>
    <w:basedOn w:val="1"/>
    <w:link w:val="290"/>
    <w:qFormat/>
    <w:uiPriority w:val="99"/>
    <w:pPr>
      <w:pBdr>
        <w:top w:val="thickThinSmallGap" w:color="auto" w:sz="12" w:space="1"/>
      </w:pBdr>
      <w:tabs>
        <w:tab w:val="center" w:pos="4153"/>
        <w:tab w:val="right" w:pos="8306"/>
      </w:tabs>
      <w:snapToGrid w:val="0"/>
    </w:pPr>
    <w:rPr>
      <w:rFonts w:asciiTheme="minorHAnsi" w:hAnsiTheme="minorHAnsi" w:eastAsiaTheme="minorEastAsia" w:cstheme="minorBidi"/>
      <w:sz w:val="18"/>
      <w:szCs w:val="22"/>
    </w:rPr>
  </w:style>
  <w:style w:type="character" w:customStyle="1" w:styleId="292">
    <w:name w:val="访问过的超链接1"/>
    <w:qFormat/>
    <w:uiPriority w:val="0"/>
    <w:rPr>
      <w:color w:val="800080"/>
      <w:u w:val="single"/>
    </w:rPr>
  </w:style>
  <w:style w:type="character" w:customStyle="1" w:styleId="293">
    <w:name w:val="页码1"/>
    <w:basedOn w:val="52"/>
    <w:qFormat/>
    <w:uiPriority w:val="0"/>
  </w:style>
  <w:style w:type="character" w:customStyle="1" w:styleId="294">
    <w:name w:val="标题六 Char"/>
    <w:qFormat/>
    <w:uiPriority w:val="0"/>
    <w:rPr>
      <w:rFonts w:eastAsia="宋体"/>
      <w:kern w:val="2"/>
      <w:sz w:val="28"/>
      <w:szCs w:val="24"/>
      <w:lang w:val="en-US" w:eastAsia="zh-CN"/>
    </w:rPr>
  </w:style>
  <w:style w:type="character" w:customStyle="1" w:styleId="295">
    <w:name w:val="标题 Char Char"/>
    <w:link w:val="296"/>
    <w:qFormat/>
    <w:uiPriority w:val="0"/>
    <w:rPr>
      <w:rFonts w:ascii="Cambria" w:hAnsi="Cambria"/>
      <w:b/>
      <w:bCs/>
      <w:sz w:val="32"/>
      <w:szCs w:val="32"/>
    </w:rPr>
  </w:style>
  <w:style w:type="paragraph" w:customStyle="1" w:styleId="296">
    <w:name w:val="标题1"/>
    <w:basedOn w:val="1"/>
    <w:next w:val="1"/>
    <w:link w:val="295"/>
    <w:qFormat/>
    <w:uiPriority w:val="0"/>
    <w:pPr>
      <w:snapToGrid w:val="0"/>
      <w:spacing w:before="240" w:after="60"/>
      <w:jc w:val="center"/>
      <w:outlineLvl w:val="0"/>
    </w:pPr>
    <w:rPr>
      <w:rFonts w:ascii="Cambria" w:hAnsi="Cambria" w:eastAsiaTheme="minorEastAsia" w:cstheme="minorBidi"/>
      <w:b/>
      <w:bCs/>
      <w:sz w:val="32"/>
      <w:szCs w:val="32"/>
    </w:rPr>
  </w:style>
  <w:style w:type="character" w:customStyle="1" w:styleId="297">
    <w:name w:val="签名 Char1"/>
    <w:qFormat/>
    <w:uiPriority w:val="0"/>
    <w:rPr>
      <w:rFonts w:ascii="Verdana" w:hAnsi="Verdana"/>
      <w:kern w:val="2"/>
      <w:sz w:val="28"/>
      <w:szCs w:val="22"/>
    </w:rPr>
  </w:style>
  <w:style w:type="character" w:customStyle="1" w:styleId="298">
    <w:name w:val="正文缩进 字符"/>
    <w:qFormat/>
    <w:uiPriority w:val="0"/>
    <w:rPr>
      <w:rFonts w:hint="eastAsia" w:ascii="宋体" w:hAnsi="宋体" w:eastAsia="宋体"/>
      <w:kern w:val="2"/>
      <w:sz w:val="21"/>
      <w:szCs w:val="24"/>
    </w:rPr>
  </w:style>
  <w:style w:type="character" w:customStyle="1" w:styleId="299">
    <w:name w:val="页眉 Char Char"/>
    <w:qFormat/>
    <w:uiPriority w:val="0"/>
    <w:rPr>
      <w:kern w:val="2"/>
      <w:sz w:val="18"/>
      <w:szCs w:val="18"/>
    </w:rPr>
  </w:style>
  <w:style w:type="character" w:customStyle="1" w:styleId="300">
    <w:name w:val="正文文本缩进 3 Char Char"/>
    <w:link w:val="301"/>
    <w:qFormat/>
    <w:uiPriority w:val="0"/>
    <w:rPr>
      <w:rFonts w:ascii="宋体"/>
      <w:sz w:val="28"/>
    </w:rPr>
  </w:style>
  <w:style w:type="paragraph" w:customStyle="1" w:styleId="301">
    <w:name w:val="正文文本缩进 32"/>
    <w:basedOn w:val="1"/>
    <w:link w:val="300"/>
    <w:autoRedefine/>
    <w:qFormat/>
    <w:uiPriority w:val="0"/>
    <w:pPr>
      <w:snapToGrid w:val="0"/>
      <w:ind w:firstLine="420"/>
      <w:outlineLvl w:val="0"/>
    </w:pPr>
    <w:rPr>
      <w:rFonts w:ascii="宋体" w:hAnsiTheme="minorHAnsi" w:eastAsiaTheme="minorEastAsia" w:cstheme="minorBidi"/>
      <w:sz w:val="28"/>
      <w:szCs w:val="22"/>
    </w:rPr>
  </w:style>
  <w:style w:type="character" w:customStyle="1" w:styleId="302">
    <w:name w:val="short_text"/>
    <w:basedOn w:val="52"/>
    <w:autoRedefine/>
    <w:qFormat/>
    <w:uiPriority w:val="0"/>
  </w:style>
  <w:style w:type="character" w:customStyle="1" w:styleId="303">
    <w:name w:val="信息标题 Char1"/>
    <w:autoRedefine/>
    <w:qFormat/>
    <w:uiPriority w:val="0"/>
    <w:rPr>
      <w:rFonts w:ascii="Verdana" w:hAnsi="Verdana"/>
      <w:kern w:val="2"/>
      <w:sz w:val="28"/>
      <w:szCs w:val="22"/>
    </w:rPr>
  </w:style>
  <w:style w:type="character" w:customStyle="1" w:styleId="304">
    <w:name w:val="样式2 Char"/>
    <w:autoRedefine/>
    <w:qFormat/>
    <w:locked/>
    <w:uiPriority w:val="0"/>
    <w:rPr>
      <w:rFonts w:ascii="黑体" w:hAnsi="黑体" w:eastAsia="黑体"/>
      <w:b/>
      <w:bCs/>
      <w:sz w:val="24"/>
      <w:szCs w:val="28"/>
    </w:rPr>
  </w:style>
  <w:style w:type="character" w:customStyle="1" w:styleId="305">
    <w:name w:val="表题 Char"/>
    <w:link w:val="306"/>
    <w:autoRedefine/>
    <w:qFormat/>
    <w:locked/>
    <w:uiPriority w:val="0"/>
    <w:rPr>
      <w:rFonts w:ascii="黑体" w:hAnsi="宋体" w:eastAsia="黑体"/>
      <w:sz w:val="24"/>
      <w:szCs w:val="24"/>
    </w:rPr>
  </w:style>
  <w:style w:type="paragraph" w:customStyle="1" w:styleId="306">
    <w:name w:val="表题"/>
    <w:link w:val="305"/>
    <w:autoRedefine/>
    <w:qFormat/>
    <w:uiPriority w:val="0"/>
    <w:pPr>
      <w:widowControl w:val="0"/>
      <w:adjustRightInd w:val="0"/>
      <w:snapToGrid w:val="0"/>
      <w:spacing w:beforeLines="50" w:afterLines="50" w:line="300" w:lineRule="auto"/>
      <w:jc w:val="center"/>
    </w:pPr>
    <w:rPr>
      <w:rFonts w:ascii="黑体" w:hAnsi="宋体" w:eastAsia="黑体" w:cstheme="minorBidi"/>
      <w:kern w:val="2"/>
      <w:sz w:val="24"/>
      <w:szCs w:val="24"/>
      <w:lang w:val="en-US" w:eastAsia="zh-CN" w:bidi="ar-SA"/>
    </w:rPr>
  </w:style>
  <w:style w:type="character" w:customStyle="1" w:styleId="307">
    <w:name w:val="纯文本 Char"/>
    <w:link w:val="60"/>
    <w:autoRedefine/>
    <w:qFormat/>
    <w:uiPriority w:val="0"/>
    <w:rPr>
      <w:rFonts w:ascii="宋体" w:hAnsi="Courier New" w:cs="Courier New"/>
      <w:sz w:val="24"/>
      <w:szCs w:val="21"/>
    </w:rPr>
  </w:style>
  <w:style w:type="character" w:customStyle="1" w:styleId="308">
    <w:name w:val="Default Char"/>
    <w:link w:val="59"/>
    <w:autoRedefine/>
    <w:qFormat/>
    <w:locked/>
    <w:uiPriority w:val="0"/>
    <w:rPr>
      <w:rFonts w:ascii="宋体"/>
      <w:color w:val="000000"/>
      <w:sz w:val="24"/>
      <w:szCs w:val="24"/>
    </w:rPr>
  </w:style>
  <w:style w:type="character" w:customStyle="1" w:styleId="309">
    <w:name w:val="正文缩进 Char"/>
    <w:link w:val="310"/>
    <w:autoRedefine/>
    <w:qFormat/>
    <w:uiPriority w:val="0"/>
    <w:rPr>
      <w:szCs w:val="24"/>
    </w:rPr>
  </w:style>
  <w:style w:type="paragraph" w:customStyle="1" w:styleId="310">
    <w:name w:val="正文缩进1"/>
    <w:basedOn w:val="1"/>
    <w:link w:val="309"/>
    <w:autoRedefine/>
    <w:qFormat/>
    <w:uiPriority w:val="0"/>
    <w:pPr>
      <w:snapToGrid w:val="0"/>
      <w:ind w:firstLine="420"/>
    </w:pPr>
    <w:rPr>
      <w:rFonts w:asciiTheme="minorHAnsi" w:hAnsiTheme="minorHAnsi" w:eastAsiaTheme="minorEastAsia" w:cstheme="minorBidi"/>
      <w:sz w:val="21"/>
      <w:szCs w:val="24"/>
    </w:rPr>
  </w:style>
  <w:style w:type="character" w:customStyle="1" w:styleId="311">
    <w:name w:val="正文文本 2 Char Char"/>
    <w:link w:val="312"/>
    <w:autoRedefine/>
    <w:qFormat/>
    <w:uiPriority w:val="0"/>
    <w:rPr>
      <w:sz w:val="24"/>
    </w:rPr>
  </w:style>
  <w:style w:type="paragraph" w:customStyle="1" w:styleId="312">
    <w:name w:val="正文文本 21"/>
    <w:basedOn w:val="1"/>
    <w:link w:val="311"/>
    <w:autoRedefine/>
    <w:qFormat/>
    <w:uiPriority w:val="0"/>
    <w:pPr>
      <w:snapToGrid w:val="0"/>
      <w:jc w:val="center"/>
    </w:pPr>
    <w:rPr>
      <w:rFonts w:asciiTheme="minorHAnsi" w:hAnsiTheme="minorHAnsi" w:eastAsiaTheme="minorEastAsia" w:cstheme="minorBidi"/>
      <w:szCs w:val="22"/>
    </w:rPr>
  </w:style>
  <w:style w:type="character" w:customStyle="1" w:styleId="313">
    <w:name w:val="标题 1 Char1"/>
    <w:autoRedefine/>
    <w:qFormat/>
    <w:uiPriority w:val="0"/>
    <w:rPr>
      <w:b/>
      <w:bCs/>
      <w:kern w:val="44"/>
      <w:sz w:val="44"/>
      <w:szCs w:val="44"/>
    </w:rPr>
  </w:style>
  <w:style w:type="character" w:customStyle="1" w:styleId="314">
    <w:name w:val="日期 Char Char"/>
    <w:link w:val="315"/>
    <w:autoRedefine/>
    <w:qFormat/>
    <w:uiPriority w:val="0"/>
    <w:rPr>
      <w:rFonts w:ascii="宋体"/>
      <w:sz w:val="24"/>
    </w:rPr>
  </w:style>
  <w:style w:type="paragraph" w:customStyle="1" w:styleId="315">
    <w:name w:val="日期1"/>
    <w:basedOn w:val="1"/>
    <w:next w:val="1"/>
    <w:link w:val="314"/>
    <w:autoRedefine/>
    <w:qFormat/>
    <w:uiPriority w:val="0"/>
    <w:pPr>
      <w:snapToGrid w:val="0"/>
    </w:pPr>
    <w:rPr>
      <w:rFonts w:ascii="宋体" w:hAnsiTheme="minorHAnsi" w:eastAsiaTheme="minorEastAsia" w:cstheme="minorBidi"/>
      <w:szCs w:val="22"/>
    </w:rPr>
  </w:style>
  <w:style w:type="character" w:customStyle="1" w:styleId="316">
    <w:name w:val="正文首行缩进 2 Char Char"/>
    <w:basedOn w:val="283"/>
    <w:link w:val="317"/>
    <w:autoRedefine/>
    <w:qFormat/>
    <w:uiPriority w:val="0"/>
    <w:rPr>
      <w:rFonts w:ascii="宋体"/>
      <w:sz w:val="28"/>
    </w:rPr>
  </w:style>
  <w:style w:type="paragraph" w:customStyle="1" w:styleId="317">
    <w:name w:val="正文首行缩进 21"/>
    <w:basedOn w:val="284"/>
    <w:link w:val="316"/>
    <w:autoRedefine/>
    <w:qFormat/>
    <w:uiPriority w:val="0"/>
    <w:pPr>
      <w:spacing w:after="120"/>
      <w:ind w:left="420" w:leftChars="200" w:firstLine="420"/>
    </w:pPr>
  </w:style>
  <w:style w:type="character" w:customStyle="1" w:styleId="318">
    <w:name w:val="批注框文本 Char Char"/>
    <w:link w:val="319"/>
    <w:autoRedefine/>
    <w:qFormat/>
    <w:uiPriority w:val="0"/>
    <w:rPr>
      <w:sz w:val="18"/>
      <w:szCs w:val="18"/>
    </w:rPr>
  </w:style>
  <w:style w:type="paragraph" w:customStyle="1" w:styleId="319">
    <w:name w:val="批注框文本1"/>
    <w:basedOn w:val="1"/>
    <w:link w:val="318"/>
    <w:autoRedefine/>
    <w:qFormat/>
    <w:uiPriority w:val="0"/>
    <w:pPr>
      <w:snapToGrid w:val="0"/>
    </w:pPr>
    <w:rPr>
      <w:rFonts w:asciiTheme="minorHAnsi" w:hAnsiTheme="minorHAnsi" w:eastAsiaTheme="minorEastAsia" w:cstheme="minorBidi"/>
      <w:sz w:val="18"/>
      <w:szCs w:val="18"/>
    </w:rPr>
  </w:style>
  <w:style w:type="character" w:customStyle="1" w:styleId="320">
    <w:name w:val="表格 Char Char"/>
    <w:autoRedefine/>
    <w:qFormat/>
    <w:uiPriority w:val="0"/>
    <w:rPr>
      <w:kern w:val="2"/>
      <w:sz w:val="28"/>
      <w:szCs w:val="24"/>
    </w:rPr>
  </w:style>
  <w:style w:type="paragraph" w:customStyle="1" w:styleId="321">
    <w:name w:val="高表内"/>
    <w:basedOn w:val="60"/>
    <w:autoRedefine/>
    <w:qFormat/>
    <w:uiPriority w:val="0"/>
    <w:pPr>
      <w:autoSpaceDE w:val="0"/>
      <w:adjustRightInd w:val="0"/>
      <w:jc w:val="center"/>
      <w:textAlignment w:val="baseline"/>
    </w:pPr>
    <w:rPr>
      <w:rFonts w:ascii="Arial" w:hAnsi="Arial" w:eastAsia="楷体_GB2312"/>
      <w:szCs w:val="20"/>
    </w:rPr>
  </w:style>
  <w:style w:type="paragraph" w:customStyle="1" w:styleId="322">
    <w:name w:val="xl70"/>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宋体" w:hAnsi="宋体" w:cs="宋体"/>
      <w:kern w:val="0"/>
      <w:sz w:val="12"/>
      <w:szCs w:val="12"/>
    </w:rPr>
  </w:style>
  <w:style w:type="paragraph" w:customStyle="1" w:styleId="323">
    <w:name w:val="TOC 标题11"/>
    <w:basedOn w:val="2"/>
    <w:next w:val="1"/>
    <w:autoRedefine/>
    <w:qFormat/>
    <w:uiPriority w:val="0"/>
    <w:pPr>
      <w:snapToGrid w:val="0"/>
      <w:spacing w:before="480" w:line="276" w:lineRule="auto"/>
      <w:outlineLvl w:val="9"/>
    </w:pPr>
    <w:rPr>
      <w:rFonts w:ascii="Cambria" w:hAnsi="Cambria"/>
      <w:b w:val="0"/>
      <w:color w:val="365F91"/>
      <w:kern w:val="0"/>
      <w:sz w:val="32"/>
      <w:szCs w:val="28"/>
      <w:lang w:val="zh-CN"/>
    </w:rPr>
  </w:style>
  <w:style w:type="paragraph" w:customStyle="1" w:styleId="324">
    <w:name w:val="默认段落字体 Para Char Char Char Char"/>
    <w:basedOn w:val="1"/>
    <w:autoRedefine/>
    <w:qFormat/>
    <w:uiPriority w:val="0"/>
    <w:pPr>
      <w:spacing w:line="240" w:lineRule="auto"/>
    </w:pPr>
    <w:rPr>
      <w:sz w:val="21"/>
      <w:szCs w:val="24"/>
    </w:rPr>
  </w:style>
  <w:style w:type="paragraph" w:customStyle="1" w:styleId="325">
    <w:name w:val="font7"/>
    <w:basedOn w:val="1"/>
    <w:autoRedefine/>
    <w:qFormat/>
    <w:uiPriority w:val="0"/>
    <w:pPr>
      <w:spacing w:before="100" w:beforeAutospacing="1" w:after="100" w:afterAutospacing="1" w:line="240" w:lineRule="auto"/>
    </w:pPr>
    <w:rPr>
      <w:rFonts w:eastAsia="Arial Unicode MS"/>
      <w:b/>
      <w:bCs/>
      <w:kern w:val="0"/>
      <w:sz w:val="18"/>
      <w:szCs w:val="18"/>
    </w:rPr>
  </w:style>
  <w:style w:type="paragraph" w:customStyle="1" w:styleId="326">
    <w:name w:val="Char1"/>
    <w:basedOn w:val="1"/>
    <w:autoRedefine/>
    <w:qFormat/>
    <w:uiPriority w:val="0"/>
    <w:pPr>
      <w:spacing w:line="240" w:lineRule="auto"/>
    </w:pPr>
    <w:rPr>
      <w:rFonts w:ascii="Tahoma" w:hAnsi="Tahoma"/>
    </w:rPr>
  </w:style>
  <w:style w:type="paragraph" w:customStyle="1" w:styleId="327">
    <w:name w:val="列出段落1"/>
    <w:basedOn w:val="1"/>
    <w:autoRedefine/>
    <w:qFormat/>
    <w:uiPriority w:val="0"/>
    <w:pPr>
      <w:adjustRightInd w:val="0"/>
      <w:snapToGrid w:val="0"/>
    </w:pPr>
    <w:rPr>
      <w:szCs w:val="24"/>
    </w:rPr>
  </w:style>
  <w:style w:type="paragraph" w:customStyle="1" w:styleId="328">
    <w:name w:val="正文2"/>
    <w:autoRedefine/>
    <w:qFormat/>
    <w:uiPriority w:val="0"/>
    <w:pPr>
      <w:widowControl w:val="0"/>
      <w:adjustRightInd w:val="0"/>
      <w:spacing w:beforeLines="50" w:afterLines="50" w:line="360" w:lineRule="atLeast"/>
    </w:pPr>
    <w:rPr>
      <w:rFonts w:ascii="宋体" w:hAnsi="Times New Roman" w:eastAsia="宋体" w:cs="Times New Roman"/>
      <w:sz w:val="24"/>
      <w:szCs w:val="24"/>
      <w:lang w:val="en-US" w:eastAsia="zh-CN" w:bidi="ar-SA"/>
    </w:rPr>
  </w:style>
  <w:style w:type="paragraph" w:customStyle="1" w:styleId="329">
    <w:name w:val="_a) énum. (1er niveau)"/>
    <w:autoRedefine/>
    <w:qFormat/>
    <w:uiPriority w:val="0"/>
    <w:pPr>
      <w:spacing w:beforeLines="50" w:afterLines="50" w:line="280" w:lineRule="atLeast"/>
      <w:ind w:left="993" w:hanging="426"/>
      <w:jc w:val="both"/>
    </w:pPr>
    <w:rPr>
      <w:rFonts w:ascii="Times New Roman" w:hAnsi="Times New Roman" w:eastAsia="宋体" w:cs="Times New Roman"/>
      <w:b/>
      <w:sz w:val="24"/>
      <w:lang w:val="en-US" w:eastAsia="zh-CN" w:bidi="ar-SA"/>
    </w:rPr>
  </w:style>
  <w:style w:type="paragraph" w:customStyle="1" w:styleId="330">
    <w:name w:val="样式6"/>
    <w:basedOn w:val="4"/>
    <w:autoRedefine/>
    <w:qFormat/>
    <w:uiPriority w:val="0"/>
    <w:pPr>
      <w:tabs>
        <w:tab w:val="left" w:pos="720"/>
      </w:tabs>
      <w:spacing w:beforeLines="100"/>
      <w:jc w:val="center"/>
    </w:pPr>
    <w:rPr>
      <w:rFonts w:ascii="黑体" w:hAnsi="黑体" w:eastAsia="黑体"/>
      <w:b w:val="0"/>
      <w:bCs w:val="0"/>
      <w:szCs w:val="28"/>
      <w:lang w:val="zh-CN"/>
    </w:rPr>
  </w:style>
  <w:style w:type="paragraph" w:customStyle="1" w:styleId="331">
    <w:name w:val="Char Char Char Char Char Char Char Char Char Char"/>
    <w:basedOn w:val="1"/>
    <w:autoRedefine/>
    <w:qFormat/>
    <w:uiPriority w:val="0"/>
    <w:pPr>
      <w:spacing w:line="240" w:lineRule="auto"/>
    </w:pPr>
    <w:rPr>
      <w:sz w:val="28"/>
      <w:szCs w:val="24"/>
    </w:rPr>
  </w:style>
  <w:style w:type="paragraph" w:customStyle="1" w:styleId="332">
    <w:name w:val="xl66"/>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宋体" w:hAnsi="宋体" w:cs="宋体"/>
      <w:kern w:val="0"/>
      <w:sz w:val="12"/>
      <w:szCs w:val="12"/>
    </w:rPr>
  </w:style>
  <w:style w:type="paragraph" w:customStyle="1" w:styleId="333">
    <w:name w:val="标题一"/>
    <w:basedOn w:val="1"/>
    <w:autoRedefine/>
    <w:qFormat/>
    <w:uiPriority w:val="0"/>
    <w:pPr>
      <w:jc w:val="center"/>
    </w:pPr>
    <w:rPr>
      <w:b/>
      <w:sz w:val="32"/>
      <w:szCs w:val="24"/>
    </w:rPr>
  </w:style>
  <w:style w:type="paragraph" w:customStyle="1" w:styleId="334">
    <w:name w:val="xl33"/>
    <w:basedOn w:val="1"/>
    <w:autoRedefine/>
    <w:qFormat/>
    <w:uiPriority w:val="0"/>
    <w:pPr>
      <w:pBdr>
        <w:top w:val="single" w:color="auto" w:sz="4" w:space="0"/>
        <w:left w:val="single" w:color="auto" w:sz="4" w:space="0"/>
        <w:bottom w:val="single" w:color="auto" w:sz="8" w:space="0"/>
        <w:right w:val="single" w:color="auto" w:sz="8" w:space="0"/>
      </w:pBdr>
      <w:spacing w:before="100" w:beforeAutospacing="1" w:after="100" w:afterAutospacing="1" w:line="240" w:lineRule="auto"/>
    </w:pPr>
    <w:rPr>
      <w:rFonts w:hint="eastAsia" w:ascii="宋体" w:hAnsi="宋体" w:cs="Arial Unicode MS"/>
      <w:kern w:val="0"/>
      <w:szCs w:val="24"/>
    </w:rPr>
  </w:style>
  <w:style w:type="paragraph" w:customStyle="1" w:styleId="335">
    <w:name w:val="表标"/>
    <w:basedOn w:val="1"/>
    <w:autoRedefine/>
    <w:qFormat/>
    <w:uiPriority w:val="0"/>
    <w:pPr>
      <w:snapToGrid w:val="0"/>
      <w:spacing w:line="240" w:lineRule="auto"/>
      <w:jc w:val="center"/>
    </w:pPr>
    <w:rPr>
      <w:rFonts w:ascii="Arial" w:hAnsi="Arial" w:eastAsia="黑体"/>
      <w:b/>
      <w:color w:val="000000"/>
      <w:sz w:val="21"/>
      <w:szCs w:val="21"/>
    </w:rPr>
  </w:style>
  <w:style w:type="paragraph" w:customStyle="1" w:styleId="336">
    <w:name w:val="列表编号1"/>
    <w:basedOn w:val="1"/>
    <w:autoRedefine/>
    <w:qFormat/>
    <w:uiPriority w:val="0"/>
    <w:pPr>
      <w:numPr>
        <w:ilvl w:val="0"/>
        <w:numId w:val="7"/>
      </w:numPr>
      <w:snapToGrid w:val="0"/>
      <w:ind w:firstLine="0"/>
    </w:pPr>
    <w:rPr>
      <w:szCs w:val="24"/>
    </w:rPr>
  </w:style>
  <w:style w:type="paragraph" w:customStyle="1" w:styleId="337">
    <w:name w:val="xl69"/>
    <w:basedOn w:val="1"/>
    <w:autoRedefine/>
    <w:qFormat/>
    <w:uiPriority w:val="0"/>
    <w:pPr>
      <w:spacing w:before="100" w:beforeAutospacing="1" w:after="100" w:afterAutospacing="1" w:line="240" w:lineRule="auto"/>
    </w:pPr>
    <w:rPr>
      <w:rFonts w:ascii="宋体" w:hAnsi="宋体" w:cs="宋体"/>
      <w:kern w:val="0"/>
      <w:sz w:val="12"/>
      <w:szCs w:val="12"/>
    </w:rPr>
  </w:style>
  <w:style w:type="paragraph" w:customStyle="1" w:styleId="338">
    <w:name w:val="正文21"/>
    <w:autoRedefine/>
    <w:qFormat/>
    <w:uiPriority w:val="0"/>
    <w:pPr>
      <w:widowControl w:val="0"/>
      <w:adjustRightInd w:val="0"/>
      <w:spacing w:beforeLines="50" w:afterLines="50" w:line="360" w:lineRule="atLeast"/>
      <w:textAlignment w:val="baseline"/>
    </w:pPr>
    <w:rPr>
      <w:rFonts w:ascii="宋体" w:hAnsi="Times New Roman" w:eastAsia="宋体" w:cs="Times New Roman"/>
      <w:sz w:val="24"/>
      <w:szCs w:val="24"/>
      <w:lang w:val="en-US" w:eastAsia="zh-CN" w:bidi="ar-SA"/>
    </w:rPr>
  </w:style>
  <w:style w:type="paragraph" w:customStyle="1" w:styleId="339">
    <w:name w:val="xl24"/>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hint="eastAsia" w:ascii="宋体" w:hAnsi="宋体" w:cs="Arial Unicode MS"/>
      <w:kern w:val="0"/>
      <w:szCs w:val="24"/>
    </w:rPr>
  </w:style>
  <w:style w:type="paragraph" w:customStyle="1" w:styleId="340">
    <w:name w:val="列表1"/>
    <w:basedOn w:val="1"/>
    <w:autoRedefine/>
    <w:qFormat/>
    <w:uiPriority w:val="0"/>
    <w:pPr>
      <w:spacing w:line="240" w:lineRule="auto"/>
      <w:ind w:left="420" w:hanging="420"/>
    </w:pPr>
    <w:rPr>
      <w:sz w:val="21"/>
    </w:rPr>
  </w:style>
  <w:style w:type="paragraph" w:customStyle="1" w:styleId="341">
    <w:name w:val="四号 正文"/>
    <w:basedOn w:val="1"/>
    <w:autoRedefine/>
    <w:qFormat/>
    <w:uiPriority w:val="0"/>
    <w:pPr>
      <w:snapToGrid w:val="0"/>
      <w:ind w:firstLine="584"/>
    </w:pPr>
    <w:rPr>
      <w:rFonts w:cs="宋体"/>
      <w:spacing w:val="6"/>
      <w:sz w:val="28"/>
      <w:szCs w:val="24"/>
    </w:rPr>
  </w:style>
  <w:style w:type="paragraph" w:customStyle="1" w:styleId="342">
    <w:name w:val="样式 标题4 + 黑色"/>
    <w:basedOn w:val="1"/>
    <w:autoRedefine/>
    <w:qFormat/>
    <w:uiPriority w:val="0"/>
    <w:pPr>
      <w:keepNext/>
      <w:keepLines/>
      <w:spacing w:before="120" w:after="120"/>
      <w:outlineLvl w:val="2"/>
    </w:pPr>
    <w:rPr>
      <w:rFonts w:eastAsia="黑体"/>
      <w:b/>
      <w:bCs/>
      <w:color w:val="000000"/>
      <w:sz w:val="28"/>
      <w:szCs w:val="32"/>
    </w:rPr>
  </w:style>
  <w:style w:type="paragraph" w:customStyle="1" w:styleId="343">
    <w:name w:val="Char Char Char Char Char Char1 Char"/>
    <w:basedOn w:val="1"/>
    <w:autoRedefine/>
    <w:qFormat/>
    <w:uiPriority w:val="0"/>
    <w:pPr>
      <w:spacing w:after="160" w:line="240" w:lineRule="exact"/>
    </w:pPr>
    <w:rPr>
      <w:rFonts w:ascii="Arial" w:hAnsi="Arial" w:eastAsia="Times New Roman" w:cs="Verdana"/>
      <w:b/>
      <w:kern w:val="0"/>
      <w:lang w:eastAsia="en-US"/>
    </w:rPr>
  </w:style>
  <w:style w:type="paragraph" w:customStyle="1" w:styleId="344">
    <w:name w:val="样式5"/>
    <w:basedOn w:val="4"/>
    <w:autoRedefine/>
    <w:qFormat/>
    <w:uiPriority w:val="0"/>
    <w:pPr>
      <w:tabs>
        <w:tab w:val="left" w:pos="720"/>
      </w:tabs>
      <w:spacing w:beforeLines="100"/>
      <w:jc w:val="center"/>
    </w:pPr>
    <w:rPr>
      <w:rFonts w:ascii="黑体" w:hAnsi="黑体" w:eastAsia="黑体"/>
      <w:b w:val="0"/>
      <w:bCs w:val="0"/>
      <w:szCs w:val="28"/>
      <w:lang w:val="zh-CN"/>
    </w:rPr>
  </w:style>
  <w:style w:type="paragraph" w:customStyle="1" w:styleId="345">
    <w:name w:val="正文首行缩进2"/>
    <w:basedOn w:val="346"/>
    <w:autoRedefine/>
    <w:qFormat/>
    <w:uiPriority w:val="0"/>
    <w:pPr>
      <w:spacing w:after="120" w:line="240" w:lineRule="auto"/>
      <w:ind w:firstLine="420" w:firstLineChars="100"/>
    </w:pPr>
    <w:rPr>
      <w:rFonts w:ascii="Times New Roman"/>
      <w:sz w:val="21"/>
      <w:lang w:val="zh-CN"/>
    </w:rPr>
  </w:style>
  <w:style w:type="paragraph" w:customStyle="1" w:styleId="346">
    <w:name w:val="正文文本2"/>
    <w:basedOn w:val="1"/>
    <w:autoRedefine/>
    <w:qFormat/>
    <w:uiPriority w:val="0"/>
    <w:pPr>
      <w:snapToGrid w:val="0"/>
    </w:pPr>
    <w:rPr>
      <w:rFonts w:ascii="宋体"/>
      <w:sz w:val="28"/>
    </w:rPr>
  </w:style>
  <w:style w:type="paragraph" w:customStyle="1" w:styleId="347">
    <w:name w:val="aa"/>
    <w:basedOn w:val="1"/>
    <w:autoRedefine/>
    <w:qFormat/>
    <w:uiPriority w:val="0"/>
    <w:pPr>
      <w:snapToGrid w:val="0"/>
      <w:ind w:firstLine="420"/>
    </w:pPr>
    <w:rPr>
      <w:szCs w:val="24"/>
    </w:rPr>
  </w:style>
  <w:style w:type="paragraph" w:customStyle="1" w:styleId="348">
    <w:name w:val="xl38"/>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hint="eastAsia" w:ascii="宋体" w:hAnsi="宋体" w:cs="Arial Unicode MS"/>
      <w:b/>
      <w:bCs/>
      <w:kern w:val="0"/>
      <w:szCs w:val="24"/>
    </w:rPr>
  </w:style>
  <w:style w:type="paragraph" w:customStyle="1" w:styleId="349">
    <w:name w:val="p0"/>
    <w:basedOn w:val="1"/>
    <w:autoRedefine/>
    <w:qFormat/>
    <w:uiPriority w:val="0"/>
    <w:pPr>
      <w:spacing w:before="100" w:beforeAutospacing="1" w:after="100" w:afterAutospacing="1" w:line="240" w:lineRule="auto"/>
    </w:pPr>
    <w:rPr>
      <w:rFonts w:ascii="宋体" w:hAnsi="宋体" w:cs="宋体"/>
      <w:kern w:val="0"/>
      <w:szCs w:val="24"/>
    </w:rPr>
  </w:style>
  <w:style w:type="paragraph" w:customStyle="1" w:styleId="350">
    <w:name w:val="13级正文"/>
    <w:basedOn w:val="1"/>
    <w:autoRedefine/>
    <w:qFormat/>
    <w:uiPriority w:val="0"/>
    <w:pPr>
      <w:adjustRightInd w:val="0"/>
      <w:snapToGrid w:val="0"/>
      <w:ind w:left="980" w:leftChars="350" w:firstLine="504"/>
    </w:pPr>
    <w:rPr>
      <w:sz w:val="21"/>
      <w:szCs w:val="24"/>
    </w:rPr>
  </w:style>
  <w:style w:type="paragraph" w:customStyle="1" w:styleId="351">
    <w:name w:val="font6"/>
    <w:basedOn w:val="1"/>
    <w:autoRedefine/>
    <w:qFormat/>
    <w:uiPriority w:val="0"/>
    <w:pPr>
      <w:spacing w:before="100" w:beforeAutospacing="1" w:after="100" w:afterAutospacing="1" w:line="240" w:lineRule="auto"/>
    </w:pPr>
    <w:rPr>
      <w:rFonts w:hint="eastAsia" w:ascii="宋体" w:hAnsi="宋体" w:cs="Arial Unicode MS"/>
      <w:b/>
      <w:bCs/>
      <w:kern w:val="0"/>
      <w:sz w:val="18"/>
      <w:szCs w:val="18"/>
    </w:rPr>
  </w:style>
  <w:style w:type="paragraph" w:customStyle="1" w:styleId="352">
    <w:name w:val="表格文字五号"/>
    <w:basedOn w:val="1"/>
    <w:autoRedefine/>
    <w:qFormat/>
    <w:uiPriority w:val="0"/>
    <w:pPr>
      <w:spacing w:line="240" w:lineRule="auto"/>
      <w:jc w:val="center"/>
    </w:pPr>
    <w:rPr>
      <w:bCs/>
      <w:sz w:val="21"/>
      <w:szCs w:val="24"/>
    </w:rPr>
  </w:style>
  <w:style w:type="paragraph" w:customStyle="1" w:styleId="353">
    <w:name w:val="默认段落字体 Para Char"/>
    <w:basedOn w:val="1"/>
    <w:autoRedefine/>
    <w:qFormat/>
    <w:uiPriority w:val="0"/>
    <w:rPr>
      <w:rFonts w:ascii="宋体" w:hAnsi="宋体" w:cs="宋体"/>
      <w:szCs w:val="24"/>
    </w:rPr>
  </w:style>
  <w:style w:type="paragraph" w:customStyle="1" w:styleId="354">
    <w:name w:val="xl27"/>
    <w:basedOn w:val="1"/>
    <w:autoRedefine/>
    <w:qFormat/>
    <w:uiPriority w:val="0"/>
    <w:pPr>
      <w:pBdr>
        <w:top w:val="single" w:color="auto" w:sz="4" w:space="0"/>
        <w:left w:val="single" w:color="auto" w:sz="4" w:space="0"/>
        <w:bottom w:val="single" w:color="auto" w:sz="4" w:space="0"/>
        <w:right w:val="single" w:color="auto" w:sz="8" w:space="0"/>
      </w:pBdr>
      <w:spacing w:before="100" w:beforeAutospacing="1" w:after="100" w:afterAutospacing="1" w:line="240" w:lineRule="auto"/>
    </w:pPr>
    <w:rPr>
      <w:rFonts w:hint="eastAsia" w:ascii="宋体" w:hAnsi="宋体" w:cs="Arial Unicode MS"/>
      <w:kern w:val="0"/>
      <w:szCs w:val="24"/>
    </w:rPr>
  </w:style>
  <w:style w:type="paragraph" w:customStyle="1" w:styleId="355">
    <w:name w:val="CM7"/>
    <w:basedOn w:val="59"/>
    <w:next w:val="59"/>
    <w:autoRedefine/>
    <w:qFormat/>
    <w:uiPriority w:val="0"/>
    <w:pPr>
      <w:spacing w:line="468" w:lineRule="atLeast"/>
    </w:pPr>
    <w:rPr>
      <w:color w:val="auto"/>
      <w:sz w:val="20"/>
    </w:rPr>
  </w:style>
  <w:style w:type="paragraph" w:customStyle="1" w:styleId="356">
    <w:name w:val="列出段落2"/>
    <w:basedOn w:val="1"/>
    <w:autoRedefine/>
    <w:qFormat/>
    <w:uiPriority w:val="0"/>
    <w:pPr>
      <w:spacing w:line="240" w:lineRule="auto"/>
      <w:ind w:firstLine="420"/>
    </w:pPr>
    <w:rPr>
      <w:rFonts w:ascii="宋体" w:hAnsi="宋体" w:cs="宋体"/>
      <w:kern w:val="0"/>
      <w:szCs w:val="24"/>
    </w:rPr>
  </w:style>
  <w:style w:type="paragraph" w:customStyle="1" w:styleId="357">
    <w:name w:val="font9"/>
    <w:basedOn w:val="1"/>
    <w:autoRedefine/>
    <w:qFormat/>
    <w:uiPriority w:val="0"/>
    <w:pPr>
      <w:spacing w:before="100" w:beforeAutospacing="1" w:after="100" w:afterAutospacing="1" w:line="240" w:lineRule="auto"/>
    </w:pPr>
    <w:rPr>
      <w:rFonts w:ascii="宋体" w:hAnsi="宋体" w:cs="宋体"/>
      <w:kern w:val="0"/>
      <w:sz w:val="18"/>
      <w:szCs w:val="18"/>
    </w:rPr>
  </w:style>
  <w:style w:type="paragraph" w:customStyle="1" w:styleId="358">
    <w:name w:val="xl41"/>
    <w:basedOn w:val="1"/>
    <w:autoRedefine/>
    <w:qFormat/>
    <w:uiPriority w:val="0"/>
    <w:pPr>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rFonts w:eastAsia="Arial Unicode MS"/>
      <w:b/>
      <w:bCs/>
      <w:kern w:val="0"/>
      <w:szCs w:val="24"/>
    </w:rPr>
  </w:style>
  <w:style w:type="paragraph" w:customStyle="1" w:styleId="359">
    <w:name w:val="正文文本缩进 31"/>
    <w:basedOn w:val="1"/>
    <w:autoRedefine/>
    <w:qFormat/>
    <w:uiPriority w:val="99"/>
    <w:pPr>
      <w:adjustRightInd w:val="0"/>
      <w:snapToGrid w:val="0"/>
    </w:pPr>
    <w:rPr>
      <w:rFonts w:ascii="宋体" w:hAnsi="宋体"/>
      <w:color w:val="000000"/>
      <w:szCs w:val="24"/>
    </w:rPr>
  </w:style>
  <w:style w:type="paragraph" w:customStyle="1" w:styleId="360">
    <w:name w:val="xl28"/>
    <w:basedOn w:val="1"/>
    <w:autoRedefine/>
    <w:qFormat/>
    <w:uiPriority w:val="0"/>
    <w:pPr>
      <w:pBdr>
        <w:top w:val="single" w:color="auto" w:sz="4" w:space="0"/>
        <w:left w:val="single" w:color="auto" w:sz="4" w:space="0"/>
        <w:bottom w:val="single" w:color="auto" w:sz="4" w:space="0"/>
        <w:right w:val="single" w:color="auto" w:sz="8" w:space="0"/>
      </w:pBdr>
      <w:spacing w:before="100" w:beforeAutospacing="1" w:after="100" w:afterAutospacing="1" w:line="240" w:lineRule="auto"/>
      <w:textAlignment w:val="top"/>
    </w:pPr>
    <w:rPr>
      <w:rFonts w:hint="eastAsia" w:ascii="宋体" w:hAnsi="宋体" w:cs="Arial Unicode MS"/>
      <w:kern w:val="0"/>
      <w:szCs w:val="24"/>
    </w:rPr>
  </w:style>
  <w:style w:type="paragraph" w:customStyle="1" w:styleId="361">
    <w:name w:val="xl43"/>
    <w:basedOn w:val="1"/>
    <w:autoRedefine/>
    <w:qFormat/>
    <w:uiPriority w:val="0"/>
    <w:pPr>
      <w:pBdr>
        <w:top w:val="single" w:color="auto" w:sz="4" w:space="0"/>
        <w:left w:val="single" w:color="auto" w:sz="4" w:space="0"/>
        <w:bottom w:val="single" w:color="auto" w:sz="4" w:space="0"/>
      </w:pBdr>
      <w:spacing w:before="100" w:beforeAutospacing="1" w:after="100" w:afterAutospacing="1" w:line="240" w:lineRule="auto"/>
      <w:jc w:val="center"/>
    </w:pPr>
    <w:rPr>
      <w:rFonts w:hint="eastAsia" w:ascii="宋体" w:hAnsi="宋体" w:cs="Arial Unicode MS"/>
      <w:b/>
      <w:bCs/>
      <w:kern w:val="0"/>
      <w:szCs w:val="24"/>
    </w:rPr>
  </w:style>
  <w:style w:type="paragraph" w:customStyle="1" w:styleId="362">
    <w:name w:val="表格文字－四号"/>
    <w:basedOn w:val="1"/>
    <w:autoRedefine/>
    <w:qFormat/>
    <w:uiPriority w:val="0"/>
    <w:pPr>
      <w:adjustRightInd w:val="0"/>
      <w:snapToGrid w:val="0"/>
    </w:pPr>
    <w:rPr>
      <w:sz w:val="28"/>
      <w:szCs w:val="24"/>
    </w:rPr>
  </w:style>
  <w:style w:type="paragraph" w:customStyle="1" w:styleId="363">
    <w:name w:val="xl71"/>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宋体" w:hAnsi="宋体" w:cs="宋体"/>
      <w:color w:val="FF0000"/>
      <w:kern w:val="0"/>
      <w:sz w:val="12"/>
      <w:szCs w:val="12"/>
    </w:rPr>
  </w:style>
  <w:style w:type="paragraph" w:customStyle="1" w:styleId="364">
    <w:name w:val="ab"/>
    <w:basedOn w:val="347"/>
    <w:autoRedefine/>
    <w:qFormat/>
    <w:uiPriority w:val="0"/>
  </w:style>
  <w:style w:type="paragraph" w:customStyle="1" w:styleId="365">
    <w:name w:val="font8"/>
    <w:basedOn w:val="1"/>
    <w:autoRedefine/>
    <w:qFormat/>
    <w:uiPriority w:val="0"/>
    <w:pPr>
      <w:spacing w:before="100" w:beforeAutospacing="1" w:after="100" w:afterAutospacing="1" w:line="240" w:lineRule="auto"/>
    </w:pPr>
    <w:rPr>
      <w:rFonts w:eastAsia="Arial Unicode MS"/>
      <w:kern w:val="0"/>
      <w:sz w:val="18"/>
      <w:szCs w:val="18"/>
    </w:rPr>
  </w:style>
  <w:style w:type="paragraph" w:customStyle="1" w:styleId="366">
    <w:name w:val="表内字"/>
    <w:basedOn w:val="1"/>
    <w:next w:val="1"/>
    <w:autoRedefine/>
    <w:qFormat/>
    <w:uiPriority w:val="0"/>
    <w:pPr>
      <w:adjustRightInd w:val="0"/>
      <w:snapToGrid w:val="0"/>
      <w:spacing w:line="240" w:lineRule="auto"/>
      <w:jc w:val="center"/>
    </w:pPr>
    <w:rPr>
      <w:rFonts w:ascii="宋体" w:hAnsi="宋体" w:cs="Courier New"/>
      <w:color w:val="000000"/>
      <w:sz w:val="21"/>
      <w:szCs w:val="21"/>
    </w:rPr>
  </w:style>
  <w:style w:type="paragraph" w:customStyle="1" w:styleId="367">
    <w:name w:val="font5"/>
    <w:basedOn w:val="1"/>
    <w:autoRedefine/>
    <w:qFormat/>
    <w:uiPriority w:val="0"/>
    <w:pPr>
      <w:spacing w:before="100" w:beforeAutospacing="1" w:after="100" w:afterAutospacing="1" w:line="240" w:lineRule="auto"/>
    </w:pPr>
    <w:rPr>
      <w:rFonts w:hint="eastAsia" w:ascii="宋体" w:hAnsi="宋体" w:cs="Arial Unicode MS"/>
      <w:kern w:val="0"/>
      <w:sz w:val="18"/>
      <w:szCs w:val="18"/>
    </w:rPr>
  </w:style>
  <w:style w:type="paragraph" w:customStyle="1" w:styleId="368">
    <w:name w:val="xl65"/>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宋体" w:hAnsi="宋体" w:cs="宋体"/>
      <w:kern w:val="0"/>
      <w:sz w:val="12"/>
      <w:szCs w:val="12"/>
    </w:rPr>
  </w:style>
  <w:style w:type="paragraph" w:customStyle="1" w:styleId="369">
    <w:name w:val="Char Char26 Char Char"/>
    <w:basedOn w:val="1"/>
    <w:autoRedefine/>
    <w:qFormat/>
    <w:uiPriority w:val="0"/>
    <w:rPr>
      <w:szCs w:val="24"/>
    </w:rPr>
  </w:style>
  <w:style w:type="paragraph" w:customStyle="1" w:styleId="370">
    <w:name w:val="CM35"/>
    <w:basedOn w:val="59"/>
    <w:next w:val="59"/>
    <w:autoRedefine/>
    <w:qFormat/>
    <w:uiPriority w:val="0"/>
    <w:pPr>
      <w:spacing w:after="278"/>
    </w:pPr>
    <w:rPr>
      <w:rFonts w:hint="eastAsia" w:hAnsi="宋体"/>
      <w:color w:val="auto"/>
    </w:rPr>
  </w:style>
  <w:style w:type="paragraph" w:customStyle="1" w:styleId="371">
    <w:name w:val="xl37"/>
    <w:basedOn w:val="1"/>
    <w:autoRedefine/>
    <w:qFormat/>
    <w:uiPriority w:val="0"/>
    <w:pPr>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rFonts w:hint="eastAsia" w:ascii="宋体" w:hAnsi="宋体" w:cs="Arial Unicode MS"/>
      <w:b/>
      <w:bCs/>
      <w:kern w:val="0"/>
      <w:szCs w:val="24"/>
    </w:rPr>
  </w:style>
  <w:style w:type="paragraph" w:customStyle="1" w:styleId="372">
    <w:name w:val="样式7"/>
    <w:basedOn w:val="4"/>
    <w:autoRedefine/>
    <w:qFormat/>
    <w:uiPriority w:val="0"/>
    <w:pPr>
      <w:tabs>
        <w:tab w:val="left" w:pos="720"/>
      </w:tabs>
      <w:spacing w:beforeLines="100"/>
      <w:jc w:val="center"/>
    </w:pPr>
    <w:rPr>
      <w:rFonts w:ascii="黑体" w:hAnsi="黑体" w:eastAsia="黑体"/>
      <w:b w:val="0"/>
      <w:bCs w:val="0"/>
      <w:szCs w:val="28"/>
      <w:lang w:val="zh-CN"/>
    </w:rPr>
  </w:style>
  <w:style w:type="paragraph" w:customStyle="1" w:styleId="373">
    <w:name w:val="xl68"/>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宋体" w:hAnsi="宋体" w:cs="宋体"/>
      <w:kern w:val="0"/>
      <w:sz w:val="12"/>
      <w:szCs w:val="12"/>
    </w:rPr>
  </w:style>
  <w:style w:type="paragraph" w:customStyle="1" w:styleId="374">
    <w:name w:val="xl31"/>
    <w:basedOn w:val="1"/>
    <w:autoRedefine/>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line="240" w:lineRule="auto"/>
      <w:jc w:val="center"/>
    </w:pPr>
    <w:rPr>
      <w:rFonts w:ascii="Arial Unicode MS" w:hAnsi="Arial Unicode MS" w:eastAsia="Arial Unicode MS" w:cs="Arial Unicode MS"/>
      <w:kern w:val="0"/>
      <w:szCs w:val="24"/>
    </w:rPr>
  </w:style>
  <w:style w:type="paragraph" w:customStyle="1" w:styleId="375">
    <w:name w:val="xl32"/>
    <w:basedOn w:val="1"/>
    <w:autoRedefine/>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line="240" w:lineRule="auto"/>
    </w:pPr>
    <w:rPr>
      <w:rFonts w:hint="eastAsia" w:ascii="宋体" w:hAnsi="宋体" w:cs="Arial Unicode MS"/>
      <w:kern w:val="0"/>
      <w:szCs w:val="24"/>
    </w:rPr>
  </w:style>
  <w:style w:type="paragraph" w:customStyle="1" w:styleId="376">
    <w:name w:val="文本块1"/>
    <w:basedOn w:val="1"/>
    <w:autoRedefine/>
    <w:qFormat/>
    <w:uiPriority w:val="0"/>
    <w:pPr>
      <w:adjustRightInd w:val="0"/>
      <w:snapToGrid w:val="0"/>
      <w:ind w:left="240" w:right="567" w:firstLine="600"/>
      <w:textAlignment w:val="baseline"/>
    </w:pPr>
    <w:rPr>
      <w:rFonts w:ascii="宋体"/>
      <w:kern w:val="0"/>
      <w:sz w:val="28"/>
    </w:rPr>
  </w:style>
  <w:style w:type="paragraph" w:customStyle="1" w:styleId="377">
    <w:name w:val="xl29"/>
    <w:basedOn w:val="1"/>
    <w:autoRedefine/>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line="240" w:lineRule="auto"/>
      <w:jc w:val="center"/>
    </w:pPr>
    <w:rPr>
      <w:rFonts w:ascii="Arial Unicode MS" w:hAnsi="Arial Unicode MS" w:eastAsia="Arial Unicode MS" w:cs="Arial Unicode MS"/>
      <w:kern w:val="0"/>
      <w:szCs w:val="24"/>
    </w:rPr>
  </w:style>
  <w:style w:type="paragraph" w:customStyle="1" w:styleId="378">
    <w:name w:val="?y??"/>
    <w:autoRedefine/>
    <w:qFormat/>
    <w:uiPriority w:val="0"/>
    <w:pPr>
      <w:overflowPunct w:val="0"/>
      <w:autoSpaceDE w:val="0"/>
      <w:autoSpaceDN w:val="0"/>
      <w:adjustRightInd w:val="0"/>
      <w:spacing w:beforeLines="50" w:afterLines="50" w:line="360" w:lineRule="auto"/>
      <w:ind w:left="567" w:right="567" w:firstLine="680"/>
      <w:textAlignment w:val="baseline"/>
    </w:pPr>
    <w:rPr>
      <w:rFonts w:ascii="宋体" w:hAnsi="Times New Roman" w:eastAsia="宋体" w:cs="Times New Roman"/>
      <w:sz w:val="24"/>
      <w:szCs w:val="24"/>
      <w:lang w:val="en-US" w:eastAsia="zh-CN" w:bidi="ar-SA"/>
    </w:rPr>
  </w:style>
  <w:style w:type="paragraph" w:customStyle="1" w:styleId="379">
    <w:name w:val="xl40"/>
    <w:basedOn w:val="1"/>
    <w:autoRedefine/>
    <w:qFormat/>
    <w:uiPriority w:val="0"/>
    <w:pPr>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rFonts w:hint="eastAsia" w:ascii="宋体" w:hAnsi="宋体" w:cs="Arial Unicode MS"/>
      <w:b/>
      <w:bCs/>
      <w:kern w:val="0"/>
      <w:szCs w:val="24"/>
    </w:rPr>
  </w:style>
  <w:style w:type="paragraph" w:customStyle="1" w:styleId="380">
    <w:name w:val="样式一二三"/>
    <w:basedOn w:val="1"/>
    <w:next w:val="1"/>
    <w:autoRedefine/>
    <w:qFormat/>
    <w:uiPriority w:val="0"/>
    <w:pPr>
      <w:tabs>
        <w:tab w:val="left" w:pos="360"/>
      </w:tabs>
      <w:adjustRightInd w:val="0"/>
      <w:snapToGrid w:val="0"/>
    </w:pPr>
  </w:style>
  <w:style w:type="paragraph" w:customStyle="1" w:styleId="381">
    <w:name w:val="SSBR 标3"/>
    <w:basedOn w:val="4"/>
    <w:autoRedefine/>
    <w:qFormat/>
    <w:uiPriority w:val="0"/>
    <w:pPr>
      <w:keepNext/>
      <w:keepLines/>
      <w:tabs>
        <w:tab w:val="left" w:pos="425"/>
        <w:tab w:val="left" w:pos="720"/>
      </w:tabs>
      <w:ind w:left="425" w:hanging="425"/>
      <w:jc w:val="center"/>
    </w:pPr>
    <w:rPr>
      <w:rFonts w:ascii="宋体"/>
      <w:lang w:val="zh-CN"/>
    </w:rPr>
  </w:style>
  <w:style w:type="paragraph" w:customStyle="1" w:styleId="382">
    <w:name w:val="xl67"/>
    <w:basedOn w:val="1"/>
    <w:autoRedefine/>
    <w:qFormat/>
    <w:uiPriority w:val="0"/>
    <w:pPr>
      <w:pBdr>
        <w:bottom w:val="single" w:color="auto" w:sz="4" w:space="0"/>
        <w:right w:val="single" w:color="auto" w:sz="4" w:space="0"/>
      </w:pBdr>
      <w:snapToGrid w:val="0"/>
      <w:spacing w:before="100" w:after="100"/>
      <w:jc w:val="center"/>
      <w:textAlignment w:val="center"/>
    </w:pPr>
    <w:rPr>
      <w:rFonts w:hint="eastAsia" w:ascii="MS PGothic" w:hAnsi="宋体" w:eastAsia="MS PGothic"/>
      <w:kern w:val="0"/>
    </w:rPr>
  </w:style>
  <w:style w:type="paragraph" w:customStyle="1" w:styleId="383">
    <w:name w:val="1.1样式2"/>
    <w:basedOn w:val="1"/>
    <w:autoRedefine/>
    <w:qFormat/>
    <w:uiPriority w:val="0"/>
    <w:pPr>
      <w:keepNext/>
      <w:keepLines/>
      <w:snapToGrid w:val="0"/>
      <w:spacing w:before="240" w:after="240"/>
      <w:outlineLvl w:val="1"/>
    </w:pPr>
    <w:rPr>
      <w:rFonts w:ascii="宋体"/>
      <w:bCs/>
      <w:kern w:val="44"/>
      <w:szCs w:val="44"/>
    </w:rPr>
  </w:style>
  <w:style w:type="paragraph" w:customStyle="1" w:styleId="384">
    <w:name w:val="xl36"/>
    <w:basedOn w:val="1"/>
    <w:autoRedefine/>
    <w:qFormat/>
    <w:uiPriority w:val="0"/>
    <w:pPr>
      <w:pBdr>
        <w:top w:val="single" w:color="auto" w:sz="8" w:space="0"/>
        <w:left w:val="single" w:color="auto" w:sz="4" w:space="0"/>
        <w:bottom w:val="single" w:color="auto" w:sz="4" w:space="0"/>
        <w:right w:val="single" w:color="auto" w:sz="8" w:space="0"/>
      </w:pBdr>
      <w:spacing w:before="100" w:beforeAutospacing="1" w:after="100" w:afterAutospacing="1" w:line="240" w:lineRule="auto"/>
      <w:jc w:val="center"/>
    </w:pPr>
    <w:rPr>
      <w:rFonts w:hint="eastAsia" w:ascii="宋体" w:hAnsi="宋体" w:cs="Arial Unicode MS"/>
      <w:b/>
      <w:bCs/>
      <w:kern w:val="0"/>
      <w:szCs w:val="24"/>
    </w:rPr>
  </w:style>
  <w:style w:type="paragraph" w:customStyle="1" w:styleId="385">
    <w:name w:val="xl35"/>
    <w:basedOn w:val="1"/>
    <w:autoRedefine/>
    <w:qFormat/>
    <w:uiPriority w:val="0"/>
    <w:pPr>
      <w:pBdr>
        <w:top w:val="single" w:color="auto" w:sz="8" w:space="0"/>
        <w:left w:val="single" w:color="auto" w:sz="8" w:space="0"/>
        <w:bottom w:val="single" w:color="auto" w:sz="4" w:space="0"/>
        <w:right w:val="single" w:color="auto" w:sz="4" w:space="0"/>
      </w:pBdr>
      <w:spacing w:before="100" w:beforeAutospacing="1" w:after="100" w:afterAutospacing="1" w:line="240" w:lineRule="auto"/>
      <w:jc w:val="center"/>
    </w:pPr>
    <w:rPr>
      <w:rFonts w:hint="eastAsia" w:ascii="宋体" w:hAnsi="宋体" w:cs="Arial Unicode MS"/>
      <w:b/>
      <w:bCs/>
      <w:kern w:val="0"/>
      <w:szCs w:val="24"/>
    </w:rPr>
  </w:style>
  <w:style w:type="paragraph" w:customStyle="1" w:styleId="386">
    <w:name w:val="页号"/>
    <w:basedOn w:val="291"/>
    <w:autoRedefine/>
    <w:qFormat/>
    <w:uiPriority w:val="0"/>
    <w:pPr>
      <w:tabs>
        <w:tab w:val="center" w:pos="4320"/>
        <w:tab w:val="right" w:pos="8640"/>
        <w:tab w:val="clear" w:pos="4153"/>
        <w:tab w:val="clear" w:pos="8306"/>
      </w:tabs>
      <w:adjustRightInd w:val="0"/>
      <w:snapToGrid/>
      <w:jc w:val="center"/>
      <w:textAlignment w:val="baseline"/>
    </w:pPr>
    <w:rPr>
      <w:rFonts w:ascii="宋体" w:hAnsi="Arial"/>
      <w:spacing w:val="3"/>
      <w:kern w:val="24"/>
      <w:sz w:val="24"/>
    </w:rPr>
  </w:style>
  <w:style w:type="paragraph" w:customStyle="1" w:styleId="387">
    <w:name w:val="xl39"/>
    <w:basedOn w:val="1"/>
    <w:autoRedefine/>
    <w:qFormat/>
    <w:uiPriority w:val="0"/>
    <w:pPr>
      <w:pBdr>
        <w:top w:val="single" w:color="auto" w:sz="4" w:space="0"/>
        <w:left w:val="single" w:color="auto" w:sz="4" w:space="0"/>
        <w:bottom w:val="single" w:color="auto" w:sz="4" w:space="0"/>
      </w:pBdr>
      <w:spacing w:before="100" w:beforeAutospacing="1" w:after="100" w:afterAutospacing="1" w:line="240" w:lineRule="auto"/>
      <w:jc w:val="center"/>
    </w:pPr>
    <w:rPr>
      <w:rFonts w:hint="eastAsia" w:ascii="宋体" w:hAnsi="宋体" w:cs="Arial Unicode MS"/>
      <w:b/>
      <w:bCs/>
      <w:kern w:val="0"/>
      <w:szCs w:val="24"/>
    </w:rPr>
  </w:style>
  <w:style w:type="paragraph" w:customStyle="1" w:styleId="388">
    <w:name w:val="CM8"/>
    <w:basedOn w:val="59"/>
    <w:next w:val="59"/>
    <w:autoRedefine/>
    <w:qFormat/>
    <w:uiPriority w:val="0"/>
    <w:pPr>
      <w:spacing w:line="468" w:lineRule="atLeast"/>
    </w:pPr>
    <w:rPr>
      <w:color w:val="auto"/>
      <w:sz w:val="20"/>
    </w:rPr>
  </w:style>
  <w:style w:type="paragraph" w:customStyle="1" w:styleId="389">
    <w:name w:val="表头 Char"/>
    <w:basedOn w:val="1"/>
    <w:autoRedefine/>
    <w:qFormat/>
    <w:uiPriority w:val="0"/>
    <w:pPr>
      <w:wordWrap w:val="0"/>
      <w:snapToGrid w:val="0"/>
      <w:spacing w:line="300" w:lineRule="auto"/>
      <w:jc w:val="right"/>
    </w:pPr>
    <w:rPr>
      <w:rFonts w:ascii="黑体" w:eastAsia="黑体"/>
    </w:rPr>
  </w:style>
  <w:style w:type="paragraph" w:customStyle="1" w:styleId="390">
    <w:name w:val="正文1（缩进）"/>
    <w:basedOn w:val="310"/>
    <w:autoRedefine/>
    <w:qFormat/>
    <w:uiPriority w:val="0"/>
    <w:pPr>
      <w:ind w:firstLine="473" w:firstLineChars="225"/>
    </w:pPr>
    <w:rPr>
      <w:rFonts w:ascii="宋体" w:hAnsi="宋体"/>
      <w:color w:val="000000"/>
      <w:szCs w:val="21"/>
    </w:rPr>
  </w:style>
  <w:style w:type="paragraph" w:customStyle="1" w:styleId="391">
    <w:name w:val="表格左对齐"/>
    <w:basedOn w:val="1"/>
    <w:autoRedefine/>
    <w:qFormat/>
    <w:uiPriority w:val="0"/>
    <w:pPr>
      <w:adjustRightInd w:val="0"/>
      <w:snapToGrid w:val="0"/>
      <w:jc w:val="center"/>
    </w:pPr>
    <w:rPr>
      <w:rFonts w:ascii="宋体"/>
      <w:szCs w:val="24"/>
    </w:rPr>
  </w:style>
  <w:style w:type="paragraph" w:customStyle="1" w:styleId="392">
    <w:name w:val="标题二"/>
    <w:basedOn w:val="1"/>
    <w:autoRedefine/>
    <w:qFormat/>
    <w:uiPriority w:val="0"/>
    <w:pPr>
      <w:spacing w:line="240" w:lineRule="auto"/>
    </w:pPr>
    <w:rPr>
      <w:color w:val="000000"/>
      <w:sz w:val="30"/>
      <w:szCs w:val="24"/>
    </w:rPr>
  </w:style>
  <w:style w:type="paragraph" w:customStyle="1" w:styleId="393">
    <w:name w:val="SSBR 标2"/>
    <w:basedOn w:val="3"/>
    <w:autoRedefine/>
    <w:qFormat/>
    <w:uiPriority w:val="0"/>
    <w:pPr>
      <w:keepNext/>
      <w:keepLines/>
      <w:tabs>
        <w:tab w:val="left" w:pos="425"/>
      </w:tabs>
      <w:jc w:val="center"/>
    </w:pPr>
    <w:rPr>
      <w:rFonts w:ascii="宋体" w:hAnsi="宋体" w:eastAsia="黑体"/>
      <w:b w:val="0"/>
      <w:kern w:val="2"/>
      <w:sz w:val="24"/>
      <w:szCs w:val="24"/>
      <w:lang w:val="zh-CN"/>
    </w:rPr>
  </w:style>
  <w:style w:type="paragraph" w:customStyle="1" w:styleId="394">
    <w:name w:val="ÕýÎÄ"/>
    <w:autoRedefine/>
    <w:qFormat/>
    <w:uiPriority w:val="0"/>
    <w:pPr>
      <w:overflowPunct w:val="0"/>
      <w:autoSpaceDE w:val="0"/>
      <w:autoSpaceDN w:val="0"/>
      <w:adjustRightInd w:val="0"/>
      <w:spacing w:beforeLines="50" w:afterLines="50" w:line="360" w:lineRule="auto"/>
      <w:ind w:left="567" w:right="567" w:firstLine="680"/>
      <w:textAlignment w:val="baseline"/>
    </w:pPr>
    <w:rPr>
      <w:rFonts w:ascii="宋体" w:hAnsi="Times New Roman" w:eastAsia="宋体" w:cs="Times New Roman"/>
      <w:sz w:val="24"/>
      <w:szCs w:val="24"/>
      <w:lang w:val="en-US" w:eastAsia="zh-CN" w:bidi="ar-SA"/>
    </w:rPr>
  </w:style>
  <w:style w:type="paragraph" w:customStyle="1" w:styleId="395">
    <w:name w:val="xl26"/>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Arial Unicode MS" w:hAnsi="Arial Unicode MS" w:eastAsia="Arial Unicode MS" w:cs="Arial Unicode MS"/>
      <w:kern w:val="0"/>
      <w:szCs w:val="24"/>
    </w:rPr>
  </w:style>
  <w:style w:type="paragraph" w:customStyle="1" w:styleId="396">
    <w:name w:val="标3"/>
    <w:autoRedefine/>
    <w:qFormat/>
    <w:uiPriority w:val="0"/>
    <w:pPr>
      <w:spacing w:beforeLines="50" w:afterLines="50" w:line="300" w:lineRule="auto"/>
    </w:pPr>
    <w:rPr>
      <w:rFonts w:ascii="宋体" w:hAnsi="宋体" w:eastAsia="宋体" w:cs="Times New Roman"/>
      <w:kern w:val="2"/>
      <w:sz w:val="28"/>
      <w:szCs w:val="24"/>
      <w:lang w:val="en-US" w:eastAsia="zh-CN" w:bidi="ar-SA"/>
    </w:rPr>
  </w:style>
  <w:style w:type="paragraph" w:customStyle="1" w:styleId="397">
    <w:name w:val="xl30"/>
    <w:basedOn w:val="1"/>
    <w:autoRedefine/>
    <w:qFormat/>
    <w:uiPriority w:val="0"/>
    <w:pPr>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rFonts w:ascii="Arial Unicode MS" w:hAnsi="Arial Unicode MS" w:eastAsia="Arial Unicode MS" w:cs="Arial Unicode MS"/>
      <w:kern w:val="0"/>
      <w:szCs w:val="24"/>
    </w:rPr>
  </w:style>
  <w:style w:type="paragraph" w:customStyle="1" w:styleId="398">
    <w:name w:val="xl34"/>
    <w:basedOn w:val="1"/>
    <w:autoRedefine/>
    <w:qFormat/>
    <w:uiPriority w:val="0"/>
    <w:pPr>
      <w:pBdr>
        <w:top w:val="single" w:color="auto" w:sz="8" w:space="0"/>
        <w:left w:val="single" w:color="auto" w:sz="4" w:space="0"/>
        <w:bottom w:val="single" w:color="auto" w:sz="4" w:space="0"/>
        <w:right w:val="single" w:color="auto" w:sz="4" w:space="0"/>
      </w:pBdr>
      <w:spacing w:before="100" w:beforeAutospacing="1" w:after="100" w:afterAutospacing="1" w:line="240" w:lineRule="auto"/>
      <w:jc w:val="center"/>
    </w:pPr>
    <w:rPr>
      <w:rFonts w:hint="eastAsia" w:ascii="宋体" w:hAnsi="宋体" w:cs="Arial Unicode MS"/>
      <w:b/>
      <w:bCs/>
      <w:kern w:val="0"/>
      <w:szCs w:val="24"/>
    </w:rPr>
  </w:style>
  <w:style w:type="paragraph" w:customStyle="1" w:styleId="399">
    <w:name w:val="普通(网站)1"/>
    <w:basedOn w:val="1"/>
    <w:autoRedefine/>
    <w:qFormat/>
    <w:uiPriority w:val="0"/>
    <w:pPr>
      <w:spacing w:before="100" w:beforeAutospacing="1" w:after="100" w:afterAutospacing="1" w:line="240" w:lineRule="auto"/>
    </w:pPr>
    <w:rPr>
      <w:rFonts w:ascii="ˎ̥" w:hAnsi="ˎ̥" w:cs="宋体"/>
      <w:kern w:val="0"/>
      <w:szCs w:val="24"/>
    </w:rPr>
  </w:style>
  <w:style w:type="paragraph" w:customStyle="1" w:styleId="400">
    <w:name w:val="xl44"/>
    <w:basedOn w:val="1"/>
    <w:autoRedefine/>
    <w:qFormat/>
    <w:uiPriority w:val="0"/>
    <w:pPr>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rFonts w:hint="eastAsia" w:ascii="宋体" w:hAnsi="宋体" w:cs="Arial Unicode MS"/>
      <w:b/>
      <w:bCs/>
      <w:kern w:val="0"/>
      <w:szCs w:val="24"/>
    </w:rPr>
  </w:style>
  <w:style w:type="paragraph" w:customStyle="1" w:styleId="401">
    <w:name w:val="SSBR 标1"/>
    <w:basedOn w:val="2"/>
    <w:autoRedefine/>
    <w:qFormat/>
    <w:uiPriority w:val="0"/>
    <w:pPr>
      <w:keepNext/>
      <w:keepLines/>
      <w:numPr>
        <w:numId w:val="8"/>
      </w:numPr>
      <w:tabs>
        <w:tab w:val="left" w:pos="425"/>
      </w:tabs>
      <w:spacing w:before="120" w:after="120"/>
    </w:pPr>
    <w:rPr>
      <w:rFonts w:ascii="黑体"/>
      <w:b w:val="0"/>
      <w:bCs w:val="0"/>
      <w:sz w:val="28"/>
      <w:szCs w:val="20"/>
      <w:lang w:val="zh-CN"/>
    </w:rPr>
  </w:style>
  <w:style w:type="paragraph" w:customStyle="1" w:styleId="402">
    <w:name w:val="CM9"/>
    <w:basedOn w:val="59"/>
    <w:next w:val="59"/>
    <w:autoRedefine/>
    <w:qFormat/>
    <w:uiPriority w:val="0"/>
    <w:pPr>
      <w:spacing w:line="460" w:lineRule="atLeast"/>
    </w:pPr>
    <w:rPr>
      <w:color w:val="auto"/>
      <w:sz w:val="20"/>
    </w:rPr>
  </w:style>
  <w:style w:type="paragraph" w:customStyle="1" w:styleId="403">
    <w:name w:val="xl42"/>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hint="eastAsia" w:ascii="宋体" w:hAnsi="宋体" w:cs="Arial Unicode MS"/>
      <w:b/>
      <w:bCs/>
      <w:kern w:val="0"/>
      <w:szCs w:val="24"/>
    </w:rPr>
  </w:style>
  <w:style w:type="paragraph" w:customStyle="1" w:styleId="404">
    <w:name w:val="TxBr_c4"/>
    <w:basedOn w:val="1"/>
    <w:autoRedefine/>
    <w:qFormat/>
    <w:uiPriority w:val="0"/>
    <w:pPr>
      <w:snapToGrid w:val="0"/>
      <w:spacing w:line="240" w:lineRule="atLeast"/>
      <w:jc w:val="center"/>
    </w:pPr>
    <w:rPr>
      <w:snapToGrid w:val="0"/>
      <w:kern w:val="0"/>
      <w:lang w:eastAsia="en-US"/>
    </w:rPr>
  </w:style>
  <w:style w:type="paragraph" w:customStyle="1" w:styleId="405">
    <w:name w:val="xl25"/>
    <w:basedOn w:val="1"/>
    <w:autoRedefine/>
    <w:qFormat/>
    <w:uiPriority w:val="0"/>
    <w:pPr>
      <w:spacing w:before="100" w:beforeAutospacing="1" w:after="100" w:afterAutospacing="1" w:line="240" w:lineRule="auto"/>
      <w:jc w:val="center"/>
      <w:textAlignment w:val="top"/>
    </w:pPr>
    <w:rPr>
      <w:rFonts w:eastAsia="Arial Unicode MS"/>
      <w:kern w:val="0"/>
      <w:sz w:val="21"/>
      <w:szCs w:val="21"/>
    </w:rPr>
  </w:style>
  <w:style w:type="paragraph" w:customStyle="1" w:styleId="406">
    <w:name w:val="正文文本缩进 311"/>
    <w:basedOn w:val="1"/>
    <w:autoRedefine/>
    <w:qFormat/>
    <w:uiPriority w:val="99"/>
    <w:pPr>
      <w:spacing w:line="240" w:lineRule="auto"/>
    </w:pPr>
    <w:rPr>
      <w:rFonts w:ascii="宋体" w:hAnsi="宋体"/>
      <w:color w:val="000000"/>
      <w:szCs w:val="24"/>
    </w:rPr>
  </w:style>
  <w:style w:type="character" w:customStyle="1" w:styleId="407">
    <w:name w:val="图表标题 字符"/>
    <w:basedOn w:val="238"/>
    <w:autoRedefine/>
    <w:qFormat/>
    <w:uiPriority w:val="0"/>
    <w:rPr>
      <w:rFonts w:ascii="Times New Roman" w:hAnsi="Times New Roman" w:eastAsia="宋体"/>
      <w:b/>
      <w:sz w:val="24"/>
    </w:rPr>
  </w:style>
  <w:style w:type="paragraph" w:customStyle="1" w:styleId="408">
    <w:name w:val="二级标题"/>
    <w:basedOn w:val="1"/>
    <w:link w:val="409"/>
    <w:autoRedefine/>
    <w:qFormat/>
    <w:uiPriority w:val="0"/>
    <w:pPr>
      <w:outlineLvl w:val="1"/>
    </w:pPr>
    <w:rPr>
      <w:b/>
      <w:sz w:val="30"/>
      <w:szCs w:val="30"/>
    </w:rPr>
  </w:style>
  <w:style w:type="character" w:customStyle="1" w:styleId="409">
    <w:name w:val="二级标题 字符"/>
    <w:basedOn w:val="52"/>
    <w:link w:val="408"/>
    <w:autoRedefine/>
    <w:qFormat/>
    <w:uiPriority w:val="0"/>
    <w:rPr>
      <w:rFonts w:ascii="Times New Roman" w:hAnsi="Times New Roman" w:eastAsia="宋体" w:cs="Times New Roman"/>
      <w:b/>
      <w:sz w:val="30"/>
      <w:szCs w:val="30"/>
    </w:rPr>
  </w:style>
  <w:style w:type="paragraph" w:customStyle="1" w:styleId="410">
    <w:name w:val="三级标题"/>
    <w:basedOn w:val="1"/>
    <w:link w:val="411"/>
    <w:autoRedefine/>
    <w:qFormat/>
    <w:uiPriority w:val="0"/>
    <w:pPr>
      <w:outlineLvl w:val="2"/>
    </w:pPr>
    <w:rPr>
      <w:b/>
      <w:szCs w:val="24"/>
    </w:rPr>
  </w:style>
  <w:style w:type="character" w:customStyle="1" w:styleId="411">
    <w:name w:val="三级标题 字符"/>
    <w:basedOn w:val="52"/>
    <w:link w:val="410"/>
    <w:autoRedefine/>
    <w:qFormat/>
    <w:uiPriority w:val="0"/>
    <w:rPr>
      <w:rFonts w:ascii="Times New Roman" w:hAnsi="Times New Roman" w:eastAsia="宋体" w:cs="Times New Roman"/>
      <w:b/>
      <w:sz w:val="24"/>
      <w:szCs w:val="24"/>
    </w:rPr>
  </w:style>
  <w:style w:type="paragraph" w:customStyle="1" w:styleId="412">
    <w:name w:val="正文首行缩进3"/>
    <w:basedOn w:val="1"/>
    <w:autoRedefine/>
    <w:qFormat/>
    <w:uiPriority w:val="0"/>
    <w:pPr>
      <w:snapToGrid w:val="0"/>
      <w:spacing w:after="120" w:line="240" w:lineRule="auto"/>
      <w:ind w:firstLine="420" w:firstLineChars="100"/>
    </w:pPr>
    <w:rPr>
      <w:sz w:val="21"/>
    </w:rPr>
  </w:style>
  <w:style w:type="paragraph" w:customStyle="1" w:styleId="413">
    <w:name w:val="四级标题"/>
    <w:basedOn w:val="1"/>
    <w:link w:val="414"/>
    <w:autoRedefine/>
    <w:qFormat/>
    <w:uiPriority w:val="0"/>
    <w:pPr>
      <w:outlineLvl w:val="3"/>
    </w:pPr>
    <w:rPr>
      <w:szCs w:val="24"/>
    </w:rPr>
  </w:style>
  <w:style w:type="character" w:customStyle="1" w:styleId="414">
    <w:name w:val="四级标题 字符"/>
    <w:basedOn w:val="52"/>
    <w:link w:val="413"/>
    <w:autoRedefine/>
    <w:qFormat/>
    <w:uiPriority w:val="0"/>
    <w:rPr>
      <w:rFonts w:ascii="Times New Roman" w:hAnsi="Times New Roman" w:eastAsia="宋体" w:cs="Times New Roman"/>
      <w:sz w:val="24"/>
      <w:szCs w:val="24"/>
    </w:rPr>
  </w:style>
  <w:style w:type="paragraph" w:customStyle="1" w:styleId="415">
    <w:name w:val="附图附件"/>
    <w:basedOn w:val="1"/>
    <w:link w:val="416"/>
    <w:autoRedefine/>
    <w:qFormat/>
    <w:uiPriority w:val="0"/>
    <w:pPr>
      <w:outlineLvl w:val="0"/>
    </w:pPr>
    <w:rPr>
      <w:rFonts w:cstheme="minorBidi"/>
      <w:szCs w:val="22"/>
    </w:rPr>
  </w:style>
  <w:style w:type="character" w:customStyle="1" w:styleId="416">
    <w:name w:val="附图附件 字符"/>
    <w:basedOn w:val="52"/>
    <w:link w:val="415"/>
    <w:autoRedefine/>
    <w:qFormat/>
    <w:uiPriority w:val="0"/>
    <w:rPr>
      <w:rFonts w:ascii="Times New Roman" w:hAnsi="Times New Roman" w:eastAsia="宋体"/>
      <w:sz w:val="24"/>
    </w:rPr>
  </w:style>
  <w:style w:type="paragraph" w:customStyle="1" w:styleId="417">
    <w:name w:val="一级标题"/>
    <w:basedOn w:val="1"/>
    <w:link w:val="418"/>
    <w:autoRedefine/>
    <w:qFormat/>
    <w:uiPriority w:val="0"/>
    <w:pPr>
      <w:spacing w:before="300" w:after="300"/>
      <w:jc w:val="center"/>
      <w:outlineLvl w:val="0"/>
    </w:pPr>
    <w:rPr>
      <w:b/>
      <w:sz w:val="36"/>
      <w:szCs w:val="44"/>
    </w:rPr>
  </w:style>
  <w:style w:type="character" w:customStyle="1" w:styleId="418">
    <w:name w:val="一级标题 字符"/>
    <w:basedOn w:val="52"/>
    <w:link w:val="417"/>
    <w:autoRedefine/>
    <w:qFormat/>
    <w:uiPriority w:val="0"/>
    <w:rPr>
      <w:rFonts w:ascii="Times New Roman" w:hAnsi="Times New Roman" w:eastAsia="宋体" w:cs="Times New Roman"/>
      <w:b/>
      <w:sz w:val="36"/>
      <w:szCs w:val="44"/>
    </w:rPr>
  </w:style>
  <w:style w:type="character" w:customStyle="1" w:styleId="419">
    <w:name w:val="表格单位 Char Char"/>
    <w:link w:val="420"/>
    <w:autoRedefine/>
    <w:qFormat/>
    <w:uiPriority w:val="0"/>
    <w:rPr>
      <w:b/>
      <w:bCs/>
      <w:sz w:val="18"/>
      <w:szCs w:val="24"/>
    </w:rPr>
  </w:style>
  <w:style w:type="paragraph" w:customStyle="1" w:styleId="420">
    <w:name w:val="表格单位"/>
    <w:basedOn w:val="167"/>
    <w:link w:val="419"/>
    <w:autoRedefine/>
    <w:qFormat/>
    <w:uiPriority w:val="0"/>
    <w:pPr>
      <w:tabs>
        <w:tab w:val="clear" w:pos="1980"/>
        <w:tab w:val="clear" w:pos="3825"/>
        <w:tab w:val="clear" w:pos="4680"/>
      </w:tabs>
      <w:ind w:firstLine="480"/>
    </w:pPr>
    <w:rPr>
      <w:rFonts w:asciiTheme="minorHAnsi" w:hAnsiTheme="minorHAnsi" w:eastAsiaTheme="minorEastAsia" w:cstheme="minorBidi"/>
      <w:bCs/>
      <w:color w:val="auto"/>
      <w:kern w:val="2"/>
      <w:sz w:val="18"/>
    </w:rPr>
  </w:style>
  <w:style w:type="paragraph" w:customStyle="1" w:styleId="421">
    <w:name w:val="正文格式"/>
    <w:basedOn w:val="1"/>
    <w:link w:val="422"/>
    <w:autoRedefine/>
    <w:qFormat/>
    <w:uiPriority w:val="0"/>
    <w:pPr>
      <w:ind w:firstLine="482"/>
    </w:pPr>
    <w:rPr>
      <w:rFonts w:ascii="宋体" w:hAnsi="宋体"/>
      <w:szCs w:val="24"/>
      <w:lang w:val="zh-CN"/>
    </w:rPr>
  </w:style>
  <w:style w:type="character" w:customStyle="1" w:styleId="422">
    <w:name w:val="正文格式 Char"/>
    <w:link w:val="421"/>
    <w:autoRedefine/>
    <w:qFormat/>
    <w:uiPriority w:val="0"/>
    <w:rPr>
      <w:rFonts w:ascii="宋体" w:hAnsi="宋体" w:eastAsia="宋体" w:cs="Times New Roman"/>
      <w:sz w:val="24"/>
      <w:szCs w:val="24"/>
      <w:lang w:val="zh-CN"/>
    </w:rPr>
  </w:style>
  <w:style w:type="paragraph" w:customStyle="1" w:styleId="423">
    <w:name w:val="表格标题"/>
    <w:basedOn w:val="1"/>
    <w:link w:val="424"/>
    <w:autoRedefine/>
    <w:qFormat/>
    <w:uiPriority w:val="0"/>
    <w:pPr>
      <w:adjustRightInd w:val="0"/>
      <w:snapToGrid w:val="0"/>
      <w:jc w:val="center"/>
    </w:pPr>
    <w:rPr>
      <w:rFonts w:cs="Calibri"/>
      <w:b/>
      <w:szCs w:val="24"/>
    </w:rPr>
  </w:style>
  <w:style w:type="character" w:customStyle="1" w:styleId="424">
    <w:name w:val="表格标题 字符"/>
    <w:link w:val="423"/>
    <w:autoRedefine/>
    <w:qFormat/>
    <w:uiPriority w:val="0"/>
    <w:rPr>
      <w:rFonts w:ascii="Times New Roman" w:hAnsi="Times New Roman" w:eastAsia="宋体" w:cs="Calibri"/>
      <w:b/>
      <w:sz w:val="24"/>
      <w:szCs w:val="24"/>
    </w:rPr>
  </w:style>
  <w:style w:type="paragraph" w:customStyle="1" w:styleId="425">
    <w:name w:val="表格内正文1"/>
    <w:basedOn w:val="1"/>
    <w:next w:val="1"/>
    <w:link w:val="426"/>
    <w:autoRedefine/>
    <w:qFormat/>
    <w:uiPriority w:val="0"/>
    <w:pPr>
      <w:adjustRightInd w:val="0"/>
      <w:snapToGrid w:val="0"/>
      <w:spacing w:line="240" w:lineRule="auto"/>
      <w:jc w:val="center"/>
    </w:pPr>
    <w:rPr>
      <w:rFonts w:cs="Calibri"/>
      <w:sz w:val="21"/>
      <w:szCs w:val="24"/>
    </w:rPr>
  </w:style>
  <w:style w:type="character" w:customStyle="1" w:styleId="426">
    <w:name w:val="表格内正文1 Char"/>
    <w:link w:val="425"/>
    <w:autoRedefine/>
    <w:qFormat/>
    <w:uiPriority w:val="0"/>
    <w:rPr>
      <w:rFonts w:ascii="Times New Roman" w:hAnsi="Times New Roman" w:eastAsia="宋体" w:cs="Calibri"/>
      <w:szCs w:val="24"/>
    </w:rPr>
  </w:style>
  <w:style w:type="character" w:customStyle="1" w:styleId="427">
    <w:name w:val="表格内正文1 Char Char"/>
    <w:autoRedefine/>
    <w:qFormat/>
    <w:uiPriority w:val="0"/>
    <w:rPr>
      <w:rFonts w:cs="Calibri"/>
      <w:kern w:val="2"/>
      <w:sz w:val="21"/>
      <w:szCs w:val="24"/>
    </w:rPr>
  </w:style>
  <w:style w:type="character" w:customStyle="1" w:styleId="428">
    <w:name w:val="正文内容 Char Char"/>
    <w:autoRedefine/>
    <w:qFormat/>
    <w:uiPriority w:val="0"/>
    <w:rPr>
      <w:rFonts w:ascii="Times New Roman" w:hAnsi="Times New Roman" w:eastAsia="宋体" w:cs="Calibri"/>
      <w:sz w:val="24"/>
      <w:szCs w:val="24"/>
    </w:rPr>
  </w:style>
  <w:style w:type="paragraph" w:customStyle="1" w:styleId="429">
    <w:name w:val="封面项目名称"/>
    <w:basedOn w:val="1"/>
    <w:next w:val="1"/>
    <w:link w:val="430"/>
    <w:autoRedefine/>
    <w:qFormat/>
    <w:uiPriority w:val="0"/>
    <w:pPr>
      <w:jc w:val="center"/>
      <w:outlineLvl w:val="0"/>
    </w:pPr>
    <w:rPr>
      <w:b/>
      <w:bCs/>
      <w:sz w:val="44"/>
      <w:szCs w:val="24"/>
    </w:rPr>
  </w:style>
  <w:style w:type="character" w:customStyle="1" w:styleId="430">
    <w:name w:val="封面项目名称 字符"/>
    <w:link w:val="429"/>
    <w:autoRedefine/>
    <w:qFormat/>
    <w:uiPriority w:val="0"/>
    <w:rPr>
      <w:rFonts w:ascii="Times New Roman" w:hAnsi="Times New Roman" w:eastAsia="宋体" w:cs="Times New Roman"/>
      <w:b/>
      <w:bCs/>
      <w:sz w:val="44"/>
      <w:szCs w:val="24"/>
    </w:rPr>
  </w:style>
  <w:style w:type="paragraph" w:customStyle="1" w:styleId="431">
    <w:name w:val="封面单位"/>
    <w:basedOn w:val="47"/>
    <w:link w:val="432"/>
    <w:autoRedefine/>
    <w:qFormat/>
    <w:uiPriority w:val="0"/>
    <w:pPr>
      <w:spacing w:before="0" w:after="0"/>
      <w:outlineLvl w:val="9"/>
    </w:pPr>
    <w:rPr>
      <w:rFonts w:ascii="Cambria" w:hAnsi="Cambria" w:cs="Times New Roman"/>
      <w:sz w:val="36"/>
    </w:rPr>
  </w:style>
  <w:style w:type="character" w:customStyle="1" w:styleId="432">
    <w:name w:val="封面单位 字符"/>
    <w:basedOn w:val="73"/>
    <w:link w:val="431"/>
    <w:autoRedefine/>
    <w:qFormat/>
    <w:uiPriority w:val="0"/>
    <w:rPr>
      <w:rFonts w:ascii="Cambria" w:hAnsi="Cambria" w:cs="Times New Roman"/>
      <w:sz w:val="36"/>
      <w:szCs w:val="32"/>
    </w:rPr>
  </w:style>
  <w:style w:type="paragraph" w:customStyle="1" w:styleId="433">
    <w:name w:val="封面报告类型"/>
    <w:basedOn w:val="429"/>
    <w:link w:val="434"/>
    <w:autoRedefine/>
    <w:qFormat/>
    <w:uiPriority w:val="0"/>
    <w:rPr>
      <w:rFonts w:eastAsia="黑体"/>
      <w:sz w:val="52"/>
    </w:rPr>
  </w:style>
  <w:style w:type="character" w:customStyle="1" w:styleId="434">
    <w:name w:val="封面报告类型 字符"/>
    <w:basedOn w:val="430"/>
    <w:link w:val="433"/>
    <w:autoRedefine/>
    <w:qFormat/>
    <w:uiPriority w:val="0"/>
    <w:rPr>
      <w:rFonts w:ascii="Times New Roman" w:hAnsi="Times New Roman" w:eastAsia="黑体" w:cs="Times New Roman"/>
      <w:sz w:val="52"/>
      <w:szCs w:val="24"/>
    </w:rPr>
  </w:style>
  <w:style w:type="paragraph" w:customStyle="1" w:styleId="435">
    <w:name w:val="封面时间"/>
    <w:basedOn w:val="431"/>
    <w:link w:val="436"/>
    <w:autoRedefine/>
    <w:qFormat/>
    <w:uiPriority w:val="0"/>
    <w:pPr>
      <w:spacing w:before="50" w:after="50"/>
    </w:pPr>
    <w:rPr>
      <w:sz w:val="32"/>
    </w:rPr>
  </w:style>
  <w:style w:type="character" w:customStyle="1" w:styleId="436">
    <w:name w:val="封面时间 字符"/>
    <w:basedOn w:val="432"/>
    <w:link w:val="435"/>
    <w:autoRedefine/>
    <w:qFormat/>
    <w:uiPriority w:val="0"/>
    <w:rPr>
      <w:rFonts w:ascii="Cambria" w:hAnsi="Cambria" w:cs="Times New Roman"/>
      <w:sz w:val="32"/>
      <w:szCs w:val="32"/>
    </w:rPr>
  </w:style>
  <w:style w:type="character" w:customStyle="1" w:styleId="437">
    <w:name w:val="无间隔 字符1"/>
    <w:autoRedefine/>
    <w:qFormat/>
    <w:uiPriority w:val="1"/>
    <w:rPr>
      <w:kern w:val="2"/>
      <w:sz w:val="21"/>
      <w:szCs w:val="24"/>
    </w:rPr>
  </w:style>
  <w:style w:type="character" w:customStyle="1" w:styleId="438">
    <w:name w:val="6表(图)头(治) Char"/>
    <w:link w:val="439"/>
    <w:autoRedefine/>
    <w:qFormat/>
    <w:uiPriority w:val="0"/>
    <w:rPr>
      <w:rFonts w:eastAsia="黑体"/>
      <w:b/>
      <w:bCs/>
      <w:sz w:val="24"/>
      <w:szCs w:val="30"/>
    </w:rPr>
  </w:style>
  <w:style w:type="paragraph" w:customStyle="1" w:styleId="439">
    <w:name w:val="6表(图)头(治)"/>
    <w:next w:val="1"/>
    <w:link w:val="438"/>
    <w:autoRedefine/>
    <w:qFormat/>
    <w:uiPriority w:val="0"/>
    <w:pPr>
      <w:widowControl w:val="0"/>
      <w:spacing w:beforeLines="50" w:afterLines="50" w:line="360" w:lineRule="auto"/>
      <w:jc w:val="center"/>
    </w:pPr>
    <w:rPr>
      <w:rFonts w:eastAsia="黑体" w:asciiTheme="minorHAnsi" w:hAnsiTheme="minorHAnsi" w:cstheme="minorBidi"/>
      <w:b/>
      <w:bCs/>
      <w:kern w:val="2"/>
      <w:sz w:val="24"/>
      <w:szCs w:val="30"/>
      <w:lang w:val="en-US" w:eastAsia="zh-CN" w:bidi="ar-SA"/>
    </w:rPr>
  </w:style>
  <w:style w:type="character" w:customStyle="1" w:styleId="440">
    <w:name w:val="批注文字 Char"/>
    <w:basedOn w:val="52"/>
    <w:autoRedefine/>
    <w:qFormat/>
    <w:uiPriority w:val="0"/>
  </w:style>
  <w:style w:type="character" w:customStyle="1" w:styleId="441">
    <w:name w:val="日期 Char"/>
    <w:basedOn w:val="52"/>
    <w:autoRedefine/>
    <w:qFormat/>
    <w:uiPriority w:val="0"/>
  </w:style>
  <w:style w:type="character" w:customStyle="1" w:styleId="442">
    <w:name w:val="表格格式222 Char"/>
    <w:link w:val="443"/>
    <w:autoRedefine/>
    <w:qFormat/>
    <w:uiPriority w:val="0"/>
    <w:rPr>
      <w:rFonts w:cs="宋体"/>
      <w:sz w:val="24"/>
      <w:szCs w:val="21"/>
    </w:rPr>
  </w:style>
  <w:style w:type="paragraph" w:customStyle="1" w:styleId="443">
    <w:name w:val="表格格式222"/>
    <w:basedOn w:val="1"/>
    <w:link w:val="442"/>
    <w:autoRedefine/>
    <w:qFormat/>
    <w:uiPriority w:val="0"/>
    <w:pPr>
      <w:spacing w:line="240" w:lineRule="auto"/>
      <w:jc w:val="center"/>
    </w:pPr>
    <w:rPr>
      <w:rFonts w:cs="宋体" w:asciiTheme="minorHAnsi" w:hAnsiTheme="minorHAnsi" w:eastAsiaTheme="minorEastAsia"/>
      <w:szCs w:val="21"/>
    </w:rPr>
  </w:style>
  <w:style w:type="character" w:customStyle="1" w:styleId="444">
    <w:name w:val="批注主题 Char"/>
    <w:autoRedefine/>
    <w:qFormat/>
    <w:uiPriority w:val="0"/>
    <w:rPr>
      <w:b/>
      <w:bCs/>
    </w:rPr>
  </w:style>
  <w:style w:type="paragraph" w:customStyle="1" w:styleId="445">
    <w:name w:val="2标题(治)"/>
    <w:basedOn w:val="3"/>
    <w:autoRedefine/>
    <w:qFormat/>
    <w:uiPriority w:val="0"/>
    <w:pPr>
      <w:keepNext/>
      <w:keepLines/>
    </w:pPr>
    <w:rPr>
      <w:rFonts w:eastAsia="黑体"/>
      <w:kern w:val="2"/>
      <w:szCs w:val="30"/>
    </w:rPr>
  </w:style>
  <w:style w:type="paragraph" w:customStyle="1" w:styleId="446">
    <w:name w:val="1章(治)"/>
    <w:basedOn w:val="1"/>
    <w:next w:val="1"/>
    <w:autoRedefine/>
    <w:qFormat/>
    <w:uiPriority w:val="0"/>
    <w:pPr>
      <w:jc w:val="center"/>
      <w:outlineLvl w:val="0"/>
    </w:pPr>
    <w:rPr>
      <w:rFonts w:ascii="黑体" w:hAnsi="宋体" w:eastAsia="黑体"/>
      <w:b/>
      <w:sz w:val="44"/>
      <w:szCs w:val="44"/>
    </w:rPr>
  </w:style>
  <w:style w:type="paragraph" w:customStyle="1" w:styleId="447">
    <w:name w:val="Char Char11"/>
    <w:basedOn w:val="1"/>
    <w:autoRedefine/>
    <w:qFormat/>
    <w:uiPriority w:val="0"/>
    <w:rPr>
      <w:rFonts w:ascii="宋体" w:hAnsi="宋体" w:cs="宋体"/>
      <w:szCs w:val="24"/>
    </w:rPr>
  </w:style>
  <w:style w:type="paragraph" w:customStyle="1" w:styleId="448">
    <w:name w:val="Char Char Char Char Char Char Char Char Char Char Char Char Char Char Char Char Char Char Char Char Char Char Char Char Char Char Char Char Char Char Char Char Char"/>
    <w:basedOn w:val="1"/>
    <w:autoRedefine/>
    <w:qFormat/>
    <w:uiPriority w:val="0"/>
    <w:pPr>
      <w:spacing w:after="160" w:line="240" w:lineRule="exact"/>
    </w:pPr>
    <w:rPr>
      <w:sz w:val="21"/>
    </w:rPr>
  </w:style>
  <w:style w:type="paragraph" w:customStyle="1" w:styleId="449">
    <w:name w:val="4标题(治)"/>
    <w:basedOn w:val="1"/>
    <w:next w:val="1"/>
    <w:autoRedefine/>
    <w:qFormat/>
    <w:uiPriority w:val="0"/>
    <w:pPr>
      <w:adjustRightInd w:val="0"/>
      <w:snapToGrid w:val="0"/>
      <w:textAlignment w:val="baseline"/>
      <w:outlineLvl w:val="3"/>
    </w:pPr>
    <w:rPr>
      <w:rFonts w:eastAsia="黑体"/>
      <w:kern w:val="0"/>
      <w:sz w:val="28"/>
    </w:rPr>
  </w:style>
  <w:style w:type="paragraph" w:customStyle="1" w:styleId="450">
    <w:name w:val="列出段落3"/>
    <w:basedOn w:val="1"/>
    <w:autoRedefine/>
    <w:qFormat/>
    <w:uiPriority w:val="0"/>
    <w:pPr>
      <w:spacing w:line="240" w:lineRule="auto"/>
      <w:ind w:firstLine="420"/>
    </w:pPr>
    <w:rPr>
      <w:rFonts w:ascii="Calibri" w:hAnsi="Calibri"/>
      <w:sz w:val="21"/>
      <w:szCs w:val="21"/>
    </w:rPr>
  </w:style>
  <w:style w:type="paragraph" w:customStyle="1" w:styleId="451">
    <w:name w:val="3标题(治)"/>
    <w:basedOn w:val="4"/>
    <w:autoRedefine/>
    <w:qFormat/>
    <w:uiPriority w:val="0"/>
    <w:pPr>
      <w:keepNext/>
      <w:keepLines/>
      <w:textAlignment w:val="baseline"/>
    </w:pPr>
    <w:rPr>
      <w:rFonts w:eastAsia="黑体"/>
      <w:bCs w:val="0"/>
      <w:szCs w:val="28"/>
    </w:rPr>
  </w:style>
  <w:style w:type="paragraph" w:customStyle="1" w:styleId="452">
    <w:name w:val="5"/>
    <w:basedOn w:val="1"/>
    <w:autoRedefine/>
    <w:qFormat/>
    <w:uiPriority w:val="0"/>
    <w:pPr>
      <w:spacing w:before="100" w:beforeAutospacing="1" w:after="100" w:afterAutospacing="1" w:line="240" w:lineRule="auto"/>
    </w:pPr>
    <w:rPr>
      <w:rFonts w:ascii="宋体" w:hAnsi="宋体" w:cs="宋体"/>
      <w:kern w:val="0"/>
      <w:szCs w:val="24"/>
    </w:rPr>
  </w:style>
  <w:style w:type="paragraph" w:customStyle="1" w:styleId="453">
    <w:name w:val="首行缩进正文"/>
    <w:basedOn w:val="1"/>
    <w:autoRedefine/>
    <w:qFormat/>
    <w:uiPriority w:val="0"/>
    <w:pPr>
      <w:adjustRightInd w:val="0"/>
      <w:snapToGrid w:val="0"/>
      <w:spacing w:line="300" w:lineRule="auto"/>
      <w:ind w:firstLine="480"/>
    </w:pPr>
    <w:rPr>
      <w:szCs w:val="24"/>
    </w:rPr>
  </w:style>
  <w:style w:type="paragraph" w:customStyle="1" w:styleId="454">
    <w:name w:val="样式 首行缩进:  2 字符"/>
    <w:basedOn w:val="1"/>
    <w:autoRedefine/>
    <w:qFormat/>
    <w:uiPriority w:val="0"/>
    <w:pPr>
      <w:spacing w:line="420" w:lineRule="auto"/>
      <w:ind w:firstLine="480"/>
    </w:pPr>
    <w:rPr>
      <w:rFonts w:cs="宋体"/>
    </w:rPr>
  </w:style>
  <w:style w:type="paragraph" w:customStyle="1" w:styleId="455">
    <w:name w:val="Char Char Char Char Char Char Char Char Char Char1"/>
    <w:basedOn w:val="1"/>
    <w:autoRedefine/>
    <w:qFormat/>
    <w:uiPriority w:val="0"/>
    <w:pPr>
      <w:spacing w:line="240" w:lineRule="auto"/>
    </w:pPr>
    <w:rPr>
      <w:sz w:val="21"/>
      <w:szCs w:val="24"/>
    </w:rPr>
  </w:style>
  <w:style w:type="character" w:customStyle="1" w:styleId="456">
    <w:name w:val="font21"/>
    <w:basedOn w:val="52"/>
    <w:autoRedefine/>
    <w:qFormat/>
    <w:uiPriority w:val="0"/>
    <w:rPr>
      <w:rFonts w:hint="eastAsia" w:ascii="宋体" w:hAnsi="宋体" w:eastAsia="宋体"/>
      <w:color w:val="000000"/>
      <w:sz w:val="21"/>
      <w:szCs w:val="21"/>
      <w:u w:val="none"/>
    </w:rPr>
  </w:style>
  <w:style w:type="character" w:customStyle="1" w:styleId="457">
    <w:name w:val="16"/>
    <w:basedOn w:val="52"/>
    <w:autoRedefine/>
    <w:qFormat/>
    <w:uiPriority w:val="0"/>
    <w:rPr>
      <w:rFonts w:hint="eastAsia" w:ascii="宋体" w:hAnsi="宋体" w:eastAsia="宋体"/>
      <w:spacing w:val="10"/>
      <w:sz w:val="26"/>
      <w:szCs w:val="26"/>
    </w:rPr>
  </w:style>
  <w:style w:type="character" w:customStyle="1" w:styleId="458">
    <w:name w:val="15"/>
    <w:basedOn w:val="52"/>
    <w:autoRedefine/>
    <w:qFormat/>
    <w:uiPriority w:val="0"/>
    <w:rPr>
      <w:rFonts w:hint="eastAsia" w:ascii="宋体" w:hAnsi="宋体" w:eastAsia="宋体"/>
      <w:spacing w:val="10"/>
      <w:sz w:val="26"/>
      <w:szCs w:val="26"/>
    </w:rPr>
  </w:style>
  <w:style w:type="paragraph" w:customStyle="1" w:styleId="459">
    <w:name w:val="自动编号"/>
    <w:basedOn w:val="1"/>
    <w:autoRedefine/>
    <w:qFormat/>
    <w:uiPriority w:val="0"/>
    <w:pPr>
      <w:spacing w:before="100" w:beforeAutospacing="1" w:after="100" w:afterAutospacing="1"/>
    </w:pPr>
    <w:rPr>
      <w:szCs w:val="24"/>
    </w:rPr>
  </w:style>
  <w:style w:type="paragraph" w:customStyle="1" w:styleId="460">
    <w:name w:val="正文3"/>
    <w:autoRedefine/>
    <w:qFormat/>
    <w:uiPriority w:val="0"/>
    <w:pPr>
      <w:spacing w:beforeLines="50" w:afterLines="50" w:line="360" w:lineRule="auto"/>
      <w:jc w:val="both"/>
    </w:pPr>
    <w:rPr>
      <w:rFonts w:ascii="Calibri" w:hAnsi="Calibri" w:eastAsia="宋体" w:cs="Calibri"/>
      <w:kern w:val="2"/>
      <w:sz w:val="21"/>
      <w:szCs w:val="21"/>
      <w:lang w:val="en-US" w:eastAsia="zh-CN" w:bidi="ar-SA"/>
    </w:rPr>
  </w:style>
  <w:style w:type="paragraph" w:customStyle="1" w:styleId="461">
    <w:name w:val="TOC 标题2"/>
    <w:basedOn w:val="2"/>
    <w:next w:val="1"/>
    <w:autoRedefine/>
    <w:unhideWhenUsed/>
    <w:qFormat/>
    <w:uiPriority w:val="39"/>
    <w:pPr>
      <w:keepNext/>
      <w:keepLines/>
      <w:spacing w:before="240" w:line="259" w:lineRule="auto"/>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462">
    <w:name w:val="图名 字符"/>
    <w:link w:val="463"/>
    <w:autoRedefine/>
    <w:qFormat/>
    <w:uiPriority w:val="0"/>
    <w:rPr>
      <w:rFonts w:ascii="Times New Roman" w:hAnsi="Times New Roman" w:cs="宋体"/>
      <w:b/>
      <w:color w:val="000000"/>
      <w:sz w:val="24"/>
      <w:szCs w:val="24"/>
    </w:rPr>
  </w:style>
  <w:style w:type="paragraph" w:customStyle="1" w:styleId="463">
    <w:name w:val="图名"/>
    <w:basedOn w:val="1"/>
    <w:link w:val="462"/>
    <w:autoRedefine/>
    <w:qFormat/>
    <w:uiPriority w:val="0"/>
    <w:pPr>
      <w:spacing w:line="240" w:lineRule="auto"/>
      <w:jc w:val="center"/>
    </w:pPr>
    <w:rPr>
      <w:rFonts w:cs="宋体" w:eastAsiaTheme="minorEastAsia"/>
      <w:b/>
      <w:color w:val="000000"/>
      <w:szCs w:val="24"/>
    </w:rPr>
  </w:style>
  <w:style w:type="character" w:customStyle="1" w:styleId="464">
    <w:name w:val="标题 2 Char1"/>
    <w:autoRedefine/>
    <w:qFormat/>
    <w:uiPriority w:val="0"/>
    <w:rPr>
      <w:bCs/>
      <w:kern w:val="0"/>
      <w:sz w:val="30"/>
      <w:szCs w:val="32"/>
    </w:rPr>
  </w:style>
  <w:style w:type="paragraph" w:customStyle="1" w:styleId="465">
    <w:name w:val="表格内容"/>
    <w:basedOn w:val="466"/>
    <w:next w:val="1"/>
    <w:link w:val="555"/>
    <w:autoRedefine/>
    <w:qFormat/>
    <w:uiPriority w:val="0"/>
    <w:pPr>
      <w:spacing w:line="240" w:lineRule="auto"/>
      <w:jc w:val="center"/>
    </w:pPr>
    <w:rPr>
      <w:rFonts w:ascii="Calibri" w:hAnsi="Calibri" w:cs="宋体"/>
      <w:kern w:val="0"/>
    </w:rPr>
  </w:style>
  <w:style w:type="paragraph" w:customStyle="1" w:styleId="466">
    <w:name w:val="表格固定文字"/>
    <w:basedOn w:val="1"/>
    <w:autoRedefine/>
    <w:qFormat/>
    <w:uiPriority w:val="0"/>
    <w:rPr>
      <w:sz w:val="21"/>
      <w:szCs w:val="24"/>
    </w:rPr>
  </w:style>
  <w:style w:type="character" w:customStyle="1" w:styleId="467">
    <w:name w:val="font51"/>
    <w:basedOn w:val="52"/>
    <w:autoRedefine/>
    <w:qFormat/>
    <w:uiPriority w:val="0"/>
    <w:rPr>
      <w:rFonts w:hint="default" w:ascii="Times New Roman" w:hAnsi="Times New Roman" w:cs="Times New Roman"/>
      <w:color w:val="000000"/>
      <w:sz w:val="21"/>
      <w:szCs w:val="21"/>
      <w:u w:val="none"/>
    </w:rPr>
  </w:style>
  <w:style w:type="paragraph" w:customStyle="1" w:styleId="468">
    <w:name w:val="ZZX-标题4"/>
    <w:basedOn w:val="5"/>
    <w:autoRedefine/>
    <w:qFormat/>
    <w:uiPriority w:val="0"/>
    <w:pPr>
      <w:keepNext/>
      <w:keepLines/>
      <w:tabs>
        <w:tab w:val="clear" w:pos="5400"/>
      </w:tabs>
      <w:adjustRightInd w:val="0"/>
      <w:snapToGrid w:val="0"/>
    </w:pPr>
    <w:rPr>
      <w:kern w:val="1"/>
      <w:szCs w:val="24"/>
    </w:rPr>
  </w:style>
  <w:style w:type="paragraph" w:customStyle="1" w:styleId="469">
    <w:name w:val="样式 表格内文字 + 段前: 6 磅1"/>
    <w:basedOn w:val="166"/>
    <w:autoRedefine/>
    <w:qFormat/>
    <w:uiPriority w:val="0"/>
    <w:rPr>
      <w:rFonts w:cs="宋体"/>
      <w:szCs w:val="20"/>
    </w:rPr>
  </w:style>
  <w:style w:type="paragraph" w:customStyle="1" w:styleId="470">
    <w:name w:val="4.图片格式CM"/>
    <w:autoRedefine/>
    <w:qFormat/>
    <w:uiPriority w:val="0"/>
    <w:pPr>
      <w:spacing w:beforeLines="20" w:afterLines="30" w:line="360" w:lineRule="auto"/>
      <w:jc w:val="center"/>
    </w:pPr>
    <w:rPr>
      <w:rFonts w:ascii="Times New Roman" w:hAnsi="Times New Roman" w:eastAsia="宋体" w:cs="Times New Roman"/>
      <w:kern w:val="2"/>
      <w:sz w:val="24"/>
      <w:szCs w:val="21"/>
      <w:lang w:val="en-US" w:eastAsia="zh-CN" w:bidi="ar-SA"/>
    </w:rPr>
  </w:style>
  <w:style w:type="paragraph" w:customStyle="1" w:styleId="471">
    <w:name w:val="5.正文内容"/>
    <w:basedOn w:val="1"/>
    <w:link w:val="472"/>
    <w:autoRedefine/>
    <w:qFormat/>
    <w:uiPriority w:val="0"/>
    <w:pPr>
      <w:adjustRightInd w:val="0"/>
      <w:snapToGrid w:val="0"/>
      <w:ind w:firstLine="480"/>
    </w:pPr>
  </w:style>
  <w:style w:type="character" w:customStyle="1" w:styleId="472">
    <w:name w:val="5.正文内容 字符"/>
    <w:link w:val="471"/>
    <w:autoRedefine/>
    <w:qFormat/>
    <w:uiPriority w:val="0"/>
    <w:rPr>
      <w:rFonts w:ascii="Times New Roman" w:hAnsi="Times New Roman" w:eastAsia="宋体" w:cs="Times New Roman"/>
      <w:sz w:val="24"/>
      <w:szCs w:val="20"/>
    </w:rPr>
  </w:style>
  <w:style w:type="paragraph" w:customStyle="1" w:styleId="473">
    <w:name w:val="1.表格标题CM"/>
    <w:basedOn w:val="1"/>
    <w:link w:val="474"/>
    <w:autoRedefine/>
    <w:qFormat/>
    <w:uiPriority w:val="0"/>
    <w:pPr>
      <w:adjustRightInd w:val="0"/>
      <w:snapToGrid w:val="0"/>
      <w:spacing w:beforeLines="25"/>
      <w:jc w:val="center"/>
      <w:outlineLvl w:val="6"/>
    </w:pPr>
    <w:rPr>
      <w:rFonts w:eastAsia="黑体"/>
      <w:b/>
      <w:szCs w:val="24"/>
    </w:rPr>
  </w:style>
  <w:style w:type="character" w:customStyle="1" w:styleId="474">
    <w:name w:val="1.表格标题CM 字符"/>
    <w:link w:val="473"/>
    <w:autoRedefine/>
    <w:qFormat/>
    <w:uiPriority w:val="0"/>
    <w:rPr>
      <w:rFonts w:ascii="Times New Roman" w:hAnsi="Times New Roman" w:eastAsia="黑体" w:cs="Times New Roman"/>
      <w:b/>
      <w:sz w:val="24"/>
      <w:szCs w:val="24"/>
    </w:rPr>
  </w:style>
  <w:style w:type="paragraph" w:customStyle="1" w:styleId="475">
    <w:name w:val="0.正文内容"/>
    <w:basedOn w:val="1"/>
    <w:link w:val="476"/>
    <w:autoRedefine/>
    <w:qFormat/>
    <w:uiPriority w:val="0"/>
    <w:pPr>
      <w:adjustRightInd w:val="0"/>
      <w:snapToGrid w:val="0"/>
    </w:pPr>
    <w:rPr>
      <w:rFonts w:cs="宋体"/>
      <w:kern w:val="0"/>
      <w:szCs w:val="24"/>
    </w:rPr>
  </w:style>
  <w:style w:type="character" w:customStyle="1" w:styleId="476">
    <w:name w:val="0.正文内容 字符"/>
    <w:link w:val="475"/>
    <w:autoRedefine/>
    <w:qFormat/>
    <w:uiPriority w:val="0"/>
    <w:rPr>
      <w:rFonts w:ascii="Times New Roman" w:hAnsi="Times New Roman" w:eastAsia="宋体" w:cs="宋体"/>
      <w:kern w:val="0"/>
      <w:sz w:val="24"/>
      <w:szCs w:val="24"/>
    </w:rPr>
  </w:style>
  <w:style w:type="paragraph" w:customStyle="1" w:styleId="477">
    <w:name w:val="6.图片格式CM"/>
    <w:basedOn w:val="1"/>
    <w:autoRedefine/>
    <w:qFormat/>
    <w:uiPriority w:val="0"/>
    <w:pPr>
      <w:spacing w:beforeLines="30" w:afterLines="30"/>
      <w:jc w:val="center"/>
    </w:pPr>
    <w:rPr>
      <w:szCs w:val="24"/>
    </w:rPr>
  </w:style>
  <w:style w:type="paragraph" w:customStyle="1" w:styleId="478">
    <w:name w:val="附件"/>
    <w:basedOn w:val="449"/>
    <w:link w:val="479"/>
    <w:autoRedefine/>
    <w:qFormat/>
    <w:uiPriority w:val="0"/>
    <w:rPr>
      <w:rFonts w:eastAsia="宋体"/>
      <w:sz w:val="24"/>
    </w:rPr>
  </w:style>
  <w:style w:type="character" w:customStyle="1" w:styleId="479">
    <w:name w:val="附件 字符"/>
    <w:basedOn w:val="258"/>
    <w:link w:val="478"/>
    <w:autoRedefine/>
    <w:qFormat/>
    <w:uiPriority w:val="0"/>
    <w:rPr>
      <w:rFonts w:ascii="Times New Roman" w:hAnsi="Times New Roman" w:eastAsia="宋体" w:cs="Times New Roman"/>
      <w:b w:val="0"/>
      <w:bCs w:val="0"/>
      <w:snapToGrid w:val="0"/>
      <w:kern w:val="0"/>
      <w:sz w:val="24"/>
      <w:szCs w:val="20"/>
    </w:rPr>
  </w:style>
  <w:style w:type="paragraph" w:customStyle="1" w:styleId="480">
    <w:name w:val="正文4"/>
    <w:autoRedefine/>
    <w:qFormat/>
    <w:uiPriority w:val="0"/>
    <w:pPr>
      <w:spacing w:beforeLines="50" w:afterLines="50" w:line="360" w:lineRule="auto"/>
      <w:jc w:val="both"/>
    </w:pPr>
    <w:rPr>
      <w:rFonts w:ascii="Times New Roman" w:hAnsi="Times New Roman" w:eastAsia="宋体" w:cs="Times New Roman"/>
      <w:kern w:val="2"/>
      <w:sz w:val="21"/>
      <w:szCs w:val="21"/>
      <w:lang w:val="en-US" w:eastAsia="zh-CN" w:bidi="ar-SA"/>
    </w:rPr>
  </w:style>
  <w:style w:type="character" w:customStyle="1" w:styleId="481">
    <w:name w:val="MY表内正文 Char"/>
    <w:link w:val="482"/>
    <w:autoRedefine/>
    <w:qFormat/>
    <w:uiPriority w:val="0"/>
    <w:rPr>
      <w:rFonts w:cs="宋体"/>
      <w:sz w:val="18"/>
      <w:szCs w:val="24"/>
    </w:rPr>
  </w:style>
  <w:style w:type="paragraph" w:customStyle="1" w:styleId="482">
    <w:name w:val="MY表内正文"/>
    <w:basedOn w:val="1"/>
    <w:next w:val="1"/>
    <w:link w:val="481"/>
    <w:autoRedefine/>
    <w:qFormat/>
    <w:uiPriority w:val="0"/>
    <w:pPr>
      <w:spacing w:line="240" w:lineRule="auto"/>
      <w:jc w:val="center"/>
    </w:pPr>
    <w:rPr>
      <w:rFonts w:cs="宋体" w:asciiTheme="minorHAnsi" w:hAnsiTheme="minorHAnsi" w:eastAsiaTheme="minorEastAsia"/>
      <w:sz w:val="18"/>
      <w:szCs w:val="24"/>
    </w:rPr>
  </w:style>
  <w:style w:type="character" w:customStyle="1" w:styleId="483">
    <w:name w:val="MY表标 Char"/>
    <w:link w:val="484"/>
    <w:autoRedefine/>
    <w:qFormat/>
    <w:uiPriority w:val="0"/>
    <w:rPr>
      <w:rFonts w:cs="宋体"/>
      <w:b/>
      <w:sz w:val="24"/>
      <w:szCs w:val="24"/>
    </w:rPr>
  </w:style>
  <w:style w:type="paragraph" w:customStyle="1" w:styleId="484">
    <w:name w:val="MY表标"/>
    <w:basedOn w:val="1"/>
    <w:link w:val="483"/>
    <w:autoRedefine/>
    <w:qFormat/>
    <w:uiPriority w:val="0"/>
    <w:pPr>
      <w:spacing w:line="240" w:lineRule="auto"/>
      <w:jc w:val="center"/>
      <w:outlineLvl w:val="4"/>
    </w:pPr>
    <w:rPr>
      <w:rFonts w:cs="宋体" w:asciiTheme="minorHAnsi" w:hAnsiTheme="minorHAnsi" w:eastAsiaTheme="minorEastAsia"/>
      <w:b/>
      <w:szCs w:val="24"/>
    </w:rPr>
  </w:style>
  <w:style w:type="character" w:customStyle="1" w:styleId="485">
    <w:name w:val="3.表格备注CM 字符"/>
    <w:link w:val="486"/>
    <w:autoRedefine/>
    <w:qFormat/>
    <w:uiPriority w:val="0"/>
    <w:rPr>
      <w:b/>
    </w:rPr>
  </w:style>
  <w:style w:type="paragraph" w:customStyle="1" w:styleId="486">
    <w:name w:val="3.表格备注CM"/>
    <w:basedOn w:val="1"/>
    <w:link w:val="485"/>
    <w:autoRedefine/>
    <w:qFormat/>
    <w:uiPriority w:val="0"/>
    <w:pPr>
      <w:tabs>
        <w:tab w:val="left" w:pos="1980"/>
        <w:tab w:val="left" w:pos="3825"/>
        <w:tab w:val="left" w:pos="4680"/>
      </w:tabs>
      <w:adjustRightInd w:val="0"/>
      <w:snapToGrid w:val="0"/>
      <w:spacing w:afterLines="30" w:line="240" w:lineRule="auto"/>
    </w:pPr>
    <w:rPr>
      <w:rFonts w:asciiTheme="minorHAnsi" w:hAnsiTheme="minorHAnsi" w:eastAsiaTheme="minorEastAsia" w:cstheme="minorBidi"/>
      <w:b/>
      <w:sz w:val="21"/>
      <w:szCs w:val="22"/>
    </w:rPr>
  </w:style>
  <w:style w:type="character" w:styleId="487">
    <w:name w:val="Placeholder Text"/>
    <w:basedOn w:val="52"/>
    <w:autoRedefine/>
    <w:semiHidden/>
    <w:qFormat/>
    <w:uiPriority w:val="99"/>
    <w:rPr>
      <w:color w:val="808080"/>
    </w:rPr>
  </w:style>
  <w:style w:type="table" w:customStyle="1" w:styleId="488">
    <w:name w:val="1"/>
    <w:basedOn w:val="49"/>
    <w:autoRedefine/>
    <w:qFormat/>
    <w:uiPriority w:val="99"/>
  </w:style>
  <w:style w:type="paragraph" w:customStyle="1" w:styleId="489">
    <w:name w:val="修订1"/>
    <w:autoRedefine/>
    <w:hidden/>
    <w:semiHidden/>
    <w:qFormat/>
    <w:uiPriority w:val="99"/>
    <w:pPr>
      <w:spacing w:beforeLines="50" w:afterLines="50" w:line="360" w:lineRule="auto"/>
    </w:pPr>
    <w:rPr>
      <w:rFonts w:ascii="Times New Roman" w:hAnsi="Times New Roman" w:eastAsia="宋体" w:cs="Times New Roman"/>
      <w:kern w:val="2"/>
      <w:sz w:val="24"/>
      <w:szCs w:val="24"/>
      <w:lang w:val="en-US" w:eastAsia="zh-CN" w:bidi="ar-SA"/>
    </w:rPr>
  </w:style>
  <w:style w:type="table" w:customStyle="1" w:styleId="490">
    <w:name w:val="表格样式"/>
    <w:basedOn w:val="49"/>
    <w:autoRedefine/>
    <w:qFormat/>
    <w:uiPriority w:val="0"/>
    <w:pPr>
      <w:jc w:val="center"/>
    </w:pPr>
    <w:tblPr>
      <w:jc w:val="center"/>
      <w:tblBorders>
        <w:top w:val="single" w:color="auto" w:sz="18" w:space="0"/>
        <w:bottom w:val="single" w:color="auto" w:sz="18" w:space="0"/>
        <w:insideH w:val="single" w:color="auto" w:sz="4" w:space="0"/>
        <w:insideV w:val="single" w:color="auto" w:sz="4" w:space="0"/>
      </w:tblBorders>
    </w:tblPr>
    <w:trPr>
      <w:jc w:val="center"/>
    </w:trPr>
    <w:tcPr>
      <w:vAlign w:val="center"/>
    </w:tcPr>
  </w:style>
  <w:style w:type="table" w:customStyle="1" w:styleId="491">
    <w:name w:val="表格样式1"/>
    <w:basedOn w:val="49"/>
    <w:autoRedefine/>
    <w:qFormat/>
    <w:uiPriority w:val="0"/>
    <w:pPr>
      <w:jc w:val="center"/>
    </w:pPr>
    <w:rPr>
      <w:rFonts w:cs="Calibri"/>
    </w:rPr>
    <w:tblPr>
      <w:jc w:val="center"/>
      <w:tblBorders>
        <w:top w:val="single" w:color="auto" w:sz="18" w:space="0"/>
        <w:bottom w:val="single" w:color="auto" w:sz="18" w:space="0"/>
        <w:insideH w:val="single" w:color="auto" w:sz="4" w:space="0"/>
        <w:insideV w:val="single" w:color="auto" w:sz="4" w:space="0"/>
      </w:tblBorders>
    </w:tblPr>
    <w:trPr>
      <w:jc w:val="center"/>
    </w:trPr>
    <w:tcPr>
      <w:vAlign w:val="center"/>
    </w:tcPr>
  </w:style>
  <w:style w:type="table" w:customStyle="1" w:styleId="492">
    <w:name w:val="Table Normal"/>
    <w:autoRedefine/>
    <w:semiHidden/>
    <w:unhideWhenUsed/>
    <w:qFormat/>
    <w:uiPriority w:val="2"/>
    <w:pPr>
      <w:widowControl w:val="0"/>
    </w:pPr>
    <w:rPr>
      <w:sz w:val="22"/>
      <w:lang w:eastAsia="en-US"/>
    </w:rPr>
    <w:tblPr>
      <w:tblCellMar>
        <w:top w:w="0" w:type="dxa"/>
        <w:left w:w="0" w:type="dxa"/>
        <w:bottom w:w="0" w:type="dxa"/>
        <w:right w:w="0" w:type="dxa"/>
      </w:tblCellMar>
    </w:tblPr>
  </w:style>
  <w:style w:type="table" w:customStyle="1" w:styleId="493">
    <w:name w:val="Table Normal1"/>
    <w:autoRedefine/>
    <w:semiHidden/>
    <w:unhideWhenUsed/>
    <w:qFormat/>
    <w:uiPriority w:val="2"/>
    <w:pPr>
      <w:widowControl w:val="0"/>
    </w:pPr>
    <w:rPr>
      <w:sz w:val="22"/>
      <w:lang w:eastAsia="en-US"/>
    </w:rPr>
    <w:tblPr>
      <w:tblCellMar>
        <w:top w:w="0" w:type="dxa"/>
        <w:left w:w="0" w:type="dxa"/>
        <w:bottom w:w="0" w:type="dxa"/>
        <w:right w:w="0" w:type="dxa"/>
      </w:tblCellMar>
    </w:tblPr>
  </w:style>
  <w:style w:type="character" w:customStyle="1" w:styleId="494">
    <w:name w:val="正文文本 2 Char1"/>
    <w:autoRedefine/>
    <w:semiHidden/>
    <w:qFormat/>
    <w:uiPriority w:val="99"/>
    <w:rPr>
      <w:kern w:val="2"/>
      <w:sz w:val="24"/>
      <w:szCs w:val="24"/>
    </w:rPr>
  </w:style>
  <w:style w:type="character" w:customStyle="1" w:styleId="495">
    <w:name w:val="页脚 Char2"/>
    <w:autoRedefine/>
    <w:semiHidden/>
    <w:qFormat/>
    <w:uiPriority w:val="99"/>
    <w:rPr>
      <w:kern w:val="2"/>
      <w:sz w:val="18"/>
      <w:szCs w:val="18"/>
    </w:rPr>
  </w:style>
  <w:style w:type="character" w:customStyle="1" w:styleId="496">
    <w:name w:val="批注框文本 Char1"/>
    <w:autoRedefine/>
    <w:semiHidden/>
    <w:qFormat/>
    <w:uiPriority w:val="99"/>
    <w:rPr>
      <w:kern w:val="2"/>
      <w:sz w:val="18"/>
      <w:szCs w:val="18"/>
    </w:rPr>
  </w:style>
  <w:style w:type="character" w:customStyle="1" w:styleId="497">
    <w:name w:val="HTML 预设格式 Char1"/>
    <w:autoRedefine/>
    <w:semiHidden/>
    <w:qFormat/>
    <w:uiPriority w:val="99"/>
    <w:rPr>
      <w:rFonts w:ascii="Courier New" w:hAnsi="Courier New" w:cs="Courier New"/>
      <w:kern w:val="2"/>
    </w:rPr>
  </w:style>
  <w:style w:type="character" w:customStyle="1" w:styleId="498">
    <w:name w:val="批注文字 Char1"/>
    <w:autoRedefine/>
    <w:semiHidden/>
    <w:qFormat/>
    <w:uiPriority w:val="99"/>
    <w:rPr>
      <w:kern w:val="2"/>
      <w:sz w:val="24"/>
      <w:szCs w:val="24"/>
    </w:rPr>
  </w:style>
  <w:style w:type="character" w:customStyle="1" w:styleId="499">
    <w:name w:val="纯文本 Char2"/>
    <w:autoRedefine/>
    <w:semiHidden/>
    <w:qFormat/>
    <w:uiPriority w:val="99"/>
    <w:rPr>
      <w:rFonts w:ascii="宋体" w:hAnsi="Courier New" w:cs="Courier New"/>
      <w:kern w:val="2"/>
      <w:sz w:val="21"/>
      <w:szCs w:val="21"/>
    </w:rPr>
  </w:style>
  <w:style w:type="character" w:customStyle="1" w:styleId="500">
    <w:name w:val="信息标题 Char2"/>
    <w:autoRedefine/>
    <w:semiHidden/>
    <w:qFormat/>
    <w:uiPriority w:val="99"/>
    <w:rPr>
      <w:rFonts w:ascii="Cambria" w:hAnsi="Cambria" w:eastAsia="宋体" w:cs="Times New Roman"/>
      <w:kern w:val="2"/>
      <w:sz w:val="24"/>
      <w:szCs w:val="24"/>
      <w:shd w:val="pct20" w:color="auto" w:fill="auto"/>
    </w:rPr>
  </w:style>
  <w:style w:type="character" w:customStyle="1" w:styleId="501">
    <w:name w:val="正文文本缩进 3 Char1"/>
    <w:autoRedefine/>
    <w:semiHidden/>
    <w:qFormat/>
    <w:uiPriority w:val="99"/>
    <w:rPr>
      <w:kern w:val="2"/>
      <w:sz w:val="16"/>
      <w:szCs w:val="16"/>
    </w:rPr>
  </w:style>
  <w:style w:type="character" w:customStyle="1" w:styleId="502">
    <w:name w:val="批注主题 Char1"/>
    <w:autoRedefine/>
    <w:semiHidden/>
    <w:qFormat/>
    <w:uiPriority w:val="99"/>
    <w:rPr>
      <w:b/>
      <w:bCs/>
      <w:kern w:val="2"/>
      <w:sz w:val="24"/>
      <w:szCs w:val="24"/>
    </w:rPr>
  </w:style>
  <w:style w:type="character" w:customStyle="1" w:styleId="503">
    <w:name w:val="信息标题 Char"/>
    <w:autoRedefine/>
    <w:semiHidden/>
    <w:qFormat/>
    <w:uiPriority w:val="99"/>
    <w:rPr>
      <w:rFonts w:ascii="Cambria" w:hAnsi="Cambria" w:eastAsia="宋体" w:cs="Times New Roman"/>
      <w:kern w:val="2"/>
      <w:sz w:val="24"/>
      <w:szCs w:val="24"/>
      <w:shd w:val="pct20" w:color="auto" w:fill="auto"/>
    </w:rPr>
  </w:style>
  <w:style w:type="character" w:customStyle="1" w:styleId="504">
    <w:name w:val="正文文本缩进 2 Char1"/>
    <w:autoRedefine/>
    <w:semiHidden/>
    <w:qFormat/>
    <w:uiPriority w:val="99"/>
    <w:rPr>
      <w:kern w:val="2"/>
      <w:sz w:val="24"/>
      <w:szCs w:val="24"/>
    </w:rPr>
  </w:style>
  <w:style w:type="character" w:customStyle="1" w:styleId="505">
    <w:name w:val="签名 Char"/>
    <w:autoRedefine/>
    <w:semiHidden/>
    <w:qFormat/>
    <w:uiPriority w:val="99"/>
    <w:rPr>
      <w:kern w:val="2"/>
      <w:sz w:val="24"/>
      <w:szCs w:val="24"/>
    </w:rPr>
  </w:style>
  <w:style w:type="character" w:customStyle="1" w:styleId="506">
    <w:name w:val="页眉 Char1"/>
    <w:autoRedefine/>
    <w:semiHidden/>
    <w:qFormat/>
    <w:uiPriority w:val="99"/>
    <w:rPr>
      <w:kern w:val="2"/>
      <w:sz w:val="18"/>
      <w:szCs w:val="18"/>
    </w:rPr>
  </w:style>
  <w:style w:type="character" w:customStyle="1" w:styleId="507">
    <w:name w:val="正文首行缩进 Char1"/>
    <w:autoRedefine/>
    <w:semiHidden/>
    <w:qFormat/>
    <w:uiPriority w:val="99"/>
  </w:style>
  <w:style w:type="character" w:customStyle="1" w:styleId="508">
    <w:name w:val="正文文本缩进 Char1"/>
    <w:autoRedefine/>
    <w:semiHidden/>
    <w:qFormat/>
    <w:uiPriority w:val="99"/>
    <w:rPr>
      <w:kern w:val="2"/>
      <w:sz w:val="24"/>
      <w:szCs w:val="24"/>
    </w:rPr>
  </w:style>
  <w:style w:type="character" w:customStyle="1" w:styleId="509">
    <w:name w:val="正文首行缩进 2 Char1"/>
    <w:autoRedefine/>
    <w:semiHidden/>
    <w:qFormat/>
    <w:uiPriority w:val="99"/>
  </w:style>
  <w:style w:type="character" w:customStyle="1" w:styleId="510">
    <w:name w:val="签名 Char2"/>
    <w:autoRedefine/>
    <w:semiHidden/>
    <w:qFormat/>
    <w:uiPriority w:val="99"/>
    <w:rPr>
      <w:kern w:val="2"/>
      <w:sz w:val="24"/>
      <w:szCs w:val="24"/>
    </w:rPr>
  </w:style>
  <w:style w:type="character" w:customStyle="1" w:styleId="511">
    <w:name w:val="日期 Char2"/>
    <w:autoRedefine/>
    <w:semiHidden/>
    <w:qFormat/>
    <w:uiPriority w:val="99"/>
    <w:rPr>
      <w:kern w:val="2"/>
      <w:sz w:val="24"/>
      <w:szCs w:val="24"/>
    </w:rPr>
  </w:style>
  <w:style w:type="character" w:customStyle="1" w:styleId="512">
    <w:name w:val="文档结构图 Char1"/>
    <w:autoRedefine/>
    <w:semiHidden/>
    <w:qFormat/>
    <w:uiPriority w:val="99"/>
    <w:rPr>
      <w:rFonts w:ascii="宋体"/>
      <w:kern w:val="2"/>
      <w:sz w:val="18"/>
      <w:szCs w:val="18"/>
    </w:rPr>
  </w:style>
  <w:style w:type="character" w:customStyle="1" w:styleId="513">
    <w:name w:val="正文文本 Char1"/>
    <w:autoRedefine/>
    <w:semiHidden/>
    <w:qFormat/>
    <w:uiPriority w:val="99"/>
    <w:rPr>
      <w:kern w:val="2"/>
      <w:sz w:val="24"/>
      <w:szCs w:val="24"/>
    </w:rPr>
  </w:style>
  <w:style w:type="character" w:customStyle="1" w:styleId="514">
    <w:name w:val="正文文本缩进 3 字符1"/>
    <w:basedOn w:val="52"/>
    <w:autoRedefine/>
    <w:semiHidden/>
    <w:qFormat/>
    <w:uiPriority w:val="99"/>
    <w:rPr>
      <w:kern w:val="2"/>
      <w:sz w:val="16"/>
      <w:szCs w:val="16"/>
    </w:rPr>
  </w:style>
  <w:style w:type="character" w:customStyle="1" w:styleId="515">
    <w:name w:val="正文首行缩进 2 字符1"/>
    <w:basedOn w:val="136"/>
    <w:autoRedefine/>
    <w:semiHidden/>
    <w:qFormat/>
    <w:uiPriority w:val="99"/>
    <w:rPr>
      <w:rFonts w:ascii="Times New Roman" w:hAnsi="Times New Roman" w:eastAsia="宋体" w:cs="Times New Roman"/>
      <w:kern w:val="2"/>
      <w:sz w:val="24"/>
      <w:szCs w:val="24"/>
    </w:rPr>
  </w:style>
  <w:style w:type="character" w:customStyle="1" w:styleId="516">
    <w:name w:val="正文文本缩进 2 字符1"/>
    <w:basedOn w:val="52"/>
    <w:autoRedefine/>
    <w:semiHidden/>
    <w:qFormat/>
    <w:uiPriority w:val="99"/>
    <w:rPr>
      <w:kern w:val="2"/>
      <w:sz w:val="24"/>
      <w:szCs w:val="24"/>
    </w:rPr>
  </w:style>
  <w:style w:type="character" w:customStyle="1" w:styleId="517">
    <w:name w:val="正文首行缩进 字符1"/>
    <w:basedOn w:val="89"/>
    <w:autoRedefine/>
    <w:semiHidden/>
    <w:qFormat/>
    <w:uiPriority w:val="99"/>
    <w:rPr>
      <w:rFonts w:ascii="宋体" w:hAnsi="宋体" w:eastAsia="宋体" w:cs="宋体"/>
      <w:kern w:val="2"/>
      <w:sz w:val="24"/>
      <w:szCs w:val="24"/>
      <w:lang w:eastAsia="en-US" w:bidi="en-US"/>
    </w:rPr>
  </w:style>
  <w:style w:type="character" w:customStyle="1" w:styleId="518">
    <w:name w:val="签名 字符1"/>
    <w:basedOn w:val="52"/>
    <w:autoRedefine/>
    <w:semiHidden/>
    <w:qFormat/>
    <w:uiPriority w:val="99"/>
    <w:rPr>
      <w:kern w:val="2"/>
      <w:sz w:val="24"/>
      <w:szCs w:val="24"/>
    </w:rPr>
  </w:style>
  <w:style w:type="character" w:customStyle="1" w:styleId="519">
    <w:name w:val="信息标题 字符1"/>
    <w:basedOn w:val="52"/>
    <w:autoRedefine/>
    <w:semiHidden/>
    <w:qFormat/>
    <w:uiPriority w:val="99"/>
    <w:rPr>
      <w:rFonts w:asciiTheme="majorHAnsi" w:hAnsiTheme="majorHAnsi" w:eastAsiaTheme="majorEastAsia" w:cstheme="majorBidi"/>
      <w:kern w:val="2"/>
      <w:sz w:val="24"/>
      <w:szCs w:val="24"/>
      <w:shd w:val="pct20" w:color="auto" w:fill="auto"/>
    </w:rPr>
  </w:style>
  <w:style w:type="character" w:customStyle="1" w:styleId="520">
    <w:name w:val="正文文本 2 字符1"/>
    <w:basedOn w:val="52"/>
    <w:autoRedefine/>
    <w:semiHidden/>
    <w:qFormat/>
    <w:uiPriority w:val="99"/>
    <w:rPr>
      <w:kern w:val="2"/>
      <w:sz w:val="24"/>
      <w:szCs w:val="24"/>
    </w:rPr>
  </w:style>
  <w:style w:type="character" w:customStyle="1" w:styleId="521">
    <w:name w:val="Heading 3 Char"/>
    <w:autoRedefine/>
    <w:semiHidden/>
    <w:qFormat/>
    <w:locked/>
    <w:uiPriority w:val="0"/>
    <w:rPr>
      <w:rFonts w:ascii="仿宋_GB2312" w:hAnsi="Times New Roman" w:eastAsia="仿宋_GB2312" w:cs="Times New Roman"/>
      <w:b/>
      <w:bCs/>
      <w:sz w:val="20"/>
      <w:szCs w:val="20"/>
    </w:rPr>
  </w:style>
  <w:style w:type="paragraph" w:customStyle="1" w:styleId="522">
    <w:name w:val="修订2"/>
    <w:autoRedefine/>
    <w:hidden/>
    <w:semiHidden/>
    <w:qFormat/>
    <w:uiPriority w:val="99"/>
    <w:pPr>
      <w:spacing w:beforeLines="50" w:afterLines="50" w:line="360" w:lineRule="auto"/>
    </w:pPr>
    <w:rPr>
      <w:rFonts w:ascii="Times New Roman" w:hAnsi="Times New Roman" w:eastAsia="宋体" w:cs="Times New Roman"/>
      <w:kern w:val="2"/>
      <w:sz w:val="24"/>
      <w:szCs w:val="24"/>
      <w:lang w:val="en-US" w:eastAsia="zh-CN" w:bidi="ar-SA"/>
    </w:rPr>
  </w:style>
  <w:style w:type="paragraph" w:customStyle="1" w:styleId="523">
    <w:name w:val="修订3"/>
    <w:autoRedefine/>
    <w:hidden/>
    <w:semiHidden/>
    <w:qFormat/>
    <w:uiPriority w:val="99"/>
    <w:pPr>
      <w:spacing w:beforeLines="50" w:afterLines="50" w:line="360" w:lineRule="auto"/>
    </w:pPr>
    <w:rPr>
      <w:rFonts w:ascii="Times New Roman" w:hAnsi="Times New Roman" w:eastAsia="宋体" w:cs="Times New Roman"/>
      <w:kern w:val="2"/>
      <w:sz w:val="24"/>
      <w:szCs w:val="24"/>
      <w:lang w:val="en-US" w:eastAsia="zh-CN" w:bidi="ar-SA"/>
    </w:rPr>
  </w:style>
  <w:style w:type="paragraph" w:customStyle="1" w:styleId="524">
    <w:name w:val="修订4"/>
    <w:autoRedefine/>
    <w:hidden/>
    <w:semiHidden/>
    <w:qFormat/>
    <w:uiPriority w:val="99"/>
    <w:pPr>
      <w:spacing w:beforeLines="50" w:afterLines="50" w:line="360" w:lineRule="auto"/>
    </w:pPr>
    <w:rPr>
      <w:rFonts w:ascii="Times New Roman" w:hAnsi="Times New Roman" w:eastAsia="宋体" w:cs="Times New Roman"/>
      <w:kern w:val="2"/>
      <w:sz w:val="24"/>
      <w:szCs w:val="24"/>
      <w:lang w:val="en-US" w:eastAsia="zh-CN" w:bidi="ar-SA"/>
    </w:rPr>
  </w:style>
  <w:style w:type="paragraph" w:customStyle="1" w:styleId="525">
    <w:name w:val="万澈 表头"/>
    <w:basedOn w:val="1"/>
    <w:autoRedefine/>
    <w:qFormat/>
    <w:uiPriority w:val="0"/>
    <w:pPr>
      <w:adjustRightInd w:val="0"/>
      <w:jc w:val="center"/>
    </w:pPr>
    <w:rPr>
      <w:rFonts w:eastAsia="黑体"/>
      <w:kern w:val="18"/>
      <w:szCs w:val="24"/>
    </w:rPr>
  </w:style>
  <w:style w:type="paragraph" w:customStyle="1" w:styleId="526">
    <w:name w:val="万澈表格内容"/>
    <w:basedOn w:val="1"/>
    <w:autoRedefine/>
    <w:qFormat/>
    <w:uiPriority w:val="0"/>
    <w:pPr>
      <w:adjustRightInd w:val="0"/>
      <w:spacing w:line="240" w:lineRule="auto"/>
      <w:jc w:val="center"/>
    </w:pPr>
    <w:rPr>
      <w:kern w:val="0"/>
      <w:sz w:val="21"/>
      <w:szCs w:val="21"/>
    </w:rPr>
  </w:style>
  <w:style w:type="paragraph" w:customStyle="1" w:styleId="527">
    <w:name w:val="万澈 表格内容"/>
    <w:basedOn w:val="1"/>
    <w:autoRedefine/>
    <w:qFormat/>
    <w:uiPriority w:val="0"/>
    <w:pPr>
      <w:adjustRightInd w:val="0"/>
      <w:spacing w:line="240" w:lineRule="auto"/>
      <w:jc w:val="center"/>
    </w:pPr>
    <w:rPr>
      <w:kern w:val="0"/>
      <w:sz w:val="21"/>
      <w:szCs w:val="21"/>
    </w:rPr>
  </w:style>
  <w:style w:type="paragraph" w:customStyle="1" w:styleId="528">
    <w:name w:val="正文6"/>
    <w:autoRedefine/>
    <w:qFormat/>
    <w:uiPriority w:val="0"/>
    <w:pPr>
      <w:spacing w:beforeLines="50" w:afterLines="50" w:line="360" w:lineRule="auto"/>
      <w:jc w:val="both"/>
    </w:pPr>
    <w:rPr>
      <w:rFonts w:ascii="Times New Roman" w:hAnsi="Times New Roman" w:eastAsia="宋体" w:cs="Times New Roman"/>
      <w:kern w:val="2"/>
      <w:sz w:val="21"/>
      <w:szCs w:val="21"/>
      <w:lang w:val="en-US" w:eastAsia="zh-CN" w:bidi="ar-SA"/>
    </w:rPr>
  </w:style>
  <w:style w:type="paragraph" w:customStyle="1" w:styleId="529">
    <w:name w:val="正文7"/>
    <w:autoRedefine/>
    <w:qFormat/>
    <w:uiPriority w:val="0"/>
    <w:pPr>
      <w:jc w:val="both"/>
    </w:pPr>
    <w:rPr>
      <w:rFonts w:ascii="等线" w:hAnsi="等线" w:eastAsia="宋体" w:cs="宋体"/>
      <w:kern w:val="2"/>
      <w:sz w:val="21"/>
      <w:szCs w:val="21"/>
      <w:lang w:val="en-US" w:eastAsia="zh-CN" w:bidi="ar-SA"/>
    </w:rPr>
  </w:style>
  <w:style w:type="paragraph" w:customStyle="1" w:styleId="530">
    <w:name w:val="金皇-表格内文字"/>
    <w:basedOn w:val="1"/>
    <w:autoRedefine/>
    <w:qFormat/>
    <w:uiPriority w:val="0"/>
    <w:pPr>
      <w:adjustRightInd w:val="0"/>
      <w:snapToGrid w:val="0"/>
      <w:spacing w:line="240" w:lineRule="auto"/>
      <w:ind w:firstLine="0" w:firstLineChars="0"/>
      <w:jc w:val="center"/>
    </w:pPr>
    <w:rPr>
      <w:sz w:val="21"/>
      <w:szCs w:val="21"/>
    </w:rPr>
  </w:style>
  <w:style w:type="paragraph" w:customStyle="1" w:styleId="531">
    <w:name w:val="金皇-表（图）头"/>
    <w:basedOn w:val="1"/>
    <w:autoRedefine/>
    <w:qFormat/>
    <w:uiPriority w:val="0"/>
    <w:pPr>
      <w:adjustRightInd w:val="0"/>
      <w:spacing w:line="240" w:lineRule="auto"/>
      <w:ind w:firstLine="0" w:firstLineChars="0"/>
      <w:jc w:val="center"/>
      <w:outlineLvl w:val="4"/>
    </w:pPr>
    <w:rPr>
      <w:rFonts w:eastAsia="黑体"/>
      <w:b/>
      <w:bCs/>
      <w:szCs w:val="24"/>
    </w:rPr>
  </w:style>
  <w:style w:type="paragraph" w:customStyle="1" w:styleId="532">
    <w:name w:val="修订5"/>
    <w:autoRedefine/>
    <w:hidden/>
    <w:semiHidden/>
    <w:qFormat/>
    <w:uiPriority w:val="99"/>
    <w:rPr>
      <w:rFonts w:ascii="Times New Roman" w:hAnsi="Times New Roman" w:eastAsia="宋体" w:cs="Times New Roman"/>
      <w:kern w:val="2"/>
      <w:sz w:val="24"/>
      <w:lang w:val="en-US" w:eastAsia="zh-CN" w:bidi="ar-SA"/>
    </w:rPr>
  </w:style>
  <w:style w:type="paragraph" w:customStyle="1" w:styleId="533">
    <w:name w:val="正文8"/>
    <w:autoRedefine/>
    <w:qFormat/>
    <w:uiPriority w:val="0"/>
    <w:pPr>
      <w:jc w:val="both"/>
    </w:pPr>
    <w:rPr>
      <w:rFonts w:ascii="Times New Roman" w:hAnsi="Times New Roman" w:eastAsia="宋体" w:cs="Times New Roman"/>
      <w:kern w:val="2"/>
      <w:sz w:val="21"/>
      <w:szCs w:val="21"/>
      <w:lang w:val="en-US" w:eastAsia="zh-CN" w:bidi="ar-SA"/>
    </w:rPr>
  </w:style>
  <w:style w:type="character" w:customStyle="1" w:styleId="534">
    <w:name w:val="普通(网站) 字符"/>
    <w:link w:val="46"/>
    <w:autoRedefine/>
    <w:qFormat/>
    <w:locked/>
    <w:uiPriority w:val="0"/>
    <w:rPr>
      <w:rFonts w:ascii="宋体" w:hAnsi="宋体" w:cs="宋体"/>
      <w:sz w:val="24"/>
      <w:szCs w:val="24"/>
    </w:rPr>
  </w:style>
  <w:style w:type="paragraph" w:customStyle="1" w:styleId="535">
    <w:name w:val="正文9"/>
    <w:autoRedefine/>
    <w:qFormat/>
    <w:uiPriority w:val="0"/>
    <w:pPr>
      <w:jc w:val="both"/>
    </w:pPr>
    <w:rPr>
      <w:rFonts w:ascii="等线" w:hAnsi="等线" w:eastAsia="宋体" w:cs="宋体"/>
      <w:kern w:val="2"/>
      <w:sz w:val="21"/>
      <w:szCs w:val="21"/>
      <w:lang w:val="en-US" w:eastAsia="zh-CN" w:bidi="ar-SA"/>
    </w:rPr>
  </w:style>
  <w:style w:type="paragraph" w:customStyle="1" w:styleId="536">
    <w:name w:val="修订6"/>
    <w:autoRedefine/>
    <w:hidden/>
    <w:semiHidden/>
    <w:qFormat/>
    <w:uiPriority w:val="99"/>
    <w:rPr>
      <w:rFonts w:ascii="Times New Roman" w:hAnsi="Times New Roman" w:eastAsia="宋体" w:cs="Times New Roman"/>
      <w:kern w:val="2"/>
      <w:sz w:val="24"/>
      <w:lang w:val="en-US" w:eastAsia="zh-CN" w:bidi="ar-SA"/>
    </w:rPr>
  </w:style>
  <w:style w:type="paragraph" w:customStyle="1" w:styleId="537">
    <w:name w:val="修订7"/>
    <w:autoRedefine/>
    <w:hidden/>
    <w:semiHidden/>
    <w:qFormat/>
    <w:uiPriority w:val="99"/>
    <w:rPr>
      <w:rFonts w:ascii="Times New Roman" w:hAnsi="Times New Roman" w:eastAsia="宋体" w:cs="Times New Roman"/>
      <w:kern w:val="2"/>
      <w:sz w:val="24"/>
      <w:lang w:val="en-US" w:eastAsia="zh-CN" w:bidi="ar-SA"/>
    </w:rPr>
  </w:style>
  <w:style w:type="paragraph" w:customStyle="1" w:styleId="538">
    <w:name w:val="三级标题（）"/>
    <w:basedOn w:val="1"/>
    <w:link w:val="539"/>
    <w:autoRedefine/>
    <w:qFormat/>
    <w:uiPriority w:val="0"/>
    <w:pPr>
      <w:tabs>
        <w:tab w:val="left" w:pos="3840"/>
      </w:tabs>
      <w:adjustRightInd w:val="0"/>
      <w:snapToGrid w:val="0"/>
      <w:ind w:firstLine="0" w:firstLineChars="0"/>
      <w:outlineLvl w:val="2"/>
    </w:pPr>
    <w:rPr>
      <w:rFonts w:eastAsia="黑体"/>
      <w:color w:val="5B9BD5"/>
      <w:sz w:val="28"/>
      <w:szCs w:val="30"/>
      <w:lang w:val="zh-CN"/>
    </w:rPr>
  </w:style>
  <w:style w:type="character" w:customStyle="1" w:styleId="539">
    <w:name w:val="三级标题（） Char"/>
    <w:link w:val="538"/>
    <w:autoRedefine/>
    <w:qFormat/>
    <w:uiPriority w:val="0"/>
    <w:rPr>
      <w:rFonts w:ascii="Times New Roman" w:hAnsi="Times New Roman" w:eastAsia="黑体"/>
      <w:color w:val="5B9BD5"/>
      <w:kern w:val="2"/>
      <w:sz w:val="28"/>
      <w:szCs w:val="30"/>
      <w:lang w:val="zh-CN" w:eastAsia="zh-CN"/>
    </w:rPr>
  </w:style>
  <w:style w:type="paragraph" w:customStyle="1" w:styleId="540">
    <w:name w:val="四级标题（）"/>
    <w:basedOn w:val="1"/>
    <w:link w:val="541"/>
    <w:autoRedefine/>
    <w:qFormat/>
    <w:uiPriority w:val="0"/>
    <w:pPr>
      <w:keepNext/>
      <w:suppressAutoHyphens/>
      <w:adjustRightInd w:val="0"/>
      <w:snapToGrid w:val="0"/>
      <w:ind w:firstLine="0" w:firstLineChars="0"/>
      <w:textAlignment w:val="baseline"/>
      <w:outlineLvl w:val="3"/>
    </w:pPr>
    <w:rPr>
      <w:rFonts w:ascii="Calibri" w:hAnsi="Calibri" w:eastAsia="黑体"/>
      <w:bCs/>
      <w:color w:val="5B9BD5"/>
      <w:kern w:val="28"/>
      <w:szCs w:val="24"/>
      <w:lang w:val="zh-CN" w:bidi="he-IL"/>
    </w:rPr>
  </w:style>
  <w:style w:type="character" w:customStyle="1" w:styleId="541">
    <w:name w:val="四级标题（） Char"/>
    <w:link w:val="540"/>
    <w:autoRedefine/>
    <w:qFormat/>
    <w:uiPriority w:val="0"/>
    <w:rPr>
      <w:rFonts w:eastAsia="黑体"/>
      <w:bCs/>
      <w:color w:val="5B9BD5"/>
      <w:kern w:val="28"/>
      <w:sz w:val="24"/>
      <w:szCs w:val="24"/>
      <w:lang w:val="zh-CN" w:eastAsia="zh-CN" w:bidi="he-IL"/>
    </w:rPr>
  </w:style>
  <w:style w:type="paragraph" w:customStyle="1" w:styleId="542">
    <w:name w:val="正文（）"/>
    <w:basedOn w:val="1"/>
    <w:link w:val="543"/>
    <w:autoRedefine/>
    <w:qFormat/>
    <w:uiPriority w:val="0"/>
    <w:pPr>
      <w:widowControl/>
      <w:adjustRightInd w:val="0"/>
      <w:snapToGrid w:val="0"/>
    </w:pPr>
    <w:rPr>
      <w:rFonts w:ascii="宋体" w:hAnsi="宋体"/>
      <w:color w:val="4BACC6"/>
      <w:kern w:val="0"/>
      <w:szCs w:val="24"/>
      <w:lang w:val="zh-CN"/>
    </w:rPr>
  </w:style>
  <w:style w:type="character" w:customStyle="1" w:styleId="543">
    <w:name w:val="正文（） Char"/>
    <w:link w:val="542"/>
    <w:autoRedefine/>
    <w:qFormat/>
    <w:uiPriority w:val="0"/>
    <w:rPr>
      <w:rFonts w:ascii="宋体" w:hAnsi="宋体" w:eastAsia="宋体"/>
      <w:color w:val="4BACC6"/>
      <w:sz w:val="24"/>
      <w:szCs w:val="24"/>
      <w:lang w:val="zh-CN" w:eastAsia="zh-CN"/>
    </w:rPr>
  </w:style>
  <w:style w:type="paragraph" w:customStyle="1" w:styleId="544">
    <w:name w:val="表格内容（）"/>
    <w:basedOn w:val="1"/>
    <w:link w:val="545"/>
    <w:autoRedefine/>
    <w:qFormat/>
    <w:uiPriority w:val="0"/>
    <w:pPr>
      <w:adjustRightInd w:val="0"/>
      <w:snapToGrid w:val="0"/>
      <w:spacing w:line="240" w:lineRule="auto"/>
      <w:ind w:firstLine="0" w:firstLineChars="0"/>
      <w:jc w:val="center"/>
    </w:pPr>
    <w:rPr>
      <w:color w:val="00B0F0"/>
      <w:sz w:val="21"/>
      <w:szCs w:val="21"/>
      <w:lang w:val="zh-CN"/>
    </w:rPr>
  </w:style>
  <w:style w:type="character" w:customStyle="1" w:styleId="545">
    <w:name w:val="表格内容（） Char"/>
    <w:link w:val="544"/>
    <w:autoRedefine/>
    <w:qFormat/>
    <w:uiPriority w:val="0"/>
    <w:rPr>
      <w:rFonts w:ascii="Times New Roman" w:hAnsi="Times New Roman" w:eastAsia="宋体"/>
      <w:color w:val="00B0F0"/>
      <w:kern w:val="2"/>
      <w:sz w:val="21"/>
      <w:szCs w:val="21"/>
      <w:lang w:val="zh-CN" w:eastAsia="zh-CN"/>
    </w:rPr>
  </w:style>
  <w:style w:type="paragraph" w:customStyle="1" w:styleId="546">
    <w:name w:val="表格标题（）"/>
    <w:basedOn w:val="1"/>
    <w:link w:val="547"/>
    <w:autoRedefine/>
    <w:qFormat/>
    <w:uiPriority w:val="0"/>
    <w:pPr>
      <w:spacing w:line="240" w:lineRule="auto"/>
      <w:ind w:firstLine="0" w:firstLineChars="0"/>
      <w:jc w:val="center"/>
    </w:pPr>
    <w:rPr>
      <w:rFonts w:eastAsia="黑体"/>
      <w:color w:val="000000"/>
      <w:szCs w:val="24"/>
      <w:lang w:val="zh-CN" w:bidi="he-IL"/>
    </w:rPr>
  </w:style>
  <w:style w:type="character" w:customStyle="1" w:styleId="547">
    <w:name w:val="表格标题（） Char"/>
    <w:link w:val="546"/>
    <w:autoRedefine/>
    <w:qFormat/>
    <w:uiPriority w:val="0"/>
    <w:rPr>
      <w:rFonts w:ascii="Times New Roman" w:hAnsi="Times New Roman" w:eastAsia="黑体"/>
      <w:color w:val="000000"/>
      <w:kern w:val="2"/>
      <w:sz w:val="24"/>
      <w:szCs w:val="24"/>
      <w:lang w:val="zh-CN" w:eastAsia="zh-CN" w:bidi="he-IL"/>
    </w:rPr>
  </w:style>
  <w:style w:type="paragraph" w:customStyle="1" w:styleId="548">
    <w:name w:val="二级标题（）"/>
    <w:basedOn w:val="1"/>
    <w:link w:val="549"/>
    <w:autoRedefine/>
    <w:qFormat/>
    <w:uiPriority w:val="0"/>
    <w:pPr>
      <w:adjustRightInd w:val="0"/>
      <w:snapToGrid w:val="0"/>
      <w:ind w:firstLine="0" w:firstLineChars="0"/>
      <w:outlineLvl w:val="1"/>
    </w:pPr>
    <w:rPr>
      <w:rFonts w:eastAsia="黑体"/>
      <w:color w:val="5B9BD5"/>
      <w:sz w:val="30"/>
      <w:szCs w:val="30"/>
      <w:lang w:val="zh-CN"/>
    </w:rPr>
  </w:style>
  <w:style w:type="character" w:customStyle="1" w:styleId="549">
    <w:name w:val="二级标题（） Char"/>
    <w:link w:val="548"/>
    <w:autoRedefine/>
    <w:qFormat/>
    <w:uiPriority w:val="0"/>
    <w:rPr>
      <w:rFonts w:ascii="Times New Roman" w:hAnsi="Times New Roman" w:eastAsia="黑体"/>
      <w:color w:val="5B9BD5"/>
      <w:kern w:val="2"/>
      <w:sz w:val="30"/>
      <w:szCs w:val="30"/>
      <w:lang w:val="zh-CN" w:eastAsia="zh-CN"/>
    </w:rPr>
  </w:style>
  <w:style w:type="paragraph" w:customStyle="1" w:styleId="550">
    <w:name w:val="一级标题（）"/>
    <w:basedOn w:val="1"/>
    <w:link w:val="551"/>
    <w:autoRedefine/>
    <w:qFormat/>
    <w:uiPriority w:val="0"/>
    <w:pPr>
      <w:adjustRightInd w:val="0"/>
      <w:snapToGrid w:val="0"/>
      <w:ind w:firstLine="0" w:firstLineChars="0"/>
      <w:jc w:val="center"/>
      <w:outlineLvl w:val="0"/>
    </w:pPr>
    <w:rPr>
      <w:rFonts w:eastAsia="黑体"/>
      <w:bCs/>
      <w:color w:val="5B9BD5"/>
      <w:sz w:val="32"/>
      <w:szCs w:val="28"/>
      <w:lang w:val="zh-CN"/>
    </w:rPr>
  </w:style>
  <w:style w:type="character" w:customStyle="1" w:styleId="551">
    <w:name w:val="一级标题（） Char"/>
    <w:link w:val="550"/>
    <w:autoRedefine/>
    <w:qFormat/>
    <w:uiPriority w:val="0"/>
    <w:rPr>
      <w:rFonts w:ascii="Times New Roman" w:hAnsi="Times New Roman" w:eastAsia="黑体"/>
      <w:bCs/>
      <w:color w:val="5B9BD5"/>
      <w:kern w:val="2"/>
      <w:sz w:val="32"/>
      <w:szCs w:val="28"/>
      <w:lang w:val="zh-CN" w:eastAsia="zh-CN"/>
    </w:rPr>
  </w:style>
  <w:style w:type="paragraph" w:customStyle="1" w:styleId="552">
    <w:name w:val="1表格头"/>
    <w:basedOn w:val="1"/>
    <w:autoRedefine/>
    <w:qFormat/>
    <w:uiPriority w:val="0"/>
    <w:pPr>
      <w:widowControl/>
      <w:adjustRightInd w:val="0"/>
      <w:snapToGrid w:val="0"/>
      <w:spacing w:line="240" w:lineRule="auto"/>
      <w:ind w:firstLine="0" w:firstLineChars="0"/>
      <w:jc w:val="center"/>
    </w:pPr>
    <w:rPr>
      <w:rFonts w:ascii="宋体" w:hAnsi="宋体" w:eastAsia="黑体"/>
      <w:kern w:val="0"/>
      <w:szCs w:val="24"/>
      <w:lang w:val="zh-CN"/>
    </w:rPr>
  </w:style>
  <w:style w:type="paragraph" w:customStyle="1" w:styleId="553">
    <w:name w:val="111正文的格式"/>
    <w:basedOn w:val="1"/>
    <w:autoRedefine/>
    <w:qFormat/>
    <w:uiPriority w:val="0"/>
    <w:pPr>
      <w:widowControl/>
      <w:adjustRightInd w:val="0"/>
      <w:snapToGrid w:val="0"/>
      <w:spacing w:line="240" w:lineRule="auto"/>
      <w:jc w:val="left"/>
    </w:pPr>
    <w:rPr>
      <w:rFonts w:ascii="宋体" w:hAnsi="宋体" w:cs="宋体"/>
      <w:bCs/>
      <w:kern w:val="0"/>
      <w:szCs w:val="24"/>
    </w:rPr>
  </w:style>
  <w:style w:type="paragraph" w:customStyle="1" w:styleId="554">
    <w:name w:val="表正文"/>
    <w:basedOn w:val="1"/>
    <w:autoRedefine/>
    <w:qFormat/>
    <w:uiPriority w:val="0"/>
    <w:rPr>
      <w:szCs w:val="24"/>
    </w:rPr>
  </w:style>
  <w:style w:type="character" w:customStyle="1" w:styleId="555">
    <w:name w:val="表格内容 Char"/>
    <w:link w:val="465"/>
    <w:autoRedefine/>
    <w:qFormat/>
    <w:uiPriority w:val="0"/>
    <w:rPr>
      <w:rFonts w:cs="宋体"/>
      <w:sz w:val="24"/>
      <w:szCs w:val="24"/>
    </w:rPr>
  </w:style>
  <w:style w:type="paragraph" w:customStyle="1" w:styleId="556">
    <w:name w:val="颜表格文字"/>
    <w:basedOn w:val="1"/>
    <w:autoRedefine/>
    <w:qFormat/>
    <w:uiPriority w:val="0"/>
    <w:pPr>
      <w:adjustRightInd w:val="0"/>
      <w:snapToGrid w:val="0"/>
      <w:spacing w:line="240" w:lineRule="auto"/>
      <w:ind w:firstLine="0" w:firstLineChars="0"/>
      <w:jc w:val="center"/>
    </w:pPr>
    <w:rPr>
      <w:sz w:val="21"/>
      <w:szCs w:val="24"/>
    </w:rPr>
  </w:style>
  <w:style w:type="paragraph" w:customStyle="1" w:styleId="557">
    <w:name w:val="gyy正文"/>
    <w:basedOn w:val="1"/>
    <w:autoRedefine/>
    <w:qFormat/>
    <w:uiPriority w:val="0"/>
    <w:rPr>
      <w:color w:val="5B9BD5"/>
      <w:szCs w:val="24"/>
    </w:rPr>
  </w:style>
  <w:style w:type="character" w:customStyle="1" w:styleId="558">
    <w:name w:val="表格内容 字符"/>
    <w:basedOn w:val="52"/>
    <w:autoRedefine/>
    <w:qFormat/>
    <w:uiPriority w:val="0"/>
    <w:rPr>
      <w:rFonts w:ascii="Times New Roman" w:hAnsi="Times New Roman" w:eastAsia="宋体" w:cs="Times New Roman"/>
      <w:szCs w:val="24"/>
    </w:rPr>
  </w:style>
  <w:style w:type="character" w:customStyle="1" w:styleId="559">
    <w:name w:val="BGZX Char"/>
    <w:link w:val="560"/>
    <w:autoRedefine/>
    <w:qFormat/>
    <w:uiPriority w:val="0"/>
    <w:rPr>
      <w:sz w:val="24"/>
    </w:rPr>
  </w:style>
  <w:style w:type="paragraph" w:customStyle="1" w:styleId="560">
    <w:name w:val="BGZX"/>
    <w:next w:val="1"/>
    <w:link w:val="559"/>
    <w:autoRedefine/>
    <w:qFormat/>
    <w:uiPriority w:val="0"/>
    <w:pPr>
      <w:widowControl w:val="0"/>
      <w:spacing w:line="360" w:lineRule="auto"/>
      <w:ind w:firstLine="480" w:firstLineChars="200"/>
      <w:jc w:val="both"/>
    </w:pPr>
    <w:rPr>
      <w:rFonts w:ascii="Calibri" w:hAnsi="Calibri" w:eastAsia="宋体" w:cs="Times New Roman"/>
      <w:sz w:val="24"/>
      <w:lang w:val="en-US" w:eastAsia="zh-CN" w:bidi="ar-SA"/>
    </w:rPr>
  </w:style>
  <w:style w:type="paragraph" w:customStyle="1" w:styleId="561">
    <w:name w:val="Table Text"/>
    <w:basedOn w:val="1"/>
    <w:autoRedefine/>
    <w:semiHidden/>
    <w:qFormat/>
    <w:uiPriority w:val="0"/>
    <w:rPr>
      <w:rFonts w:ascii="宋体" w:hAnsi="宋体" w:cs="宋体"/>
      <w:szCs w:val="24"/>
      <w:lang w:eastAsia="en-US"/>
    </w:rPr>
  </w:style>
  <w:style w:type="paragraph" w:customStyle="1" w:styleId="562">
    <w:name w:val="标1"/>
    <w:basedOn w:val="1"/>
    <w:autoRedefine/>
    <w:qFormat/>
    <w:uiPriority w:val="0"/>
    <w:pPr>
      <w:spacing w:before="60" w:line="460" w:lineRule="exact"/>
      <w:ind w:firstLine="0" w:firstLineChars="0"/>
      <w:outlineLvl w:val="0"/>
    </w:pPr>
    <w:rPr>
      <w:rFonts w:ascii="Lucida Sans" w:hAnsi="Lucida Sans"/>
      <w:b/>
      <w:kern w:val="0"/>
      <w:sz w:val="32"/>
    </w:rPr>
  </w:style>
  <w:style w:type="paragraph" w:customStyle="1" w:styleId="563">
    <w:name w:val="表4"/>
    <w:basedOn w:val="1"/>
    <w:autoRedefine/>
    <w:qFormat/>
    <w:uiPriority w:val="0"/>
    <w:pPr>
      <w:numPr>
        <w:ilvl w:val="0"/>
        <w:numId w:val="9"/>
      </w:numPr>
      <w:jc w:val="center"/>
    </w:pPr>
    <w:rPr>
      <w:b/>
    </w:rPr>
  </w:style>
  <w:style w:type="paragraph" w:customStyle="1" w:styleId="564">
    <w:name w:val="表格5号居中"/>
    <w:next w:val="1"/>
    <w:autoRedefine/>
    <w:qFormat/>
    <w:uiPriority w:val="99"/>
    <w:pPr>
      <w:widowControl w:val="0"/>
      <w:tabs>
        <w:tab w:val="right" w:pos="8640"/>
        <w:tab w:val="right" w:pos="8784"/>
      </w:tabs>
      <w:adjustRightInd w:val="0"/>
      <w:snapToGrid w:val="0"/>
      <w:jc w:val="center"/>
    </w:pPr>
    <w:rPr>
      <w:rFonts w:ascii="Times New Roman" w:hAnsi="Times New Roman" w:eastAsia="宋体" w:cs="Times New Roman"/>
      <w:iCs/>
      <w:color w:val="000000"/>
      <w:sz w:val="21"/>
      <w:szCs w:val="24"/>
      <w:lang w:val="en-US" w:eastAsia="zh-CN" w:bidi="ar-SA"/>
    </w:rPr>
  </w:style>
  <w:style w:type="paragraph" w:customStyle="1" w:styleId="565">
    <w:name w:val="正文首行缩进 2 + Times New Roman"/>
    <w:basedOn w:val="1"/>
    <w:autoRedefine/>
    <w:qFormat/>
    <w:uiPriority w:val="0"/>
    <w:pPr>
      <w:tabs>
        <w:tab w:val="left" w:pos="0"/>
        <w:tab w:val="left" w:pos="720"/>
        <w:tab w:val="left" w:pos="870"/>
        <w:tab w:val="left" w:pos="3150"/>
      </w:tabs>
      <w:autoSpaceDE w:val="0"/>
      <w:autoSpaceDN w:val="0"/>
      <w:ind w:firstLine="504"/>
    </w:pPr>
    <w:rPr>
      <w:rFonts w:ascii="Arial" w:hAnsi="Arial" w:cs="Arial"/>
      <w:bCs/>
      <w:spacing w:val="6"/>
      <w:kern w:val="0"/>
    </w:rPr>
  </w:style>
  <w:style w:type="paragraph" w:customStyle="1" w:styleId="566">
    <w:name w:val="0正文"/>
    <w:basedOn w:val="19"/>
    <w:autoRedefine/>
    <w:semiHidden/>
    <w:qFormat/>
    <w:uiPriority w:val="0"/>
    <w:pPr>
      <w:ind w:firstLine="720"/>
      <w:jc w:val="left"/>
    </w:pPr>
    <w:rPr>
      <w:kern w:val="0"/>
    </w:rPr>
  </w:style>
  <w:style w:type="paragraph" w:customStyle="1" w:styleId="567">
    <w:name w:val="正文（小四）"/>
    <w:autoRedefine/>
    <w:qFormat/>
    <w:uiPriority w:val="0"/>
    <w:pPr>
      <w:spacing w:line="360" w:lineRule="auto"/>
      <w:ind w:firstLine="200" w:firstLineChars="200"/>
      <w:jc w:val="both"/>
    </w:pPr>
    <w:rPr>
      <w:rFonts w:ascii="Times New Roman" w:hAnsi="Times New Roman" w:eastAsia="宋体" w:cs="Times New Roman"/>
      <w:bCs/>
      <w:color w:val="000000"/>
      <w:kern w:val="2"/>
      <w:sz w:val="24"/>
      <w:szCs w:val="32"/>
      <w:lang w:val="en-US" w:eastAsia="zh-CN" w:bidi="ar-SA"/>
    </w:rPr>
  </w:style>
  <w:style w:type="paragraph" w:customStyle="1" w:styleId="568">
    <w:name w:val="表头（图表题）"/>
    <w:basedOn w:val="1"/>
    <w:next w:val="1"/>
    <w:autoRedefine/>
    <w:qFormat/>
    <w:uiPriority w:val="9"/>
    <w:pPr>
      <w:spacing w:line="240" w:lineRule="auto"/>
      <w:ind w:firstLine="0" w:firstLineChars="0"/>
      <w:jc w:val="center"/>
    </w:pPr>
    <w:rPr>
      <w:b/>
    </w:rPr>
  </w:style>
  <w:style w:type="paragraph" w:customStyle="1" w:styleId="569">
    <w:name w:val="正文文本缩进 22"/>
    <w:basedOn w:val="1"/>
    <w:autoRedefine/>
    <w:qFormat/>
    <w:uiPriority w:val="0"/>
    <w:pPr>
      <w:spacing w:before="60"/>
      <w:ind w:firstLine="576"/>
    </w:pPr>
    <w:rPr>
      <w:rFonts w:eastAsia="楷体_GB2312"/>
      <w:sz w:val="28"/>
    </w:rPr>
  </w:style>
  <w:style w:type="paragraph" w:customStyle="1" w:styleId="570">
    <w:name w:val="表3"/>
    <w:basedOn w:val="1"/>
    <w:autoRedefine/>
    <w:qFormat/>
    <w:uiPriority w:val="0"/>
    <w:pPr>
      <w:numPr>
        <w:ilvl w:val="0"/>
        <w:numId w:val="10"/>
      </w:numPr>
      <w:jc w:val="center"/>
    </w:pPr>
    <w:rPr>
      <w:b/>
    </w:rPr>
  </w:style>
  <w:style w:type="paragraph" w:customStyle="1" w:styleId="571">
    <w:name w:val="zhang正文"/>
    <w:basedOn w:val="19"/>
    <w:autoRedefine/>
    <w:qFormat/>
    <w:uiPriority w:val="0"/>
    <w:pPr>
      <w:autoSpaceDE w:val="0"/>
      <w:autoSpaceDN w:val="0"/>
      <w:adjustRightInd w:val="0"/>
      <w:snapToGrid w:val="0"/>
      <w:spacing w:after="0" w:line="500" w:lineRule="exact"/>
      <w:ind w:left="0" w:leftChars="0" w:firstLine="539"/>
      <w:textAlignment w:val="baseline"/>
    </w:pPr>
    <w:rPr>
      <w:rFonts w:eastAsia="楷体_GB2312"/>
      <w:sz w:val="28"/>
    </w:rPr>
  </w:style>
  <w:style w:type="paragraph" w:customStyle="1" w:styleId="572">
    <w:name w:val="报告正文"/>
    <w:basedOn w:val="1"/>
    <w:autoRedefine/>
    <w:qFormat/>
    <w:uiPriority w:val="0"/>
    <w:pPr>
      <w:adjustRightInd w:val="0"/>
      <w:ind w:firstLine="1072"/>
    </w:pPr>
    <w:rPr>
      <w:rFonts w:eastAsia="仿宋_GB2312"/>
      <w:kern w:val="0"/>
      <w:sz w:val="28"/>
    </w:rPr>
  </w:style>
  <w:style w:type="paragraph" w:customStyle="1" w:styleId="573">
    <w:name w:val="（环评）正文（小四）"/>
    <w:basedOn w:val="1"/>
    <w:autoRedefine/>
    <w:qFormat/>
    <w:uiPriority w:val="0"/>
    <w:pPr>
      <w:ind w:firstLine="643"/>
    </w:pPr>
  </w:style>
  <w:style w:type="paragraph" w:customStyle="1" w:styleId="574">
    <w:name w:val="一级aaa"/>
    <w:basedOn w:val="2"/>
    <w:next w:val="1"/>
    <w:autoRedefine/>
    <w:qFormat/>
    <w:uiPriority w:val="0"/>
    <w:pPr>
      <w:adjustRightInd w:val="0"/>
      <w:snapToGrid w:val="0"/>
      <w:spacing w:before="100" w:beforeLines="100" w:after="100" w:afterLines="100"/>
    </w:pPr>
    <w:rPr>
      <w:sz w:val="32"/>
    </w:rPr>
  </w:style>
  <w:style w:type="paragraph" w:customStyle="1" w:styleId="575">
    <w:name w:val="[表格内容]"/>
    <w:autoRedefine/>
    <w:qFormat/>
    <w:uiPriority w:val="0"/>
    <w:pPr>
      <w:jc w:val="center"/>
    </w:pPr>
    <w:rPr>
      <w:rFonts w:ascii="Times New Roman" w:hAnsi="Times New Roman" w:eastAsia="宋体" w:cs="Times New Roman"/>
      <w:kern w:val="2"/>
      <w:sz w:val="21"/>
      <w:szCs w:val="21"/>
      <w:lang w:val="en-US" w:eastAsia="zh-CN" w:bidi="ar-SA"/>
    </w:rPr>
  </w:style>
  <w:style w:type="paragraph" w:customStyle="1" w:styleId="576">
    <w:name w:val="[表头]"/>
    <w:autoRedefine/>
    <w:qFormat/>
    <w:uiPriority w:val="0"/>
    <w:pPr>
      <w:widowControl w:val="0"/>
      <w:spacing w:before="50" w:beforeLines="50"/>
      <w:jc w:val="center"/>
    </w:pPr>
    <w:rPr>
      <w:rFonts w:ascii="Times New Roman" w:hAnsi="Times New Roman" w:cs="宋体" w:eastAsiaTheme="minorEastAsia"/>
      <w:b/>
      <w:color w:val="000000"/>
      <w:spacing w:val="6"/>
      <w:kern w:val="2"/>
      <w:sz w:val="24"/>
      <w:lang w:val="en-US" w:eastAsia="zh-CN" w:bidi="ar-SA"/>
    </w:rPr>
  </w:style>
  <w:style w:type="paragraph" w:customStyle="1" w:styleId="577">
    <w:name w:val="金皇正文"/>
    <w:basedOn w:val="1"/>
    <w:autoRedefine/>
    <w:qFormat/>
    <w:uiPriority w:val="0"/>
    <w:pPr>
      <w:widowControl/>
      <w:adjustRightInd w:val="0"/>
      <w:snapToGrid w:val="0"/>
      <w:ind w:firstLine="480"/>
    </w:pPr>
    <w:rPr>
      <w:kern w:val="0"/>
      <w:szCs w:val="24"/>
    </w:rPr>
  </w:style>
  <w:style w:type="paragraph" w:customStyle="1" w:styleId="578">
    <w:name w:val="金皇表（图）头"/>
    <w:basedOn w:val="1"/>
    <w:autoRedefine/>
    <w:qFormat/>
    <w:uiPriority w:val="0"/>
    <w:pPr>
      <w:adjustRightInd w:val="0"/>
      <w:jc w:val="center"/>
      <w:outlineLvl w:val="4"/>
    </w:pPr>
    <w:rPr>
      <w:rFonts w:hAnsi="宋体" w:eastAsia="黑体"/>
      <w:b/>
    </w:rPr>
  </w:style>
  <w:style w:type="paragraph" w:customStyle="1" w:styleId="579">
    <w:name w:val="陈光的正文"/>
    <w:basedOn w:val="1"/>
    <w:autoRedefine/>
    <w:qFormat/>
    <w:uiPriority w:val="0"/>
    <w:pPr>
      <w:adjustRightInd w:val="0"/>
      <w:snapToGrid w:val="0"/>
      <w:spacing w:beforeLines="10" w:afterLines="10"/>
      <w:ind w:firstLine="560"/>
    </w:pPr>
    <w:rPr>
      <w:sz w:val="28"/>
    </w:rPr>
  </w:style>
  <w:style w:type="character" w:customStyle="1" w:styleId="580">
    <w:name w:val="font31"/>
    <w:basedOn w:val="52"/>
    <w:autoRedefine/>
    <w:qFormat/>
    <w:uiPriority w:val="0"/>
    <w:rPr>
      <w:rFonts w:hint="default" w:ascii="Times New Roman" w:hAnsi="Times New Roman" w:cs="Times New Roman"/>
      <w:color w:val="000000"/>
      <w:sz w:val="21"/>
      <w:szCs w:val="21"/>
      <w:u w:val="none"/>
    </w:rPr>
  </w:style>
  <w:style w:type="paragraph" w:customStyle="1" w:styleId="581">
    <w:name w:val="正文-0000"/>
    <w:basedOn w:val="1"/>
    <w:autoRedefine/>
    <w:qFormat/>
    <w:uiPriority w:val="0"/>
    <w:pPr>
      <w:keepLines/>
      <w:wordWrap w:val="0"/>
      <w:topLinePunct/>
      <w:adjustRightInd w:val="0"/>
      <w:snapToGrid w:val="0"/>
      <w:ind w:firstLine="720"/>
      <w:jc w:val="left"/>
    </w:pPr>
    <w:rPr>
      <w:rFonts w:hint="eastAsia" w:cs="宋体"/>
      <w:kern w:val="0"/>
      <w:szCs w:val="21"/>
    </w:rPr>
  </w:style>
  <w:style w:type="character" w:customStyle="1" w:styleId="582">
    <w:name w:val="font71"/>
    <w:basedOn w:val="52"/>
    <w:autoRedefine/>
    <w:qFormat/>
    <w:uiPriority w:val="0"/>
    <w:rPr>
      <w:rFonts w:ascii="宋体" w:hAnsi="宋体" w:eastAsia="宋体" w:cs="宋体"/>
      <w:b/>
      <w:bCs/>
      <w:color w:val="000000"/>
      <w:sz w:val="20"/>
      <w:szCs w:val="20"/>
      <w:u w:val="none"/>
    </w:rPr>
  </w:style>
  <w:style w:type="character" w:customStyle="1" w:styleId="583">
    <w:name w:val="font81"/>
    <w:basedOn w:val="52"/>
    <w:autoRedefine/>
    <w:qFormat/>
    <w:uiPriority w:val="0"/>
    <w:rPr>
      <w:rFonts w:ascii="宋体" w:hAnsi="宋体" w:eastAsia="宋体" w:cs="宋体"/>
      <w:color w:val="000000"/>
      <w:sz w:val="20"/>
      <w:szCs w:val="20"/>
      <w:u w:val="none"/>
    </w:rPr>
  </w:style>
  <w:style w:type="character" w:customStyle="1" w:styleId="584">
    <w:name w:val="font91"/>
    <w:basedOn w:val="52"/>
    <w:autoRedefine/>
    <w:qFormat/>
    <w:uiPriority w:val="0"/>
    <w:rPr>
      <w:rFonts w:hint="default" w:ascii="Times New Roman" w:hAnsi="Times New Roman" w:cs="Times New Roman"/>
      <w:b/>
      <w:bCs/>
      <w:color w:val="000000"/>
      <w:sz w:val="20"/>
      <w:szCs w:val="20"/>
      <w:u w:val="none"/>
    </w:rPr>
  </w:style>
  <w:style w:type="character" w:customStyle="1" w:styleId="585">
    <w:name w:val="font101"/>
    <w:basedOn w:val="52"/>
    <w:autoRedefine/>
    <w:qFormat/>
    <w:uiPriority w:val="0"/>
    <w:rPr>
      <w:rFonts w:hint="default" w:ascii="Times New Roman" w:hAnsi="Times New Roman" w:cs="Times New Roman"/>
      <w:b/>
      <w:bCs/>
      <w:color w:val="000000"/>
      <w:sz w:val="12"/>
      <w:szCs w:val="12"/>
      <w:u w:val="none"/>
    </w:rPr>
  </w:style>
  <w:style w:type="character" w:customStyle="1" w:styleId="586">
    <w:name w:val="font112"/>
    <w:basedOn w:val="52"/>
    <w:autoRedefine/>
    <w:qFormat/>
    <w:uiPriority w:val="0"/>
    <w:rPr>
      <w:rFonts w:hint="default" w:ascii="Times New Roman" w:hAnsi="Times New Roman" w:cs="Times New Roman"/>
      <w:color w:val="000000"/>
      <w:sz w:val="20"/>
      <w:szCs w:val="20"/>
      <w:u w:val="none"/>
    </w:rPr>
  </w:style>
  <w:style w:type="character" w:customStyle="1" w:styleId="587">
    <w:name w:val="font121"/>
    <w:basedOn w:val="52"/>
    <w:autoRedefine/>
    <w:qFormat/>
    <w:uiPriority w:val="0"/>
    <w:rPr>
      <w:rFonts w:ascii="宋体" w:hAnsi="宋体" w:eastAsia="宋体" w:cs="宋体"/>
      <w:color w:val="000000"/>
      <w:sz w:val="18"/>
      <w:szCs w:val="18"/>
      <w:u w:val="none"/>
    </w:rPr>
  </w:style>
  <w:style w:type="character" w:customStyle="1" w:styleId="588">
    <w:name w:val="font131"/>
    <w:basedOn w:val="52"/>
    <w:autoRedefine/>
    <w:qFormat/>
    <w:uiPriority w:val="0"/>
    <w:rPr>
      <w:rFonts w:hint="default" w:ascii="Times New Roman" w:hAnsi="Times New Roman" w:cs="Times New Roman"/>
      <w:color w:val="000000"/>
      <w:sz w:val="18"/>
      <w:szCs w:val="18"/>
      <w:u w:val="none"/>
    </w:rPr>
  </w:style>
  <w:style w:type="character" w:customStyle="1" w:styleId="589">
    <w:name w:val="font141"/>
    <w:basedOn w:val="52"/>
    <w:autoRedefine/>
    <w:qFormat/>
    <w:uiPriority w:val="0"/>
    <w:rPr>
      <w:rFonts w:hint="default" w:ascii="Times New Roman" w:hAnsi="Times New Roman" w:cs="Times New Roman"/>
      <w:color w:val="000000"/>
      <w:sz w:val="10"/>
      <w:szCs w:val="10"/>
      <w:u w:val="none"/>
    </w:rPr>
  </w:style>
  <w:style w:type="paragraph" w:customStyle="1" w:styleId="590">
    <w:name w:val="样式 首行缩进:  2 字符1"/>
    <w:basedOn w:val="1"/>
    <w:autoRedefine/>
    <w:qFormat/>
    <w:uiPriority w:val="0"/>
    <w:pPr>
      <w:widowControl/>
      <w:adjustRightInd w:val="0"/>
      <w:snapToGrid w:val="0"/>
      <w:spacing w:line="360" w:lineRule="auto"/>
      <w:ind w:firstLine="480" w:firstLineChars="200"/>
      <w:jc w:val="left"/>
    </w:pPr>
    <w:rPr>
      <w:rFonts w:cs="宋体"/>
      <w:kern w:val="0"/>
      <w:sz w:val="24"/>
      <w:szCs w:val="20"/>
    </w:rPr>
  </w:style>
  <w:style w:type="paragraph" w:customStyle="1" w:styleId="591">
    <w:name w:val="CMX表格标题"/>
    <w:autoRedefine/>
    <w:qFormat/>
    <w:uiPriority w:val="0"/>
    <w:pPr>
      <w:widowControl w:val="0"/>
      <w:adjustRightInd w:val="0"/>
      <w:snapToGrid w:val="0"/>
      <w:spacing w:before="30" w:beforeLines="30" w:line="360" w:lineRule="auto"/>
      <w:jc w:val="center"/>
      <w:outlineLvl w:val="4"/>
    </w:pPr>
    <w:rPr>
      <w:rFonts w:ascii="Times New Roman" w:hAnsi="Times New Roman" w:eastAsia="宋体" w:cs="Times New Roman"/>
      <w:b/>
      <w:color w:val="000000"/>
      <w:sz w:val="21"/>
      <w:szCs w:val="21"/>
      <w:lang w:val="en-US" w:eastAsia="zh-CN" w:bidi="ar-SA"/>
    </w:rPr>
  </w:style>
  <w:style w:type="paragraph" w:customStyle="1" w:styleId="592">
    <w:name w:val="CMX表格文字-2"/>
    <w:basedOn w:val="1"/>
    <w:autoRedefine/>
    <w:qFormat/>
    <w:uiPriority w:val="0"/>
    <w:pPr>
      <w:widowControl/>
      <w:adjustRightInd w:val="0"/>
      <w:snapToGrid w:val="0"/>
      <w:spacing w:line="240" w:lineRule="auto"/>
      <w:ind w:firstLine="0" w:firstLineChars="0"/>
      <w:jc w:val="center"/>
    </w:pPr>
    <w:rPr>
      <w:kern w:val="0"/>
      <w:szCs w:val="21"/>
    </w:rPr>
  </w:style>
  <w:style w:type="paragraph" w:customStyle="1" w:styleId="593">
    <w:name w:val="CMX表格正文-1"/>
    <w:basedOn w:val="1"/>
    <w:next w:val="1"/>
    <w:autoRedefine/>
    <w:qFormat/>
    <w:uiPriority w:val="0"/>
    <w:pPr>
      <w:widowControl/>
      <w:adjustRightInd w:val="0"/>
      <w:snapToGrid w:val="0"/>
      <w:ind w:firstLine="0" w:firstLineChars="0"/>
      <w:jc w:val="center"/>
    </w:pPr>
    <w:rPr>
      <w:rFonts w:cs="宋体"/>
    </w:rPr>
  </w:style>
  <w:style w:type="paragraph" w:customStyle="1" w:styleId="594">
    <w:name w:val="book"/>
    <w:basedOn w:val="1"/>
    <w:autoRedefine/>
    <w:qFormat/>
    <w:uiPriority w:val="0"/>
    <w:pPr>
      <w:widowControl w:val="0"/>
      <w:adjustRightInd/>
      <w:snapToGrid/>
      <w:spacing w:line="360" w:lineRule="exact"/>
      <w:ind w:firstLine="0" w:firstLineChars="0"/>
      <w:jc w:val="center"/>
    </w:pPr>
    <w:rPr>
      <w:kern w:val="2"/>
      <w:sz w:val="21"/>
      <w:szCs w:val="24"/>
    </w:rPr>
  </w:style>
  <w:style w:type="paragraph" w:customStyle="1" w:styleId="595">
    <w:name w:val="表格内容（附表）"/>
    <w:basedOn w:val="1"/>
    <w:autoRedefine/>
    <w:qFormat/>
    <w:uiPriority w:val="99"/>
    <w:pPr>
      <w:widowControl w:val="0"/>
      <w:tabs>
        <w:tab w:val="left" w:pos="1980"/>
        <w:tab w:val="left" w:pos="3825"/>
        <w:tab w:val="left" w:pos="4680"/>
      </w:tabs>
      <w:adjustRightInd/>
      <w:snapToGrid/>
      <w:spacing w:line="240" w:lineRule="auto"/>
      <w:ind w:firstLine="0" w:firstLineChars="0"/>
      <w:jc w:val="center"/>
    </w:pPr>
    <w:rPr>
      <w:color w:val="00000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2" Type="http://schemas.openxmlformats.org/officeDocument/2006/relationships/fontTable" Target="fontTable.xml"/><Relationship Id="rId41" Type="http://schemas.openxmlformats.org/officeDocument/2006/relationships/customXml" Target="../customXml/item2.xml"/><Relationship Id="rId40" Type="http://schemas.openxmlformats.org/officeDocument/2006/relationships/numbering" Target="numbering.xml"/><Relationship Id="rId4" Type="http://schemas.openxmlformats.org/officeDocument/2006/relationships/endnotes" Target="endnotes.xml"/><Relationship Id="rId39" Type="http://schemas.openxmlformats.org/officeDocument/2006/relationships/customXml" Target="../customXml/item1.xml"/><Relationship Id="rId38" Type="http://schemas.openxmlformats.org/officeDocument/2006/relationships/image" Target="media/image24.png"/><Relationship Id="rId37" Type="http://schemas.openxmlformats.org/officeDocument/2006/relationships/image" Target="media/image23.jpeg"/><Relationship Id="rId36" Type="http://schemas.openxmlformats.org/officeDocument/2006/relationships/image" Target="media/image22.png"/><Relationship Id="rId35" Type="http://schemas.openxmlformats.org/officeDocument/2006/relationships/image" Target="media/image21.jpe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wmf"/><Relationship Id="rId31" Type="http://schemas.openxmlformats.org/officeDocument/2006/relationships/oleObject" Target="embeddings/oleObject2.bin"/><Relationship Id="rId30" Type="http://schemas.openxmlformats.org/officeDocument/2006/relationships/image" Target="media/image17.wmf"/><Relationship Id="rId3" Type="http://schemas.openxmlformats.org/officeDocument/2006/relationships/footnotes" Target="footnotes.xml"/><Relationship Id="rId29" Type="http://schemas.openxmlformats.org/officeDocument/2006/relationships/oleObject" Target="embeddings/oleObject1.bin"/><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rgbClr val="FFFFFF"/>
        </a:fillRef>
        <a:effectRef idx="0">
          <a:srgbClr val="FFFFFF"/>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E4F3F09-5CF3-4398-9666-9371C503DAC0}">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59</Pages>
  <Words>17649</Words>
  <Characters>19436</Characters>
  <Lines>342</Lines>
  <Paragraphs>96</Paragraphs>
  <TotalTime>2</TotalTime>
  <ScaleCrop>false</ScaleCrop>
  <LinksUpToDate>false</LinksUpToDate>
  <CharactersWithSpaces>19486</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2025-07-30T13:21:00Z</dcterms:created>
  <dc:creator>DADA L</dc:creator>
  <cp:lastModifiedBy>染</cp:lastModifiedBy>
  <cp:lastPrinted>2025-09-23T08:55:00Z</cp:lastPrinted>
  <dcterms:modified xsi:type="dcterms:W3CDTF">2026-01-07T02:32:48Z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7426B09FD16B4BD9B7093BB94917940A_13</vt:lpwstr>
  </property>
  <property fmtid="{D5CDD505-2E9C-101B-9397-08002B2CF9AE}" pid="4" name="KSOTemplateDocerSaveRecord">
    <vt:lpwstr>eyJoZGlkIjoiNTAyMjYyYzZkYmU3OWZjMTY4NGQ0ZTA3ZDlmMDgxODEiLCJ1c2VySWQiOiIzNjM4OTA0NDcifQ==</vt:lpwstr>
  </property>
</Properties>
</file>