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附件2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长乐区果木补偿标准表</w:t>
      </w:r>
    </w:p>
    <w:tbl>
      <w:tblPr>
        <w:tblStyle w:val="5"/>
        <w:tblpPr w:leftFromText="180" w:rightFromText="180" w:vertAnchor="text" w:horzAnchor="page" w:tblpX="1480" w:tblpY="382"/>
        <w:tblOverlap w:val="never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363"/>
        <w:gridCol w:w="1167"/>
        <w:gridCol w:w="1163"/>
        <w:gridCol w:w="1169"/>
        <w:gridCol w:w="1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03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成    片   果   木   的   补   偿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古树木的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补偿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龙眼、橄榄、荔枝</w:t>
            </w:r>
          </w:p>
        </w:tc>
        <w:tc>
          <w:tcPr>
            <w:tcW w:w="12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杂果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香蕉</w:t>
            </w:r>
          </w:p>
        </w:tc>
        <w:tc>
          <w:tcPr>
            <w:tcW w:w="965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古树木的补偿由镇、村、指挥部按个案协商解决。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胸径（ф）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补偿标准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胸径（ф）</w:t>
            </w:r>
          </w:p>
        </w:tc>
        <w:tc>
          <w:tcPr>
            <w:tcW w:w="6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补偿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标准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补偿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标准</w:t>
            </w:r>
          </w:p>
        </w:tc>
        <w:tc>
          <w:tcPr>
            <w:tcW w:w="96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30cm＜ф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1200元/棵</w:t>
            </w:r>
          </w:p>
        </w:tc>
        <w:tc>
          <w:tcPr>
            <w:tcW w:w="644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15cm≤ф</w:t>
            </w:r>
          </w:p>
        </w:tc>
        <w:tc>
          <w:tcPr>
            <w:tcW w:w="642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200元/棵</w:t>
            </w:r>
          </w:p>
        </w:tc>
        <w:tc>
          <w:tcPr>
            <w:tcW w:w="644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30元/丛</w:t>
            </w:r>
          </w:p>
        </w:tc>
        <w:tc>
          <w:tcPr>
            <w:tcW w:w="96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20cm≤ф＜30cm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800元/棵</w:t>
            </w:r>
          </w:p>
        </w:tc>
        <w:tc>
          <w:tcPr>
            <w:tcW w:w="64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64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64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96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15cm≤ф＜20cm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500元/棵</w:t>
            </w:r>
          </w:p>
        </w:tc>
        <w:tc>
          <w:tcPr>
            <w:tcW w:w="64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64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64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96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10cm≤ф＜15cm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300元/棵</w:t>
            </w:r>
          </w:p>
        </w:tc>
        <w:tc>
          <w:tcPr>
            <w:tcW w:w="644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ф＜15cm</w:t>
            </w:r>
          </w:p>
        </w:tc>
        <w:tc>
          <w:tcPr>
            <w:tcW w:w="642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100元/棵</w:t>
            </w:r>
          </w:p>
        </w:tc>
        <w:tc>
          <w:tcPr>
            <w:tcW w:w="64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96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5cm≤ф＜10cm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100元/棵</w:t>
            </w:r>
          </w:p>
        </w:tc>
        <w:tc>
          <w:tcPr>
            <w:tcW w:w="64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64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64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96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ф〈5cm（3×3m间距）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20元/棵</w:t>
            </w:r>
          </w:p>
        </w:tc>
        <w:tc>
          <w:tcPr>
            <w:tcW w:w="64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64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64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  <w:tc>
          <w:tcPr>
            <w:tcW w:w="96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03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  <w:t>果木胸径小于5cm的归入青苗类补偿范畴，不再另作补偿。</w:t>
            </w:r>
          </w:p>
        </w:tc>
        <w:tc>
          <w:tcPr>
            <w:tcW w:w="96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0" w:firstLineChars="200"/>
        <w:jc w:val="left"/>
        <w:rPr>
          <w:rFonts w:hint="eastAsia" w:ascii="Times New Roman" w:hAnsi="Times New Roman" w:eastAsia="仿宋_GB2312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333333"/>
          <w:sz w:val="24"/>
          <w:szCs w:val="24"/>
        </w:rPr>
        <w:t>摘自《长乐市人民政府关于印发福州长平、绕城高速公路长乐段建设工程项目征地拆迁补偿实施方案的通知》</w:t>
      </w:r>
      <w:r>
        <w:rPr>
          <w:rFonts w:hint="eastAsia" w:cs="Times New Roman"/>
          <w:color w:val="333333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333333"/>
          <w:sz w:val="24"/>
          <w:szCs w:val="24"/>
        </w:rPr>
        <w:t>长政综〔2013〕157号</w:t>
      </w:r>
      <w:r>
        <w:rPr>
          <w:rFonts w:hint="eastAsia" w:cs="Times New Roman"/>
          <w:color w:val="333333"/>
          <w:sz w:val="24"/>
          <w:szCs w:val="24"/>
          <w:lang w:eastAsia="zh-CN"/>
        </w:rPr>
        <w:t>）。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color w:val="333333"/>
          <w:sz w:val="24"/>
          <w:szCs w:val="24"/>
        </w:rPr>
      </w:pPr>
    </w:p>
    <w:p/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55555"/>
    <w:rsid w:val="009D4017"/>
    <w:rsid w:val="4C955555"/>
    <w:rsid w:val="77F4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basedOn w:val="1"/>
    <w:qFormat/>
    <w:uiPriority w:val="99"/>
    <w:pPr>
      <w:ind w:firstLine="420" w:firstLineChars="200"/>
    </w:pPr>
    <w:rPr>
      <w:rFonts w:ascii="仿宋_GB2312" w:eastAsia="仿宋_GB2312"/>
      <w:sz w:val="32"/>
      <w:szCs w:val="32"/>
    </w:rPr>
  </w:style>
  <w:style w:type="paragraph" w:styleId="3">
    <w:name w:val="footer"/>
    <w:basedOn w:val="1"/>
    <w:qFormat/>
    <w:uiPriority w:val="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2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2022-03-16T01:47:00Z</dcterms:created>
  <dc:creator>admin</dc:creator>
  <cp:lastModifiedBy>admin</cp:lastModifiedBy>
  <cp:lastPrinted>2022-03-16T02:14:14Z</cp:lastPrinted>
  <dcterms:modified xsi:type="dcterms:W3CDTF">2022-03-16T02:14:18Z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ADAD34F05A35404289155800DA670231</vt:lpwstr>
  </property>
</Properties>
</file>