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附件：</w:t>
      </w:r>
    </w:p>
    <w:p>
      <w:pPr>
        <w:spacing w:line="560" w:lineRule="exact"/>
        <w:jc w:val="left"/>
        <w:rPr>
          <w:rFonts w:ascii="方正小标宋简体" w:hAnsi="微软雅黑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hAnsi="微软雅黑" w:eastAsia="方正小标宋简体"/>
          <w:sz w:val="44"/>
          <w:szCs w:val="44"/>
        </w:rPr>
      </w:pPr>
      <w:r>
        <w:rPr>
          <w:rFonts w:hint="eastAsia" w:ascii="方正小标宋简体" w:hAnsi="微软雅黑" w:eastAsia="方正小标宋简体"/>
          <w:sz w:val="44"/>
          <w:szCs w:val="44"/>
        </w:rPr>
        <w:t>营前街道滨江路西侧片区</w:t>
      </w:r>
    </w:p>
    <w:p>
      <w:pPr>
        <w:spacing w:line="560" w:lineRule="exact"/>
        <w:jc w:val="center"/>
        <w:rPr>
          <w:rFonts w:ascii="方正小标宋简体" w:hAnsi="微软雅黑" w:eastAsia="方正小标宋简体"/>
          <w:sz w:val="44"/>
          <w:szCs w:val="44"/>
        </w:rPr>
      </w:pPr>
      <w:r>
        <w:rPr>
          <w:rFonts w:hint="eastAsia" w:ascii="方正小标宋简体" w:hAnsi="微软雅黑" w:eastAsia="方正小标宋简体"/>
          <w:sz w:val="44"/>
          <w:szCs w:val="44"/>
        </w:rPr>
        <w:t>土地征收成片开发方案（征求意见稿）</w:t>
      </w:r>
    </w:p>
    <w:p>
      <w:pPr>
        <w:spacing w:line="560" w:lineRule="exact"/>
        <w:jc w:val="center"/>
        <w:rPr>
          <w:rFonts w:ascii="方正小标宋简体" w:hAnsi="微软雅黑" w:eastAsia="方正小标宋简体"/>
          <w:sz w:val="44"/>
          <w:szCs w:val="44"/>
        </w:rPr>
      </w:pPr>
    </w:p>
    <w:p>
      <w:pPr>
        <w:pStyle w:val="2"/>
        <w:numPr>
          <w:ilvl w:val="0"/>
          <w:numId w:val="0"/>
        </w:numPr>
        <w:spacing w:line="560" w:lineRule="exact"/>
        <w:ind w:firstLine="640" w:firstLineChars="200"/>
        <w:rPr>
          <w:rFonts w:ascii="黑体" w:hAnsi="黑体" w:eastAsia="黑体"/>
          <w:b w:val="0"/>
          <w:szCs w:val="32"/>
        </w:rPr>
      </w:pPr>
      <w:r>
        <w:rPr>
          <w:rFonts w:hint="eastAsia" w:ascii="黑体" w:hAnsi="黑体" w:eastAsia="黑体"/>
          <w:b w:val="0"/>
          <w:szCs w:val="32"/>
        </w:rPr>
        <w:t>一、编制依据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依据</w:t>
      </w:r>
      <w:r>
        <w:rPr>
          <w:rFonts w:ascii="仿宋_GB2312" w:hAnsi="宋体" w:eastAsia="仿宋_GB2312"/>
          <w:sz w:val="32"/>
          <w:szCs w:val="32"/>
        </w:rPr>
        <w:t>《中华人民共和国土地管理法》（2019年修正版）</w:t>
      </w:r>
      <w:r>
        <w:rPr>
          <w:rFonts w:hint="eastAsia" w:ascii="仿宋_GB2312" w:hAnsi="宋体" w:eastAsia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《自然资源部关于印发&lt;土地征收成片开发标准&gt;的通知》（自然资规〔2023〕7号 ）</w:t>
      </w:r>
      <w:r>
        <w:rPr>
          <w:rFonts w:hint="eastAsia" w:ascii="仿宋_GB2312" w:hAnsi="宋体" w:eastAsia="仿宋_GB2312"/>
          <w:sz w:val="32"/>
          <w:szCs w:val="32"/>
        </w:rPr>
        <w:t>、《自然资源部关于印发&lt;国土空间调查、规划、用途管制用地用海分类指南&gt;的通知》（自然资发〔2023〕234号）、</w:t>
      </w:r>
      <w:r>
        <w:rPr>
          <w:rFonts w:ascii="仿宋_GB2312" w:hAnsi="宋体" w:eastAsia="仿宋_GB2312"/>
          <w:sz w:val="32"/>
          <w:szCs w:val="32"/>
        </w:rPr>
        <w:t>《福建省自然资源厅关于印发〈福建省土地征收成片开发方案报批实施细则（试行）〉的通知》（闽自然资发〔2021〕3号，下文简称《实施细则》）</w:t>
      </w:r>
      <w:r>
        <w:rPr>
          <w:rFonts w:hint="eastAsia" w:ascii="仿宋_GB2312" w:hAnsi="宋体" w:eastAsia="仿宋_GB2312"/>
          <w:sz w:val="32"/>
          <w:szCs w:val="32"/>
        </w:rPr>
        <w:t>、</w:t>
      </w:r>
      <w:r>
        <w:rPr>
          <w:rFonts w:ascii="仿宋_GB2312" w:hAnsi="宋体" w:eastAsia="仿宋_GB2312"/>
          <w:sz w:val="32"/>
          <w:szCs w:val="32"/>
        </w:rPr>
        <w:t>《福建省土地征收成片开发方案编制参考指南(试行)》（闽自然资发〔2021〕6号）</w:t>
      </w:r>
      <w:r>
        <w:rPr>
          <w:rFonts w:hint="eastAsia" w:ascii="仿宋_GB2312" w:hAnsi="宋体" w:eastAsia="仿宋_GB2312"/>
          <w:sz w:val="32"/>
          <w:szCs w:val="32"/>
        </w:rPr>
        <w:t>、</w:t>
      </w:r>
      <w:r>
        <w:rPr>
          <w:rFonts w:hint="eastAsia" w:ascii="仿宋_GB2312" w:eastAsia="仿宋_GB2312"/>
          <w:sz w:val="32"/>
          <w:szCs w:val="32"/>
        </w:rPr>
        <w:t>《福州长乐营前片区控制性详细规划》（长乐区人民政府办公室文件办理告知单2020JJKJ019号）</w:t>
      </w:r>
      <w:r>
        <w:rPr>
          <w:rFonts w:hint="eastAsia" w:ascii="仿宋_GB2312" w:hAnsi="宋体" w:eastAsia="仿宋_GB2312"/>
          <w:sz w:val="32"/>
          <w:szCs w:val="32"/>
        </w:rPr>
        <w:t>、《福州市长乐区2023年国民经济和社会发展计划执行情况与2024年计划草案的报告》</w:t>
      </w:r>
      <w:r>
        <w:rPr>
          <w:rFonts w:ascii="仿宋_GB2312" w:hAnsi="宋体" w:eastAsia="仿宋_GB2312"/>
          <w:sz w:val="32"/>
          <w:szCs w:val="32"/>
        </w:rPr>
        <w:t>。</w:t>
      </w:r>
    </w:p>
    <w:p>
      <w:pPr>
        <w:pStyle w:val="2"/>
        <w:numPr>
          <w:ilvl w:val="0"/>
          <w:numId w:val="0"/>
        </w:numPr>
        <w:spacing w:line="560" w:lineRule="exact"/>
        <w:ind w:firstLine="640" w:firstLineChars="200"/>
        <w:rPr>
          <w:rFonts w:ascii="黑体" w:hAnsi="黑体" w:eastAsia="黑体"/>
          <w:b w:val="0"/>
          <w:szCs w:val="32"/>
        </w:rPr>
      </w:pPr>
      <w:r>
        <w:rPr>
          <w:rFonts w:hint="eastAsia" w:ascii="黑体" w:hAnsi="黑体" w:eastAsia="黑体"/>
          <w:b w:val="0"/>
          <w:szCs w:val="32"/>
        </w:rPr>
        <w:t>二、基本情况</w:t>
      </w:r>
    </w:p>
    <w:p>
      <w:pPr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本方案东至融信上江城B区东侧，西至福建吴钢集团有限公司，南至地铁6号线以北1</w:t>
      </w:r>
      <w:r>
        <w:rPr>
          <w:rFonts w:ascii="仿宋_GB2312" w:hAnsi="宋体" w:eastAsia="仿宋_GB2312"/>
          <w:sz w:val="32"/>
          <w:szCs w:val="32"/>
        </w:rPr>
        <w:t>00</w:t>
      </w:r>
      <w:r>
        <w:rPr>
          <w:rFonts w:hint="eastAsia" w:ascii="仿宋_GB2312" w:hAnsi="宋体" w:eastAsia="仿宋_GB2312"/>
          <w:sz w:val="32"/>
          <w:szCs w:val="32"/>
        </w:rPr>
        <w:t>米，北至滨江路。片区涉及营前街道岐头社区、营前社区，共1个街道</w:t>
      </w:r>
      <w:r>
        <w:rPr>
          <w:rFonts w:ascii="仿宋_GB2312" w:hAnsi="宋体" w:eastAsia="仿宋_GB2312"/>
          <w:sz w:val="32"/>
          <w:szCs w:val="32"/>
        </w:rPr>
        <w:t>2</w:t>
      </w:r>
      <w:r>
        <w:rPr>
          <w:rFonts w:hint="eastAsia" w:ascii="仿宋_GB2312" w:hAnsi="宋体" w:eastAsia="仿宋_GB2312"/>
          <w:sz w:val="32"/>
          <w:szCs w:val="32"/>
        </w:rPr>
        <w:t>个社区；涉及10个国有单位，不涉及省级和国家级开发区</w:t>
      </w:r>
      <w:r>
        <w:rPr>
          <w:rFonts w:ascii="仿宋_GB2312" w:hAnsi="宋体" w:eastAsia="仿宋_GB2312"/>
          <w:sz w:val="32"/>
          <w:szCs w:val="32"/>
        </w:rPr>
        <w:t>。</w:t>
      </w:r>
    </w:p>
    <w:p>
      <w:pPr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根据实地勘测调查，本方案成片开发范围总面积</w:t>
      </w:r>
      <w:r>
        <w:rPr>
          <w:rFonts w:ascii="仿宋_GB2312" w:hAnsi="宋体" w:eastAsia="仿宋_GB2312"/>
          <w:sz w:val="32"/>
          <w:szCs w:val="32"/>
        </w:rPr>
        <w:t>6.9710</w:t>
      </w:r>
      <w:r>
        <w:rPr>
          <w:rFonts w:hint="eastAsia" w:ascii="仿宋_GB2312" w:hAnsi="宋体" w:eastAsia="仿宋_GB2312"/>
          <w:sz w:val="32"/>
          <w:szCs w:val="32"/>
        </w:rPr>
        <w:t xml:space="preserve"> 公顷，其中集体土地</w:t>
      </w:r>
      <w:r>
        <w:rPr>
          <w:rFonts w:ascii="仿宋_GB2312" w:hAnsi="宋体" w:eastAsia="仿宋_GB2312"/>
          <w:sz w:val="32"/>
          <w:szCs w:val="32"/>
        </w:rPr>
        <w:t>0.9269</w:t>
      </w:r>
      <w:r>
        <w:rPr>
          <w:rFonts w:hint="eastAsia" w:ascii="仿宋_GB2312" w:hAnsi="宋体" w:eastAsia="仿宋_GB2312"/>
          <w:sz w:val="32"/>
          <w:szCs w:val="32"/>
        </w:rPr>
        <w:t>公顷，国有土地</w:t>
      </w:r>
      <w:r>
        <w:rPr>
          <w:rFonts w:ascii="仿宋_GB2312" w:hAnsi="宋体" w:eastAsia="仿宋_GB2312"/>
          <w:sz w:val="32"/>
          <w:szCs w:val="32"/>
        </w:rPr>
        <w:t>6.0441</w:t>
      </w:r>
      <w:r>
        <w:rPr>
          <w:rFonts w:hint="eastAsia" w:ascii="仿宋_GB2312" w:hAnsi="宋体" w:eastAsia="仿宋_GB2312"/>
          <w:sz w:val="32"/>
          <w:szCs w:val="32"/>
        </w:rPr>
        <w:t>公顷；涉及建设用地</w:t>
      </w:r>
      <w:r>
        <w:rPr>
          <w:rFonts w:ascii="仿宋_GB2312" w:hAnsi="宋体" w:eastAsia="仿宋_GB2312"/>
          <w:sz w:val="32"/>
          <w:szCs w:val="32"/>
        </w:rPr>
        <w:t>6.9632</w:t>
      </w:r>
      <w:r>
        <w:rPr>
          <w:rFonts w:hint="eastAsia" w:ascii="仿宋_GB2312" w:hAnsi="宋体" w:eastAsia="仿宋_GB2312"/>
          <w:sz w:val="32"/>
          <w:szCs w:val="32"/>
        </w:rPr>
        <w:t>公顷，未利用地0</w:t>
      </w:r>
      <w:r>
        <w:rPr>
          <w:rFonts w:ascii="仿宋_GB2312" w:hAnsi="宋体" w:eastAsia="仿宋_GB2312"/>
          <w:sz w:val="32"/>
          <w:szCs w:val="32"/>
        </w:rPr>
        <w:t>.0078</w:t>
      </w:r>
      <w:r>
        <w:rPr>
          <w:rFonts w:hint="eastAsia" w:ascii="仿宋_GB2312" w:hAnsi="宋体" w:eastAsia="仿宋_GB2312"/>
          <w:sz w:val="32"/>
          <w:szCs w:val="32"/>
        </w:rPr>
        <w:t>公顷</w:t>
      </w:r>
      <w:r>
        <w:rPr>
          <w:rFonts w:ascii="仿宋_GB2312" w:hAnsi="宋体" w:eastAsia="仿宋_GB2312"/>
          <w:sz w:val="32"/>
          <w:szCs w:val="32"/>
        </w:rPr>
        <w:t>。</w:t>
      </w:r>
    </w:p>
    <w:p>
      <w:pPr>
        <w:pStyle w:val="2"/>
        <w:numPr>
          <w:ilvl w:val="0"/>
          <w:numId w:val="0"/>
        </w:numPr>
        <w:spacing w:line="560" w:lineRule="exact"/>
        <w:ind w:firstLine="640" w:firstLineChars="200"/>
        <w:rPr>
          <w:rFonts w:ascii="黑体" w:hAnsi="黑体" w:eastAsia="黑体"/>
          <w:b w:val="0"/>
          <w:szCs w:val="32"/>
        </w:rPr>
      </w:pPr>
      <w:r>
        <w:rPr>
          <w:rFonts w:ascii="黑体" w:hAnsi="黑体" w:eastAsia="黑体"/>
          <w:b w:val="0"/>
          <w:szCs w:val="32"/>
        </w:rPr>
        <w:t xml:space="preserve"> </w:t>
      </w:r>
      <w:r>
        <w:rPr>
          <w:rFonts w:hint="eastAsia" w:ascii="黑体" w:hAnsi="黑体" w:eastAsia="黑体"/>
          <w:b w:val="0"/>
          <w:szCs w:val="32"/>
        </w:rPr>
        <w:t>三、项目的必要性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片区的建设有利于推动长乐区现代物流产业的健康发展；有利于推动闽江口工业园区产业发展，提升产业竞争力，形成健康、可持续发展的产业集群，促进长乐区经济社会向高质量发展。</w:t>
      </w:r>
    </w:p>
    <w:p>
      <w:pPr>
        <w:pStyle w:val="2"/>
        <w:numPr>
          <w:ilvl w:val="0"/>
          <w:numId w:val="0"/>
        </w:numPr>
        <w:spacing w:line="600" w:lineRule="exact"/>
        <w:ind w:firstLine="640" w:firstLineChars="200"/>
        <w:rPr>
          <w:rFonts w:ascii="黑体" w:hAnsi="黑体" w:eastAsia="黑体"/>
          <w:b w:val="0"/>
          <w:szCs w:val="32"/>
        </w:rPr>
      </w:pPr>
      <w:r>
        <w:rPr>
          <w:rFonts w:hint="eastAsia" w:ascii="黑体" w:hAnsi="黑体" w:eastAsia="黑体"/>
          <w:b w:val="0"/>
          <w:szCs w:val="32"/>
        </w:rPr>
        <w:t>四、规划土地用途分析</w:t>
      </w:r>
    </w:p>
    <w:p>
      <w:p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本方案用地总面积</w:t>
      </w:r>
      <w:r>
        <w:rPr>
          <w:rFonts w:ascii="仿宋_GB2312" w:hAnsi="宋体" w:eastAsia="仿宋_GB2312"/>
          <w:sz w:val="32"/>
          <w:szCs w:val="32"/>
        </w:rPr>
        <w:t>6.9710</w:t>
      </w:r>
      <w:r>
        <w:rPr>
          <w:rFonts w:hint="eastAsia" w:ascii="仿宋_GB2312" w:hAnsi="宋体" w:eastAsia="仿宋_GB2312"/>
          <w:sz w:val="32"/>
          <w:szCs w:val="32"/>
        </w:rPr>
        <w:t>公顷，主要为交通运输用地、居住用地。其中仓储用地0</w:t>
      </w:r>
      <w:r>
        <w:rPr>
          <w:rFonts w:ascii="仿宋_GB2312" w:hAnsi="宋体" w:eastAsia="仿宋_GB2312"/>
          <w:sz w:val="32"/>
          <w:szCs w:val="32"/>
        </w:rPr>
        <w:t>.6839</w:t>
      </w:r>
      <w:r>
        <w:rPr>
          <w:rFonts w:hint="eastAsia" w:ascii="仿宋_GB2312" w:hAnsi="宋体" w:eastAsia="仿宋_GB2312"/>
          <w:sz w:val="32"/>
          <w:szCs w:val="32"/>
        </w:rPr>
        <w:t>公顷，实现物流仓储功能；居住用地2</w:t>
      </w:r>
      <w:r>
        <w:rPr>
          <w:rFonts w:ascii="仿宋_GB2312" w:hAnsi="宋体" w:eastAsia="仿宋_GB2312"/>
          <w:sz w:val="32"/>
          <w:szCs w:val="32"/>
        </w:rPr>
        <w:t>.9019</w:t>
      </w:r>
      <w:r>
        <w:rPr>
          <w:rFonts w:hint="eastAsia" w:ascii="仿宋_GB2312" w:hAnsi="宋体" w:eastAsia="仿宋_GB2312"/>
          <w:sz w:val="32"/>
          <w:szCs w:val="32"/>
        </w:rPr>
        <w:t>公顷，为现状的住宅用地融信上江城B区，实现居住配套功能；交通运输用地3.</w:t>
      </w:r>
      <w:r>
        <w:rPr>
          <w:rFonts w:ascii="仿宋_GB2312" w:hAnsi="宋体" w:eastAsia="仿宋_GB2312"/>
          <w:sz w:val="32"/>
          <w:szCs w:val="32"/>
        </w:rPr>
        <w:t>1673</w:t>
      </w:r>
      <w:r>
        <w:rPr>
          <w:rFonts w:hint="eastAsia" w:ascii="仿宋_GB2312" w:hAnsi="宋体" w:eastAsia="仿宋_GB2312"/>
          <w:sz w:val="32"/>
          <w:szCs w:val="32"/>
        </w:rPr>
        <w:t>公顷，为现状的工商路、新街路，实现疏散分流周边交通、提高出行可达性和交通效率的功能；绿地与开敞空间用地</w:t>
      </w:r>
      <w:r>
        <w:rPr>
          <w:rFonts w:ascii="仿宋_GB2312" w:hAnsi="宋体" w:eastAsia="仿宋_GB2312"/>
          <w:sz w:val="32"/>
          <w:szCs w:val="32"/>
        </w:rPr>
        <w:t>0.2179</w:t>
      </w:r>
      <w:r>
        <w:rPr>
          <w:rFonts w:hint="eastAsia" w:ascii="仿宋_GB2312" w:hAnsi="宋体" w:eastAsia="仿宋_GB2312"/>
          <w:sz w:val="32"/>
          <w:szCs w:val="32"/>
        </w:rPr>
        <w:t>公顷，实现隔离、安全防护、公共空间游憩美化功能。</w:t>
      </w:r>
    </w:p>
    <w:p>
      <w:pPr>
        <w:pStyle w:val="2"/>
        <w:numPr>
          <w:ilvl w:val="0"/>
          <w:numId w:val="0"/>
        </w:numPr>
        <w:spacing w:line="600" w:lineRule="exact"/>
        <w:ind w:firstLine="640" w:firstLineChars="200"/>
        <w:rPr>
          <w:rFonts w:ascii="黑体" w:hAnsi="黑体" w:eastAsia="黑体"/>
          <w:b w:val="0"/>
          <w:szCs w:val="32"/>
        </w:rPr>
      </w:pPr>
      <w:r>
        <w:rPr>
          <w:rFonts w:hint="eastAsia" w:ascii="黑体" w:hAnsi="黑体" w:eastAsia="黑体"/>
          <w:b w:val="0"/>
          <w:szCs w:val="32"/>
        </w:rPr>
        <w:t>五、公益性用地</w:t>
      </w:r>
      <w:r>
        <w:rPr>
          <w:rFonts w:ascii="黑体" w:hAnsi="黑体" w:eastAsia="黑体"/>
          <w:b w:val="0"/>
          <w:szCs w:val="32"/>
        </w:rPr>
        <w:t>情况</w:t>
      </w:r>
    </w:p>
    <w:p>
      <w:p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公益性用地包含交通运输用地、绿地与开敞空间用地，合计</w:t>
      </w:r>
      <w:r>
        <w:rPr>
          <w:rFonts w:ascii="仿宋_GB2312" w:hAnsi="宋体" w:eastAsia="仿宋_GB2312"/>
          <w:sz w:val="32"/>
          <w:szCs w:val="32"/>
        </w:rPr>
        <w:t>3.3852</w:t>
      </w:r>
      <w:r>
        <w:rPr>
          <w:rFonts w:hint="eastAsia" w:ascii="仿宋_GB2312" w:hAnsi="宋体" w:eastAsia="仿宋_GB2312"/>
          <w:sz w:val="32"/>
          <w:szCs w:val="32"/>
        </w:rPr>
        <w:t>公顷，占用地总面积的</w:t>
      </w:r>
      <w:r>
        <w:rPr>
          <w:rFonts w:ascii="仿宋_GB2312" w:hAnsi="宋体" w:eastAsia="仿宋_GB2312"/>
          <w:sz w:val="32"/>
          <w:szCs w:val="32"/>
        </w:rPr>
        <w:t>48.56</w:t>
      </w:r>
      <w:r>
        <w:rPr>
          <w:rFonts w:hint="eastAsia" w:ascii="仿宋_GB2312" w:hAnsi="宋体" w:eastAsia="仿宋_GB2312"/>
          <w:sz w:val="32"/>
          <w:szCs w:val="32"/>
        </w:rPr>
        <w:t>%，符合自然资规〔2023〕7号文规定</w:t>
      </w:r>
      <w:r>
        <w:rPr>
          <w:rFonts w:ascii="仿宋_GB2312" w:hAnsi="宋体" w:eastAsia="仿宋_GB2312"/>
          <w:sz w:val="32"/>
          <w:szCs w:val="32"/>
        </w:rPr>
        <w:t>。</w:t>
      </w:r>
    </w:p>
    <w:p>
      <w:pPr>
        <w:pStyle w:val="2"/>
        <w:numPr>
          <w:ilvl w:val="0"/>
          <w:numId w:val="0"/>
        </w:numPr>
        <w:spacing w:line="600" w:lineRule="exact"/>
        <w:ind w:firstLine="640" w:firstLineChars="200"/>
        <w:rPr>
          <w:rFonts w:ascii="黑体" w:hAnsi="黑体" w:eastAsia="黑体"/>
          <w:b w:val="0"/>
          <w:szCs w:val="32"/>
        </w:rPr>
      </w:pPr>
      <w:r>
        <w:rPr>
          <w:rFonts w:hint="eastAsia" w:ascii="黑体" w:hAnsi="黑体" w:eastAsia="黑体"/>
          <w:b w:val="0"/>
          <w:szCs w:val="32"/>
        </w:rPr>
        <w:t>六</w:t>
      </w:r>
      <w:r>
        <w:rPr>
          <w:rFonts w:ascii="黑体" w:hAnsi="黑体" w:eastAsia="黑体"/>
          <w:b w:val="0"/>
          <w:szCs w:val="32"/>
        </w:rPr>
        <w:t>、规划符合情况</w:t>
      </w:r>
    </w:p>
    <w:p>
      <w:p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本方案符合</w:t>
      </w:r>
      <w:r>
        <w:rPr>
          <w:rFonts w:hint="eastAsia" w:ascii="仿宋_GB2312" w:hAnsi="宋体" w:eastAsia="仿宋_GB2312"/>
          <w:sz w:val="32"/>
          <w:szCs w:val="32"/>
        </w:rPr>
        <w:t>福州市长乐区</w:t>
      </w:r>
      <w:r>
        <w:rPr>
          <w:rFonts w:ascii="仿宋_GB2312" w:hAnsi="宋体" w:eastAsia="仿宋_GB2312"/>
          <w:sz w:val="32"/>
          <w:szCs w:val="32"/>
        </w:rPr>
        <w:t>国民经济和社会发展规划，已纳入</w:t>
      </w:r>
      <w:r>
        <w:rPr>
          <w:rFonts w:hint="eastAsia" w:ascii="仿宋_GB2312" w:hAnsi="宋体" w:eastAsia="仿宋_GB2312"/>
          <w:sz w:val="32"/>
          <w:szCs w:val="32"/>
        </w:rPr>
        <w:t>福州市长乐区2024年度</w:t>
      </w:r>
      <w:r>
        <w:rPr>
          <w:rFonts w:ascii="仿宋_GB2312" w:hAnsi="宋体" w:eastAsia="仿宋_GB2312"/>
          <w:sz w:val="32"/>
          <w:szCs w:val="32"/>
        </w:rPr>
        <w:t>国民经济和社会发展年度计划。</w:t>
      </w:r>
      <w:r>
        <w:rPr>
          <w:rFonts w:hint="eastAsia" w:ascii="仿宋_GB2312" w:hAnsi="宋体" w:eastAsia="仿宋_GB2312"/>
          <w:sz w:val="32"/>
          <w:szCs w:val="32"/>
        </w:rPr>
        <w:t>位于城镇开发边界的集中建设区内，已纳入正在编制规划期至2035年的国土空间规划及“一张图”，并符合规划管控要求。</w:t>
      </w:r>
    </w:p>
    <w:p>
      <w:pPr>
        <w:pStyle w:val="2"/>
        <w:numPr>
          <w:ilvl w:val="0"/>
          <w:numId w:val="0"/>
        </w:numPr>
        <w:spacing w:line="600" w:lineRule="exact"/>
        <w:ind w:firstLine="640" w:firstLineChars="200"/>
        <w:rPr>
          <w:rFonts w:ascii="黑体" w:hAnsi="黑体" w:eastAsia="黑体"/>
          <w:b w:val="0"/>
          <w:szCs w:val="32"/>
        </w:rPr>
      </w:pPr>
      <w:r>
        <w:rPr>
          <w:rFonts w:hint="eastAsia" w:ascii="黑体" w:hAnsi="黑体" w:eastAsia="黑体"/>
          <w:b w:val="0"/>
          <w:szCs w:val="32"/>
        </w:rPr>
        <w:t>七</w:t>
      </w:r>
      <w:r>
        <w:rPr>
          <w:rFonts w:ascii="黑体" w:hAnsi="黑体" w:eastAsia="黑体"/>
          <w:b w:val="0"/>
          <w:szCs w:val="32"/>
        </w:rPr>
        <w:t>、</w:t>
      </w:r>
      <w:r>
        <w:rPr>
          <w:rFonts w:hint="eastAsia" w:ascii="黑体" w:hAnsi="黑体" w:eastAsia="黑体"/>
          <w:b w:val="0"/>
          <w:szCs w:val="32"/>
        </w:rPr>
        <w:t>永久基本农田及生态保护情况</w:t>
      </w:r>
    </w:p>
    <w:p>
      <w:p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成片开发范围内不涉及永久基本农田、陆域生态保护红线等，不涉及历史文化名城、名镇、名村及传统村落，不涉及各级文物保护单位、不可移动文物登记点及已公布历史建筑。符合成片开发项目送审报批的要求。</w:t>
      </w:r>
    </w:p>
    <w:p>
      <w:pPr>
        <w:pStyle w:val="2"/>
        <w:numPr>
          <w:ilvl w:val="0"/>
          <w:numId w:val="0"/>
        </w:numPr>
        <w:spacing w:line="600" w:lineRule="exact"/>
        <w:ind w:firstLine="640" w:firstLineChars="200"/>
        <w:rPr>
          <w:rFonts w:ascii="黑体" w:hAnsi="黑体" w:eastAsia="黑体"/>
          <w:b w:val="0"/>
          <w:szCs w:val="32"/>
        </w:rPr>
      </w:pPr>
      <w:r>
        <w:rPr>
          <w:rFonts w:hint="eastAsia" w:ascii="黑体" w:hAnsi="黑体" w:eastAsia="黑体"/>
          <w:b w:val="0"/>
          <w:szCs w:val="32"/>
        </w:rPr>
        <w:t>八</w:t>
      </w:r>
      <w:r>
        <w:rPr>
          <w:rFonts w:ascii="黑体" w:hAnsi="黑体" w:eastAsia="黑体"/>
          <w:b w:val="0"/>
          <w:szCs w:val="32"/>
        </w:rPr>
        <w:t>、</w:t>
      </w:r>
      <w:r>
        <w:rPr>
          <w:rFonts w:hint="eastAsia" w:ascii="黑体" w:hAnsi="黑体" w:eastAsia="黑体"/>
          <w:b w:val="0"/>
          <w:szCs w:val="32"/>
        </w:rPr>
        <w:t>实施计划</w:t>
      </w:r>
    </w:p>
    <w:p>
      <w:p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本方案用地总面积</w:t>
      </w:r>
      <w:r>
        <w:rPr>
          <w:rFonts w:ascii="仿宋_GB2312" w:eastAsia="仿宋_GB2312" w:cs="Arial"/>
          <w:color w:val="222222"/>
          <w:sz w:val="32"/>
          <w:szCs w:val="32"/>
          <w:shd w:val="clear" w:color="auto" w:fill="FFFFFF"/>
        </w:rPr>
        <w:t>6.9710</w:t>
      </w:r>
      <w:r>
        <w:rPr>
          <w:rFonts w:hint="eastAsia" w:ascii="仿宋_GB2312" w:eastAsia="仿宋_GB2312" w:cs="Arial"/>
          <w:color w:val="222222"/>
          <w:sz w:val="32"/>
          <w:szCs w:val="32"/>
          <w:shd w:val="clear" w:color="auto" w:fill="FFFFFF"/>
        </w:rPr>
        <w:t>公顷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eastAsia="仿宋_GB2312" w:cs="Arial"/>
          <w:color w:val="222222"/>
          <w:sz w:val="32"/>
          <w:szCs w:val="32"/>
          <w:shd w:val="clear" w:color="auto" w:fill="FFFFFF"/>
        </w:rPr>
        <w:t>其中涉及已完成实施面积</w:t>
      </w:r>
      <w:r>
        <w:rPr>
          <w:rFonts w:ascii="仿宋_GB2312" w:eastAsia="仿宋_GB2312" w:cs="Arial"/>
          <w:color w:val="222222"/>
          <w:sz w:val="32"/>
          <w:szCs w:val="32"/>
          <w:shd w:val="clear" w:color="auto" w:fill="FFFFFF"/>
        </w:rPr>
        <w:t>6.0441</w:t>
      </w:r>
      <w:r>
        <w:rPr>
          <w:rFonts w:hint="eastAsia" w:ascii="仿宋_GB2312" w:eastAsia="仿宋_GB2312" w:cs="Arial"/>
          <w:color w:val="222222"/>
          <w:sz w:val="32"/>
          <w:szCs w:val="32"/>
          <w:shd w:val="clear" w:color="auto" w:fill="FFFFFF"/>
        </w:rPr>
        <w:t>公顷，城镇村道路用地0</w:t>
      </w:r>
      <w:r>
        <w:rPr>
          <w:rFonts w:ascii="仿宋_GB2312" w:eastAsia="仿宋_GB2312" w:cs="Arial"/>
          <w:color w:val="222222"/>
          <w:sz w:val="32"/>
          <w:szCs w:val="32"/>
          <w:shd w:val="clear" w:color="auto" w:fill="FFFFFF"/>
        </w:rPr>
        <w:t>.0335</w:t>
      </w:r>
      <w:r>
        <w:rPr>
          <w:rFonts w:hint="eastAsia" w:ascii="仿宋_GB2312" w:eastAsia="仿宋_GB2312" w:cs="Arial"/>
          <w:color w:val="222222"/>
          <w:sz w:val="32"/>
          <w:szCs w:val="32"/>
          <w:shd w:val="clear" w:color="auto" w:fill="FFFFFF"/>
        </w:rPr>
        <w:t>公顷为现状道路</w:t>
      </w:r>
      <w:r>
        <w:rPr>
          <w:rFonts w:hint="eastAsia" w:ascii="仿宋_GB2312" w:eastAsia="仿宋_GB2312" w:cs="Arial"/>
          <w:color w:val="222222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仿宋_GB2312" w:hAnsi="宋体" w:eastAsia="仿宋_GB2312"/>
          <w:sz w:val="32"/>
          <w:szCs w:val="32"/>
        </w:rPr>
        <w:t>绿地与开敞空间用地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0.2125</w:t>
      </w:r>
      <w:r>
        <w:rPr>
          <w:rFonts w:hint="eastAsia" w:ascii="仿宋_GB2312" w:hAnsi="宋体" w:eastAsia="仿宋_GB2312"/>
          <w:sz w:val="32"/>
          <w:szCs w:val="32"/>
        </w:rPr>
        <w:t>公顷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为现状绿地</w:t>
      </w:r>
      <w:r>
        <w:rPr>
          <w:rFonts w:hint="eastAsia" w:ascii="仿宋_GB2312" w:eastAsia="仿宋_GB2312" w:cs="Arial"/>
          <w:color w:val="222222"/>
          <w:sz w:val="32"/>
          <w:szCs w:val="32"/>
          <w:shd w:val="clear" w:color="auto" w:fill="FFFFFF"/>
        </w:rPr>
        <w:t>，不实施，故拟安排实施项目面积</w:t>
      </w:r>
      <w:r>
        <w:rPr>
          <w:rFonts w:hint="eastAsia" w:ascii="仿宋_GB2312" w:eastAsia="仿宋_GB2312" w:cs="Arial"/>
          <w:color w:val="222222"/>
          <w:sz w:val="32"/>
          <w:szCs w:val="32"/>
          <w:shd w:val="clear" w:color="auto" w:fill="FFFFFF"/>
          <w:lang w:val="en-US" w:eastAsia="zh-CN"/>
        </w:rPr>
        <w:t>0.6809</w:t>
      </w:r>
      <w:r>
        <w:rPr>
          <w:rFonts w:hint="eastAsia" w:ascii="仿宋_GB2312" w:eastAsia="仿宋_GB2312" w:cs="Arial"/>
          <w:color w:val="222222"/>
          <w:sz w:val="32"/>
          <w:szCs w:val="32"/>
          <w:shd w:val="clear" w:color="auto" w:fill="FFFFFF"/>
        </w:rPr>
        <w:t>公顷，计划实施周期为批复后第一年至第二年，</w:t>
      </w:r>
      <w:r>
        <w:rPr>
          <w:rFonts w:ascii="仿宋_GB2312" w:eastAsia="仿宋_GB2312" w:cs="Arial"/>
          <w:color w:val="222222"/>
          <w:sz w:val="32"/>
          <w:szCs w:val="32"/>
          <w:shd w:val="clear" w:color="auto" w:fill="FFFFFF"/>
        </w:rPr>
        <w:t>2</w:t>
      </w:r>
      <w:r>
        <w:rPr>
          <w:rFonts w:hint="eastAsia" w:ascii="仿宋_GB2312" w:eastAsia="仿宋_GB2312" w:cs="Arial"/>
          <w:color w:val="222222"/>
          <w:sz w:val="32"/>
          <w:szCs w:val="32"/>
          <w:shd w:val="clear" w:color="auto" w:fill="FFFFFF"/>
        </w:rPr>
        <w:t>年内实施完毕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bookmarkStart w:id="0" w:name="_GoBack"/>
      <w:bookmarkEnd w:id="0"/>
    </w:p>
    <w:p>
      <w:pPr>
        <w:pStyle w:val="2"/>
        <w:numPr>
          <w:ilvl w:val="0"/>
          <w:numId w:val="0"/>
        </w:numPr>
        <w:spacing w:line="600" w:lineRule="exact"/>
        <w:ind w:firstLine="640" w:firstLineChars="200"/>
        <w:rPr>
          <w:rFonts w:ascii="黑体" w:hAnsi="黑体" w:eastAsia="黑体"/>
          <w:b w:val="0"/>
          <w:szCs w:val="32"/>
        </w:rPr>
      </w:pPr>
      <w:r>
        <w:rPr>
          <w:rFonts w:hint="eastAsia" w:ascii="黑体" w:hAnsi="黑体" w:eastAsia="黑体"/>
          <w:b w:val="0"/>
          <w:szCs w:val="32"/>
        </w:rPr>
        <w:t>九、效益评估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（一）土地利用效益：项目建设严格遵循《福州长乐营前片区控制性详细规划》（长乐区人民政府办公室文件办理告知单2020JJKJ019号）、《长乐新区控规</w:t>
      </w:r>
      <w:r>
        <w:rPr>
          <w:rFonts w:ascii="仿宋_GB2312" w:hAnsi="仿宋_GB2312" w:eastAsia="仿宋_GB2312" w:cs="仿宋_GB2312"/>
          <w:sz w:val="32"/>
          <w:szCs w:val="32"/>
        </w:rPr>
        <w:t xml:space="preserve"> A-03-01 地块及周边地块规划调整》</w:t>
      </w:r>
      <w:r>
        <w:rPr>
          <w:rFonts w:hint="eastAsia" w:ascii="仿宋_GB2312" w:hAnsi="仿宋_GB2312" w:eastAsia="仿宋_GB2312" w:cs="仿宋_GB2312"/>
          <w:sz w:val="32"/>
          <w:szCs w:val="32"/>
        </w:rPr>
        <w:t>要求，优化土地利用空间格局，提高现有用地使用效益。</w:t>
      </w:r>
    </w:p>
    <w:p>
      <w:pPr>
        <w:spacing w:line="600" w:lineRule="exact"/>
        <w:ind w:firstLine="640" w:firstLineChars="200"/>
        <w:rPr>
          <w:rFonts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经济效益：本方案拟建设闽江口工业区物流仓储用地，用于满足闽江口工业区产品存储、加工、分拣、配送和运输物流货物的需求，提高企业物流效率，降低企业物流成本，提高企业物流服务水平，增强企业竞争力。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（三）社会效益：本方案拟建设闽江口工业区物流仓储用地，物流仓储项目的建设可以提供一定的就业岗位</w:t>
      </w:r>
      <w:r>
        <w:rPr>
          <w:rFonts w:ascii="仿宋_GB2312" w:hAnsi="仿宋_GB2312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（四）生态效益：通过有效的管控，片区的建设对区域所在生态环境、水环境、大气环境、土壤环境影响较小。</w:t>
      </w:r>
    </w:p>
    <w:p>
      <w:pPr>
        <w:pStyle w:val="2"/>
        <w:numPr>
          <w:ilvl w:val="0"/>
          <w:numId w:val="0"/>
        </w:numPr>
        <w:spacing w:line="600" w:lineRule="exact"/>
        <w:ind w:firstLine="640" w:firstLineChars="200"/>
        <w:rPr>
          <w:rFonts w:ascii="黑体" w:hAnsi="黑体" w:eastAsia="黑体"/>
          <w:b w:val="0"/>
          <w:szCs w:val="32"/>
        </w:rPr>
      </w:pPr>
      <w:r>
        <w:rPr>
          <w:rFonts w:hint="eastAsia" w:ascii="黑体" w:hAnsi="黑体" w:eastAsia="黑体"/>
          <w:b w:val="0"/>
          <w:szCs w:val="32"/>
        </w:rPr>
        <w:t>十、结论</w:t>
      </w:r>
    </w:p>
    <w:p>
      <w:pPr>
        <w:spacing w:line="600" w:lineRule="exact"/>
        <w:ind w:firstLine="640" w:firstLineChars="200"/>
        <w:rPr>
          <w:rFonts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《营前街道滨江路西侧片区土地征收成片开发方案》符合土地征收成片开发的标准。</w:t>
      </w:r>
    </w:p>
    <w:p>
      <w:pPr>
        <w:widowControl/>
        <w:spacing w:line="560" w:lineRule="exact"/>
        <w:jc w:val="left"/>
        <w:rPr>
          <w:rFonts w:ascii="仿宋_GB2312" w:hAnsi="宋体" w:eastAsia="仿宋_GB2312"/>
          <w:bCs/>
          <w:sz w:val="32"/>
          <w:szCs w:val="32"/>
        </w:rPr>
        <w:sectPr>
          <w:footerReference r:id="rId3" w:type="default"/>
          <w:pgSz w:w="11906" w:h="16838"/>
          <w:pgMar w:top="1984" w:right="1474" w:bottom="1871" w:left="1587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ascii="仿宋_GB2312" w:hAnsi="宋体" w:eastAsia="仿宋_GB2312"/>
          <w:bCs/>
          <w:sz w:val="32"/>
          <w:szCs w:val="32"/>
        </w:rPr>
        <w:br w:type="page"/>
      </w:r>
    </w:p>
    <w:p>
      <w:pPr>
        <w:widowControl/>
        <w:spacing w:line="560" w:lineRule="exact"/>
        <w:jc w:val="left"/>
        <w:rPr>
          <w:rFonts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附图：</w:t>
      </w:r>
      <w:r>
        <w:rPr>
          <w:rFonts w:hint="eastAsia" w:ascii="仿宋_GB2312" w:hAnsi="宋体" w:eastAsia="仿宋_GB2312"/>
          <w:bCs/>
          <w:sz w:val="32"/>
          <w:szCs w:val="32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hint="eastAsia" w:ascii="仿宋_GB2312" w:hAnsi="宋体" w:eastAsia="仿宋_GB2312"/>
          <w:bCs/>
          <w:sz w:val="32"/>
          <w:szCs w:val="32"/>
        </w:rPr>
        <w:instrText xml:space="preserve">ADDIN CNKISM.UserStyle</w:instrText>
      </w:r>
      <w:r>
        <w:rPr>
          <w:rFonts w:hint="eastAsia" w:ascii="仿宋_GB2312" w:hAnsi="宋体" w:eastAsia="仿宋_GB2312"/>
          <w:bCs/>
          <w:sz w:val="32"/>
          <w:szCs w:val="32"/>
        </w:rPr>
        <w:fldChar w:fldCharType="end"/>
      </w:r>
      <w:r>
        <w:rPr>
          <w:rFonts w:hint="eastAsia" w:ascii="仿宋_GB2312" w:hAnsi="宋体" w:eastAsia="仿宋_GB2312"/>
          <w:bCs/>
          <w:sz w:val="32"/>
          <w:szCs w:val="32"/>
        </w:rPr>
        <w:t>成片开发位置示意图</w:t>
      </w:r>
    </w:p>
    <w:p>
      <w:pPr>
        <w:widowControl/>
        <w:spacing w:line="560" w:lineRule="exact"/>
        <w:jc w:val="left"/>
        <w:rPr>
          <w:rFonts w:ascii="仿宋_GB2312" w:hAnsi="宋体" w:eastAsia="仿宋_GB2312"/>
          <w:bCs/>
          <w:sz w:val="32"/>
          <w:szCs w:val="32"/>
        </w:rPr>
      </w:pPr>
      <w:r>
        <w:rPr>
          <w:rFonts w:ascii="仿宋_GB2312" w:hAnsi="宋体" w:eastAsia="仿宋_GB2312"/>
          <w:bCs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712470</wp:posOffset>
            </wp:positionH>
            <wp:positionV relativeFrom="paragraph">
              <wp:posOffset>69215</wp:posOffset>
            </wp:positionV>
            <wp:extent cx="6622415" cy="4683760"/>
            <wp:effectExtent l="0" t="0" r="6985" b="2540"/>
            <wp:wrapNone/>
            <wp:docPr id="3" name="图片 3" descr="C:\Users\Administrator\Pictures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Pictures\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22492" cy="468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6838" w:h="11906" w:orient="landscape"/>
      <w:pgMar w:top="1587" w:right="1984" w:bottom="1474" w:left="187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ABF5C9C4-7DFF-4AF5-B63A-4B95D2B0EFD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E942FF8-9712-485D-8083-1F1B9FFF526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  <w:embedRegular r:id="rId3" w:fontKey="{D8930444-19C8-4469-B115-55E32CF124A0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D7DFDD03-2229-48EF-8330-80460D5E07E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179B9B8E-E70D-4934-B4F2-06944E412BDB}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d w:val="58834674"/>
                          </w:sdtPr>
                          <w:sdtEndP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sdtEndPr>
                          <w:sdtContent>
                            <w:p>
                              <w:pPr>
                                <w:pStyle w:val="5"/>
                                <w:jc w:val="center"/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仿宋_GB2312" w:hAnsi="仿宋_GB2312" w:eastAsia="仿宋_GB2312" w:cs="仿宋_GB2312"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="仿宋_GB2312" w:hAnsi="仿宋_GB2312" w:eastAsia="仿宋_GB2312" w:cs="仿宋_GB2312"/>
                                  <w:sz w:val="28"/>
                                  <w:szCs w:val="28"/>
                                </w:rPr>
                                <w:t xml:space="preserve"> 5 -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d w:val="58834674"/>
                    </w:sdtPr>
                    <w:sdtEndP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sdtEndPr>
                    <w:sdtContent>
                      <w:p>
                        <w:pPr>
                          <w:pStyle w:val="5"/>
                          <w:jc w:val="center"/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="仿宋_GB2312" w:hAnsi="仿宋_GB2312" w:eastAsia="仿宋_GB2312" w:cs="仿宋_GB2312"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="仿宋_GB2312" w:hAnsi="仿宋_GB2312" w:eastAsia="仿宋_GB2312" w:cs="仿宋_GB2312"/>
                            <w:sz w:val="28"/>
                            <w:szCs w:val="28"/>
                          </w:rPr>
                          <w:t xml:space="preserve"> 5 -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  <w:p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3563CF"/>
    <w:multiLevelType w:val="multilevel"/>
    <w:tmpl w:val="5A3563CF"/>
    <w:lvl w:ilvl="0" w:tentative="0">
      <w:start w:val="1"/>
      <w:numFmt w:val="chineseCountingThousand"/>
      <w:pStyle w:val="2"/>
      <w:lvlText w:val="%1、"/>
      <w:lvlJc w:val="left"/>
      <w:pPr>
        <w:ind w:left="420" w:hanging="420"/>
      </w:pPr>
    </w:lvl>
    <w:lvl w:ilvl="1" w:tentative="0">
      <w:start w:val="1"/>
      <w:numFmt w:val="chineseCountingThousand"/>
      <w:lvlText w:val="(%2)"/>
      <w:lvlJc w:val="left"/>
      <w:pPr>
        <w:ind w:left="1500" w:hanging="1080"/>
      </w:pPr>
      <w:rPr>
        <w:rFonts w:hint="default"/>
      </w:rPr>
    </w:lvl>
    <w:lvl w:ilvl="2" w:tentative="0">
      <w:start w:val="1"/>
      <w:numFmt w:val="decimal"/>
      <w:lvlText w:val="（%3）"/>
      <w:lvlJc w:val="left"/>
      <w:pPr>
        <w:ind w:left="1590" w:hanging="750"/>
      </w:pPr>
      <w:rPr>
        <w:rFonts w:ascii="宋体" w:hAnsi="宋体" w:eastAsia="宋体" w:cstheme="minorBidi"/>
      </w:r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hiMGI2ODA0NDk2YzIyNWY1N2JiZmRkMWM1MWUyNGEifQ=="/>
  </w:docVars>
  <w:rsids>
    <w:rsidRoot w:val="008206CE"/>
    <w:rsid w:val="0001648C"/>
    <w:rsid w:val="0007126E"/>
    <w:rsid w:val="00092A71"/>
    <w:rsid w:val="000D625A"/>
    <w:rsid w:val="000E1D34"/>
    <w:rsid w:val="001003E4"/>
    <w:rsid w:val="001124C3"/>
    <w:rsid w:val="0017500E"/>
    <w:rsid w:val="00185ADC"/>
    <w:rsid w:val="00192A04"/>
    <w:rsid w:val="001B343A"/>
    <w:rsid w:val="001B3812"/>
    <w:rsid w:val="001E3A33"/>
    <w:rsid w:val="00203CA3"/>
    <w:rsid w:val="00205DAA"/>
    <w:rsid w:val="00281003"/>
    <w:rsid w:val="002900E7"/>
    <w:rsid w:val="002B2A77"/>
    <w:rsid w:val="002C118E"/>
    <w:rsid w:val="002D182C"/>
    <w:rsid w:val="002D63E5"/>
    <w:rsid w:val="002D695C"/>
    <w:rsid w:val="00324166"/>
    <w:rsid w:val="00362ECF"/>
    <w:rsid w:val="00362F0D"/>
    <w:rsid w:val="0039709A"/>
    <w:rsid w:val="003C013F"/>
    <w:rsid w:val="003C1698"/>
    <w:rsid w:val="003D5CCE"/>
    <w:rsid w:val="003D6A6A"/>
    <w:rsid w:val="003F2701"/>
    <w:rsid w:val="00403C96"/>
    <w:rsid w:val="004115CE"/>
    <w:rsid w:val="004222B9"/>
    <w:rsid w:val="00454B1C"/>
    <w:rsid w:val="0045559D"/>
    <w:rsid w:val="0047022B"/>
    <w:rsid w:val="00483624"/>
    <w:rsid w:val="00485A52"/>
    <w:rsid w:val="004B3819"/>
    <w:rsid w:val="004C3CEC"/>
    <w:rsid w:val="004E52D9"/>
    <w:rsid w:val="004F732D"/>
    <w:rsid w:val="004F7B5C"/>
    <w:rsid w:val="00592D1D"/>
    <w:rsid w:val="005A5028"/>
    <w:rsid w:val="005B29D3"/>
    <w:rsid w:val="005C46A5"/>
    <w:rsid w:val="005F2900"/>
    <w:rsid w:val="0062343E"/>
    <w:rsid w:val="00693057"/>
    <w:rsid w:val="006A1E58"/>
    <w:rsid w:val="006C2E13"/>
    <w:rsid w:val="006E058D"/>
    <w:rsid w:val="006E54EA"/>
    <w:rsid w:val="00734E87"/>
    <w:rsid w:val="00741F64"/>
    <w:rsid w:val="007B08E7"/>
    <w:rsid w:val="007C1789"/>
    <w:rsid w:val="007C664D"/>
    <w:rsid w:val="007E0469"/>
    <w:rsid w:val="007E5E8F"/>
    <w:rsid w:val="007F5F66"/>
    <w:rsid w:val="0080566A"/>
    <w:rsid w:val="0081107F"/>
    <w:rsid w:val="008206CE"/>
    <w:rsid w:val="00837B0E"/>
    <w:rsid w:val="00840B86"/>
    <w:rsid w:val="00854B1E"/>
    <w:rsid w:val="00875513"/>
    <w:rsid w:val="0087613A"/>
    <w:rsid w:val="00876F89"/>
    <w:rsid w:val="008B2064"/>
    <w:rsid w:val="008C2457"/>
    <w:rsid w:val="008D15AD"/>
    <w:rsid w:val="008D681F"/>
    <w:rsid w:val="008E4700"/>
    <w:rsid w:val="0090327B"/>
    <w:rsid w:val="00966CDC"/>
    <w:rsid w:val="00980643"/>
    <w:rsid w:val="00993086"/>
    <w:rsid w:val="009B153D"/>
    <w:rsid w:val="009B4C4F"/>
    <w:rsid w:val="009E7626"/>
    <w:rsid w:val="00A15E5C"/>
    <w:rsid w:val="00A3488C"/>
    <w:rsid w:val="00A70559"/>
    <w:rsid w:val="00AA3880"/>
    <w:rsid w:val="00AA6605"/>
    <w:rsid w:val="00AB0671"/>
    <w:rsid w:val="00AC134A"/>
    <w:rsid w:val="00AE562E"/>
    <w:rsid w:val="00B35D53"/>
    <w:rsid w:val="00B37B2B"/>
    <w:rsid w:val="00B40891"/>
    <w:rsid w:val="00B44426"/>
    <w:rsid w:val="00B4767A"/>
    <w:rsid w:val="00BC26AC"/>
    <w:rsid w:val="00BC391E"/>
    <w:rsid w:val="00BD514B"/>
    <w:rsid w:val="00BE3644"/>
    <w:rsid w:val="00C153D0"/>
    <w:rsid w:val="00C220EA"/>
    <w:rsid w:val="00C24E90"/>
    <w:rsid w:val="00C61256"/>
    <w:rsid w:val="00C8022C"/>
    <w:rsid w:val="00C91473"/>
    <w:rsid w:val="00C968E3"/>
    <w:rsid w:val="00CC6411"/>
    <w:rsid w:val="00CD02E1"/>
    <w:rsid w:val="00CF55B1"/>
    <w:rsid w:val="00D32A4E"/>
    <w:rsid w:val="00D42F39"/>
    <w:rsid w:val="00D83EC3"/>
    <w:rsid w:val="00D87007"/>
    <w:rsid w:val="00D936B6"/>
    <w:rsid w:val="00DA1BA1"/>
    <w:rsid w:val="00DC7F6D"/>
    <w:rsid w:val="00E01AF7"/>
    <w:rsid w:val="00E64310"/>
    <w:rsid w:val="00E814F1"/>
    <w:rsid w:val="00E95CDA"/>
    <w:rsid w:val="00EA4C8A"/>
    <w:rsid w:val="00EA51D6"/>
    <w:rsid w:val="00EA7E2C"/>
    <w:rsid w:val="00EB0C74"/>
    <w:rsid w:val="00F14B00"/>
    <w:rsid w:val="00F57216"/>
    <w:rsid w:val="00F5776A"/>
    <w:rsid w:val="00F72FDB"/>
    <w:rsid w:val="00F744E6"/>
    <w:rsid w:val="00F76A8F"/>
    <w:rsid w:val="00F86FAC"/>
    <w:rsid w:val="00FB42D5"/>
    <w:rsid w:val="00FE4166"/>
    <w:rsid w:val="013D72DA"/>
    <w:rsid w:val="03F71FF4"/>
    <w:rsid w:val="055C30DB"/>
    <w:rsid w:val="06267F37"/>
    <w:rsid w:val="06E447B4"/>
    <w:rsid w:val="08091E3E"/>
    <w:rsid w:val="08D40E5E"/>
    <w:rsid w:val="0903562B"/>
    <w:rsid w:val="09CF6490"/>
    <w:rsid w:val="09F83B1B"/>
    <w:rsid w:val="0A9D62A2"/>
    <w:rsid w:val="0C9634DB"/>
    <w:rsid w:val="0D0E136C"/>
    <w:rsid w:val="0DCB24AA"/>
    <w:rsid w:val="0F53554E"/>
    <w:rsid w:val="0FC45556"/>
    <w:rsid w:val="128946D9"/>
    <w:rsid w:val="13470C11"/>
    <w:rsid w:val="157E3EF9"/>
    <w:rsid w:val="17116C5C"/>
    <w:rsid w:val="171E05BA"/>
    <w:rsid w:val="171E28E6"/>
    <w:rsid w:val="18BA49DA"/>
    <w:rsid w:val="1C0A5EC2"/>
    <w:rsid w:val="1CF46698"/>
    <w:rsid w:val="1D7B2915"/>
    <w:rsid w:val="1E232195"/>
    <w:rsid w:val="1F840D10"/>
    <w:rsid w:val="20C703C4"/>
    <w:rsid w:val="20F877D1"/>
    <w:rsid w:val="24322CB0"/>
    <w:rsid w:val="26693331"/>
    <w:rsid w:val="2673237E"/>
    <w:rsid w:val="27A80F84"/>
    <w:rsid w:val="2AD14BC8"/>
    <w:rsid w:val="2B8C58CB"/>
    <w:rsid w:val="2D7C1CBC"/>
    <w:rsid w:val="2F552DE2"/>
    <w:rsid w:val="307F5335"/>
    <w:rsid w:val="33BC433A"/>
    <w:rsid w:val="34AB3A79"/>
    <w:rsid w:val="34E10FF8"/>
    <w:rsid w:val="354237EC"/>
    <w:rsid w:val="375B04FF"/>
    <w:rsid w:val="39894AE1"/>
    <w:rsid w:val="3C6D75A1"/>
    <w:rsid w:val="3D195E9A"/>
    <w:rsid w:val="3D6A4E53"/>
    <w:rsid w:val="3EA72992"/>
    <w:rsid w:val="3F397A0D"/>
    <w:rsid w:val="43AE6A0F"/>
    <w:rsid w:val="4BC77528"/>
    <w:rsid w:val="4C0C7897"/>
    <w:rsid w:val="4E267909"/>
    <w:rsid w:val="4EFE6EAA"/>
    <w:rsid w:val="4F292AC6"/>
    <w:rsid w:val="4FC7696F"/>
    <w:rsid w:val="55674809"/>
    <w:rsid w:val="5DBB1B81"/>
    <w:rsid w:val="60002BE9"/>
    <w:rsid w:val="63672428"/>
    <w:rsid w:val="6497128F"/>
    <w:rsid w:val="65783E19"/>
    <w:rsid w:val="65A5070E"/>
    <w:rsid w:val="682956B5"/>
    <w:rsid w:val="684D1CB0"/>
    <w:rsid w:val="6C2E7063"/>
    <w:rsid w:val="6C7E5805"/>
    <w:rsid w:val="6FD31984"/>
    <w:rsid w:val="74F6547D"/>
    <w:rsid w:val="758301C4"/>
    <w:rsid w:val="784529A4"/>
    <w:rsid w:val="79C17DB5"/>
    <w:rsid w:val="7AE865FB"/>
    <w:rsid w:val="7B93102C"/>
    <w:rsid w:val="7C32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autoRedefine/>
    <w:qFormat/>
    <w:uiPriority w:val="9"/>
    <w:pPr>
      <w:keepNext/>
      <w:keepLines/>
      <w:numPr>
        <w:ilvl w:val="0"/>
        <w:numId w:val="1"/>
      </w:numPr>
      <w:spacing w:line="578" w:lineRule="auto"/>
      <w:outlineLvl w:val="0"/>
    </w:pPr>
    <w:rPr>
      <w:rFonts w:eastAsia="微软雅黑"/>
      <w:b/>
      <w:bCs/>
      <w:kern w:val="44"/>
      <w:sz w:val="32"/>
      <w:szCs w:val="44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6"/>
    <w:autoRedefine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8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annotation subject"/>
    <w:basedOn w:val="3"/>
    <w:next w:val="3"/>
    <w:link w:val="17"/>
    <w:autoRedefine/>
    <w:semiHidden/>
    <w:unhideWhenUsed/>
    <w:qFormat/>
    <w:uiPriority w:val="99"/>
    <w:rPr>
      <w:b/>
      <w:bCs/>
    </w:rPr>
  </w:style>
  <w:style w:type="table" w:styleId="10">
    <w:name w:val="Table Grid"/>
    <w:basedOn w:val="9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annotation reference"/>
    <w:basedOn w:val="11"/>
    <w:autoRedefine/>
    <w:semiHidden/>
    <w:unhideWhenUsed/>
    <w:qFormat/>
    <w:uiPriority w:val="99"/>
    <w:rPr>
      <w:sz w:val="21"/>
      <w:szCs w:val="21"/>
    </w:rPr>
  </w:style>
  <w:style w:type="character" w:customStyle="1" w:styleId="13">
    <w:name w:val="标题 1 Char"/>
    <w:basedOn w:val="11"/>
    <w:link w:val="2"/>
    <w:autoRedefine/>
    <w:qFormat/>
    <w:uiPriority w:val="9"/>
    <w:rPr>
      <w:rFonts w:eastAsia="微软雅黑"/>
      <w:b/>
      <w:bCs/>
      <w:kern w:val="44"/>
      <w:sz w:val="32"/>
      <w:szCs w:val="44"/>
    </w:rPr>
  </w:style>
  <w:style w:type="character" w:customStyle="1" w:styleId="14">
    <w:name w:val="页脚 Char"/>
    <w:basedOn w:val="11"/>
    <w:link w:val="5"/>
    <w:autoRedefine/>
    <w:qFormat/>
    <w:uiPriority w:val="99"/>
    <w:rPr>
      <w:sz w:val="18"/>
      <w:szCs w:val="18"/>
    </w:rPr>
  </w:style>
  <w:style w:type="character" w:customStyle="1" w:styleId="15">
    <w:name w:val="页眉 Char"/>
    <w:basedOn w:val="11"/>
    <w:link w:val="6"/>
    <w:autoRedefine/>
    <w:qFormat/>
    <w:uiPriority w:val="99"/>
    <w:rPr>
      <w:sz w:val="18"/>
      <w:szCs w:val="18"/>
    </w:rPr>
  </w:style>
  <w:style w:type="character" w:customStyle="1" w:styleId="16">
    <w:name w:val="批注文字 Char"/>
    <w:basedOn w:val="11"/>
    <w:link w:val="3"/>
    <w:autoRedefine/>
    <w:semiHidden/>
    <w:qFormat/>
    <w:uiPriority w:val="99"/>
    <w:rPr>
      <w:kern w:val="2"/>
      <w:sz w:val="21"/>
      <w:szCs w:val="22"/>
    </w:rPr>
  </w:style>
  <w:style w:type="character" w:customStyle="1" w:styleId="17">
    <w:name w:val="批注主题 Char"/>
    <w:basedOn w:val="16"/>
    <w:link w:val="8"/>
    <w:autoRedefine/>
    <w:semiHidden/>
    <w:qFormat/>
    <w:uiPriority w:val="99"/>
    <w:rPr>
      <w:b/>
      <w:bCs/>
      <w:kern w:val="2"/>
      <w:sz w:val="21"/>
      <w:szCs w:val="22"/>
    </w:rPr>
  </w:style>
  <w:style w:type="character" w:customStyle="1" w:styleId="18">
    <w:name w:val="批注框文本 Char"/>
    <w:basedOn w:val="11"/>
    <w:link w:val="4"/>
    <w:autoRedefine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D745624-0991-4EE1-907D-DF7F29E6A54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fzghy</Company>
  <Pages>5</Pages>
  <Words>252</Words>
  <Characters>1437</Characters>
  <Lines>11</Lines>
  <Paragraphs>3</Paragraphs>
  <TotalTime>6</TotalTime>
  <ScaleCrop>false</ScaleCrop>
  <LinksUpToDate>false</LinksUpToDate>
  <CharactersWithSpaces>1686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2022-10-09T08:38:00Z</dcterms:created>
  <dc:creator>刘龙华</dc:creator>
  <cp:lastModifiedBy>陈欣(2月23日)</cp:lastModifiedBy>
  <cp:lastPrinted>2024-03-13T01:24:00Z</cp:lastPrinted>
  <dcterms:modified xsi:type="dcterms:W3CDTF">2024-03-22T03:22:46Z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6F77DEB2D51349089D7FE569B49C81ED</vt:lpwstr>
  </property>
</Properties>
</file>