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r>
        <w:rPr>
          <w:rFonts w:hint="eastAsia" w:ascii="黑体" w:hAnsi="黑体" w:eastAsia="黑体" w:cs="黑体"/>
          <w:sz w:val="32"/>
          <w:szCs w:val="32"/>
        </w:rPr>
        <w:t>附件：</w:t>
      </w:r>
    </w:p>
    <w:p>
      <w:pPr>
        <w:pageBreakBefore w:val="0"/>
        <w:kinsoku/>
        <w:wordWrap/>
        <w:overflowPunct/>
        <w:topLinePunct w:val="0"/>
        <w:autoSpaceDE/>
        <w:autoSpaceDN/>
        <w:bidi w:val="0"/>
        <w:adjustRightInd/>
        <w:snapToGrid/>
        <w:spacing w:line="560" w:lineRule="exact"/>
        <w:jc w:val="left"/>
        <w:textAlignment w:val="auto"/>
        <w:rPr>
          <w:rFonts w:ascii="方正小标宋简体" w:hAnsi="微软雅黑" w:eastAsia="方正小标宋简体"/>
          <w:sz w:val="44"/>
          <w:szCs w:val="44"/>
        </w:rPr>
      </w:pPr>
    </w:p>
    <w:p>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微软雅黑" w:eastAsia="方正小标宋简体"/>
          <w:sz w:val="44"/>
          <w:szCs w:val="44"/>
        </w:rPr>
      </w:pPr>
      <w:r>
        <w:rPr>
          <w:rFonts w:hint="eastAsia" w:ascii="方正小标宋简体" w:hAnsi="微软雅黑" w:eastAsia="方正小标宋简体"/>
          <w:sz w:val="44"/>
          <w:szCs w:val="44"/>
          <w:lang w:eastAsia="zh-CN"/>
        </w:rPr>
        <w:t>营渡线东侧片区</w:t>
      </w:r>
      <w:r>
        <w:rPr>
          <w:rFonts w:hint="eastAsia" w:ascii="方正小标宋简体" w:hAnsi="微软雅黑" w:eastAsia="方正小标宋简体"/>
          <w:sz w:val="44"/>
          <w:szCs w:val="44"/>
        </w:rPr>
        <w:t>土地征收</w:t>
      </w:r>
    </w:p>
    <w:p>
      <w:pPr>
        <w:pageBreakBefore w:val="0"/>
        <w:kinsoku/>
        <w:wordWrap/>
        <w:overflowPunct/>
        <w:topLinePunct w:val="0"/>
        <w:autoSpaceDE/>
        <w:autoSpaceDN/>
        <w:bidi w:val="0"/>
        <w:adjustRightInd/>
        <w:snapToGrid/>
        <w:spacing w:line="560" w:lineRule="exact"/>
        <w:jc w:val="center"/>
        <w:textAlignment w:val="auto"/>
        <w:rPr>
          <w:rFonts w:ascii="方正小标宋简体" w:hAnsi="微软雅黑" w:eastAsia="方正小标宋简体"/>
          <w:sz w:val="44"/>
          <w:szCs w:val="44"/>
        </w:rPr>
      </w:pPr>
      <w:r>
        <w:rPr>
          <w:rFonts w:hint="eastAsia" w:ascii="方正小标宋简体" w:hAnsi="微软雅黑" w:eastAsia="方正小标宋简体"/>
          <w:sz w:val="44"/>
          <w:szCs w:val="44"/>
        </w:rPr>
        <w:t>成片开发方案（征求意见稿）</w:t>
      </w:r>
    </w:p>
    <w:p>
      <w:pPr>
        <w:pageBreakBefore w:val="0"/>
        <w:kinsoku/>
        <w:wordWrap/>
        <w:overflowPunct/>
        <w:topLinePunct w:val="0"/>
        <w:autoSpaceDE/>
        <w:autoSpaceDN/>
        <w:bidi w:val="0"/>
        <w:adjustRightInd/>
        <w:snapToGrid/>
        <w:spacing w:line="560" w:lineRule="exact"/>
        <w:jc w:val="center"/>
        <w:textAlignment w:val="auto"/>
        <w:rPr>
          <w:rFonts w:ascii="方正小标宋简体" w:hAnsi="微软雅黑" w:eastAsia="方正小标宋简体"/>
          <w:sz w:val="44"/>
          <w:szCs w:val="44"/>
        </w:rPr>
      </w:pP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一、编制依据</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依据</w:t>
      </w:r>
      <w:r>
        <w:rPr>
          <w:rFonts w:ascii="仿宋_GB2312" w:hAnsi="宋体" w:eastAsia="仿宋_GB2312"/>
          <w:sz w:val="32"/>
          <w:szCs w:val="32"/>
        </w:rPr>
        <w:t>《中华人民共和国土地管理法》（2019年修正版）</w:t>
      </w:r>
      <w:r>
        <w:rPr>
          <w:rFonts w:hint="eastAsia" w:ascii="仿宋_GB2312" w:hAnsi="宋体" w:eastAsia="仿宋_GB2312"/>
          <w:sz w:val="32"/>
          <w:szCs w:val="32"/>
        </w:rPr>
        <w:t>、</w:t>
      </w:r>
      <w:r>
        <w:rPr>
          <w:rFonts w:ascii="仿宋_GB2312" w:hAnsi="宋体" w:eastAsia="仿宋_GB2312"/>
          <w:sz w:val="32"/>
          <w:szCs w:val="32"/>
        </w:rPr>
        <w:t>《自然资源部关于印发〈土地征收成片开发标准（试行）〉的通知》（自然资规〔2020〕5号）</w:t>
      </w:r>
      <w:r>
        <w:rPr>
          <w:rFonts w:hint="eastAsia" w:ascii="仿宋_GB2312" w:hAnsi="宋体" w:eastAsia="仿宋_GB2312"/>
          <w:sz w:val="32"/>
          <w:szCs w:val="32"/>
        </w:rPr>
        <w:t>、</w:t>
      </w:r>
      <w:r>
        <w:rPr>
          <w:rFonts w:ascii="仿宋_GB2312" w:hAnsi="宋体" w:eastAsia="仿宋_GB2312"/>
          <w:sz w:val="32"/>
          <w:szCs w:val="32"/>
        </w:rPr>
        <w:t>《自然资源部办公厅关于印发〈国土空间调查、规划、用途管制用地用海分类指南（试行）〉》（自然资办发〔2020〕51号）</w:t>
      </w:r>
      <w:r>
        <w:rPr>
          <w:rFonts w:hint="eastAsia" w:ascii="仿宋_GB2312" w:hAnsi="宋体" w:eastAsia="仿宋_GB2312"/>
          <w:sz w:val="32"/>
          <w:szCs w:val="32"/>
        </w:rPr>
        <w:t>、</w:t>
      </w:r>
      <w:r>
        <w:rPr>
          <w:rFonts w:ascii="仿宋_GB2312" w:hAnsi="宋体" w:eastAsia="仿宋_GB2312"/>
          <w:sz w:val="32"/>
          <w:szCs w:val="32"/>
        </w:rPr>
        <w:t>《福建省自然资源厅关于印发〈福建省土地征收成片开发方案报批实施细则（试行）〉的通知》（闽自然资发〔2021〕3号，下文简称《实施细则》）</w:t>
      </w:r>
      <w:r>
        <w:rPr>
          <w:rFonts w:hint="eastAsia" w:ascii="仿宋_GB2312" w:hAnsi="宋体" w:eastAsia="仿宋_GB2312"/>
          <w:sz w:val="32"/>
          <w:szCs w:val="32"/>
        </w:rPr>
        <w:t>、</w:t>
      </w:r>
      <w:r>
        <w:rPr>
          <w:rFonts w:ascii="仿宋_GB2312" w:hAnsi="宋体" w:eastAsia="仿宋_GB2312"/>
          <w:sz w:val="32"/>
          <w:szCs w:val="32"/>
        </w:rPr>
        <w:t>《福建省土地征收成片开发方案编制参考指南(试行)》（闽自然资发〔2021〕6号）</w:t>
      </w:r>
      <w:r>
        <w:rPr>
          <w:rFonts w:hint="eastAsia" w:ascii="仿宋_GB2312" w:hAnsi="宋体" w:eastAsia="仿宋_GB2312"/>
          <w:sz w:val="32"/>
          <w:szCs w:val="32"/>
        </w:rPr>
        <w:t>、</w:t>
      </w:r>
      <w:r>
        <w:rPr>
          <w:rFonts w:ascii="仿宋_GB2312" w:hAnsi="宋体" w:eastAsia="仿宋_GB2312"/>
          <w:sz w:val="32"/>
          <w:szCs w:val="32"/>
        </w:rPr>
        <w:t>《</w:t>
      </w:r>
      <w:r>
        <w:rPr>
          <w:rFonts w:hint="eastAsia" w:ascii="仿宋_GB2312" w:hAnsi="宋体" w:eastAsia="仿宋_GB2312"/>
          <w:sz w:val="32"/>
          <w:szCs w:val="32"/>
          <w:lang w:val="en-US" w:eastAsia="zh-CN"/>
        </w:rPr>
        <w:t>福州长乐营前片区</w:t>
      </w:r>
      <w:r>
        <w:rPr>
          <w:rFonts w:hint="eastAsia" w:ascii="仿宋_GB2312" w:hAnsi="宋体" w:eastAsia="仿宋_GB2312"/>
          <w:sz w:val="32"/>
          <w:szCs w:val="32"/>
        </w:rPr>
        <w:t>控制性详细规划</w:t>
      </w:r>
      <w:r>
        <w:rPr>
          <w:rFonts w:ascii="仿宋_GB2312" w:hAnsi="宋体" w:eastAsia="仿宋_GB2312"/>
          <w:sz w:val="32"/>
          <w:szCs w:val="32"/>
        </w:rPr>
        <w:t>》</w:t>
      </w:r>
      <w:r>
        <w:rPr>
          <w:rFonts w:hint="eastAsia" w:ascii="仿宋_GB2312" w:hAnsi="宋体" w:eastAsia="仿宋_GB2312"/>
          <w:sz w:val="32"/>
          <w:szCs w:val="32"/>
        </w:rPr>
        <w:t>、《福州长乐营前片区控规350182-02-D-03地块规划调整》</w:t>
      </w:r>
      <w:r>
        <w:rPr>
          <w:rFonts w:hint="eastAsia" w:ascii="仿宋_GB2312" w:hAnsi="宋体" w:eastAsia="仿宋_GB2312"/>
          <w:sz w:val="32"/>
          <w:szCs w:val="32"/>
          <w:lang w:eastAsia="zh-CN"/>
        </w:rPr>
        <w:t>、</w:t>
      </w:r>
      <w:r>
        <w:rPr>
          <w:rFonts w:ascii="仿宋_GB2312" w:hAnsi="宋体" w:eastAsia="仿宋_GB2312"/>
          <w:sz w:val="32"/>
          <w:szCs w:val="32"/>
        </w:rPr>
        <w:t>《关于福州市长乐区202</w:t>
      </w:r>
      <w:r>
        <w:rPr>
          <w:rFonts w:hint="eastAsia" w:ascii="仿宋_GB2312" w:hAnsi="宋体" w:eastAsia="仿宋_GB2312"/>
          <w:sz w:val="32"/>
          <w:szCs w:val="32"/>
          <w:lang w:val="en-US" w:eastAsia="zh-CN"/>
        </w:rPr>
        <w:t>2</w:t>
      </w:r>
      <w:r>
        <w:rPr>
          <w:rFonts w:ascii="仿宋_GB2312" w:hAnsi="宋体" w:eastAsia="仿宋_GB2312"/>
          <w:sz w:val="32"/>
          <w:szCs w:val="32"/>
        </w:rPr>
        <w:t>年国民经济和社会发展计划执行情况与202</w:t>
      </w:r>
      <w:r>
        <w:rPr>
          <w:rFonts w:hint="eastAsia" w:ascii="仿宋_GB2312" w:hAnsi="宋体" w:eastAsia="仿宋_GB2312"/>
          <w:sz w:val="32"/>
          <w:szCs w:val="32"/>
          <w:lang w:val="en-US" w:eastAsia="zh-CN"/>
        </w:rPr>
        <w:t>3</w:t>
      </w:r>
      <w:r>
        <w:rPr>
          <w:rFonts w:ascii="仿宋_GB2312" w:hAnsi="宋体" w:eastAsia="仿宋_GB2312"/>
          <w:sz w:val="32"/>
          <w:szCs w:val="32"/>
        </w:rPr>
        <w:t>年计划草案的报告》。</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二、基本情况</w:t>
      </w:r>
    </w:p>
    <w:p>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w:t>
      </w:r>
      <w:r>
        <w:rPr>
          <w:rFonts w:hint="eastAsia" w:ascii="Times New Roman" w:hAnsi="Times New Roman" w:eastAsia="仿宋_GB2312"/>
          <w:sz w:val="32"/>
          <w:szCs w:val="32"/>
          <w:lang w:val="en-US" w:eastAsia="zh-CN"/>
        </w:rPr>
        <w:t>方案</w:t>
      </w:r>
      <w:r>
        <w:rPr>
          <w:rFonts w:hint="eastAsia" w:ascii="仿宋_GB2312" w:hAnsi="仿宋_GB2312" w:eastAsia="仿宋_GB2312" w:cs="仿宋_GB2312"/>
          <w:sz w:val="32"/>
          <w:szCs w:val="32"/>
          <w:highlight w:val="none"/>
        </w:rPr>
        <w:t>东至</w:t>
      </w:r>
      <w:r>
        <w:rPr>
          <w:rFonts w:hint="eastAsia" w:ascii="仿宋_GB2312" w:hAnsi="仿宋_GB2312" w:eastAsia="仿宋_GB2312" w:cs="仿宋_GB2312"/>
          <w:sz w:val="32"/>
          <w:szCs w:val="32"/>
          <w:highlight w:val="none"/>
          <w:lang w:val="en-US" w:eastAsia="zh-CN"/>
        </w:rPr>
        <w:t>融信上江城E区</w:t>
      </w:r>
      <w:r>
        <w:rPr>
          <w:rFonts w:hint="eastAsia" w:ascii="仿宋_GB2312" w:hAnsi="仿宋_GB2312" w:eastAsia="仿宋_GB2312" w:cs="仿宋_GB2312"/>
          <w:sz w:val="32"/>
          <w:szCs w:val="32"/>
          <w:highlight w:val="none"/>
        </w:rPr>
        <w:t>，西至</w:t>
      </w:r>
      <w:r>
        <w:rPr>
          <w:rFonts w:hint="eastAsia" w:ascii="仿宋_GB2312" w:hAnsi="仿宋_GB2312" w:eastAsia="仿宋_GB2312" w:cs="仿宋_GB2312"/>
          <w:sz w:val="32"/>
          <w:szCs w:val="32"/>
          <w:highlight w:val="none"/>
          <w:lang w:val="en-US" w:eastAsia="zh-CN"/>
        </w:rPr>
        <w:t>营渡线</w:t>
      </w:r>
      <w:r>
        <w:rPr>
          <w:rFonts w:hint="eastAsia" w:ascii="仿宋_GB2312" w:hAnsi="仿宋_GB2312" w:eastAsia="仿宋_GB2312" w:cs="仿宋_GB2312"/>
          <w:sz w:val="32"/>
          <w:szCs w:val="32"/>
          <w:highlight w:val="none"/>
        </w:rPr>
        <w:t>，南至</w:t>
      </w:r>
      <w:r>
        <w:rPr>
          <w:rFonts w:hint="eastAsia" w:ascii="仿宋_GB2312" w:hAnsi="仿宋_GB2312" w:eastAsia="仿宋_GB2312" w:cs="仿宋_GB2312"/>
          <w:sz w:val="32"/>
          <w:szCs w:val="32"/>
          <w:highlight w:val="none"/>
          <w:lang w:val="en-US" w:eastAsia="zh-CN"/>
        </w:rPr>
        <w:t>融信长岛花园南侧</w:t>
      </w:r>
      <w:r>
        <w:rPr>
          <w:rFonts w:hint="eastAsia" w:ascii="仿宋_GB2312" w:hAnsi="仿宋_GB2312" w:eastAsia="仿宋_GB2312" w:cs="仿宋_GB2312"/>
          <w:sz w:val="32"/>
          <w:szCs w:val="32"/>
          <w:highlight w:val="none"/>
        </w:rPr>
        <w:t>，北至</w:t>
      </w:r>
      <w:r>
        <w:rPr>
          <w:rFonts w:hint="eastAsia" w:ascii="仿宋_GB2312" w:hAnsi="仿宋_GB2312" w:eastAsia="仿宋_GB2312" w:cs="仿宋_GB2312"/>
          <w:sz w:val="32"/>
          <w:szCs w:val="32"/>
          <w:highlight w:val="none"/>
          <w:lang w:val="en-US" w:eastAsia="zh-CN"/>
        </w:rPr>
        <w:t>滨江路岐洋段以北70米</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片区</w:t>
      </w:r>
      <w:r>
        <w:rPr>
          <w:rFonts w:hint="eastAsia" w:ascii="Times New Roman" w:hAnsi="Times New Roman" w:eastAsia="仿宋_GB2312"/>
          <w:color w:val="000000" w:themeColor="text1"/>
          <w:sz w:val="32"/>
          <w:szCs w:val="32"/>
          <w14:textFill>
            <w14:solidFill>
              <w14:schemeClr w14:val="tx1"/>
            </w14:solidFill>
          </w14:textFill>
        </w:rPr>
        <w:t>涉及</w:t>
      </w:r>
      <w:r>
        <w:rPr>
          <w:rFonts w:hint="eastAsia" w:ascii="仿宋_GB2312" w:hAnsi="仿宋_GB2312" w:eastAsia="仿宋_GB2312" w:cs="仿宋_GB2312"/>
          <w:sz w:val="32"/>
          <w:szCs w:val="31"/>
          <w:lang w:bidi="ar"/>
        </w:rPr>
        <w:t>营前街道营前社区</w:t>
      </w:r>
      <w:r>
        <w:rPr>
          <w:rFonts w:hint="eastAsia" w:ascii="Times New Roman" w:hAnsi="Times New Roman" w:eastAsia="仿宋_GB2312"/>
          <w:color w:val="000000" w:themeColor="text1"/>
          <w:sz w:val="32"/>
          <w:szCs w:val="32"/>
          <w14:textFill>
            <w14:solidFill>
              <w14:schemeClr w14:val="tx1"/>
            </w14:solidFill>
          </w14:textFill>
        </w:rPr>
        <w:t>，共</w:t>
      </w:r>
      <w:r>
        <w:rPr>
          <w:rFonts w:hint="eastAsia" w:ascii="Times New Roman" w:hAnsi="Times New Roman" w:eastAsia="仿宋_GB2312"/>
          <w:sz w:val="32"/>
          <w:szCs w:val="32"/>
        </w:rPr>
        <w:t>1个</w:t>
      </w:r>
      <w:r>
        <w:rPr>
          <w:rFonts w:hint="eastAsia" w:ascii="Times New Roman" w:hAnsi="Times New Roman" w:eastAsia="仿宋_GB2312"/>
          <w:sz w:val="32"/>
          <w:szCs w:val="32"/>
          <w:lang w:val="en-US" w:eastAsia="zh-CN"/>
        </w:rPr>
        <w:t>街道1</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社区</w:t>
      </w:r>
      <w:r>
        <w:rPr>
          <w:rFonts w:ascii="Times New Roman" w:hAnsi="Times New Roman" w:eastAsia="仿宋_GB2312"/>
          <w:color w:val="000000" w:themeColor="text1"/>
          <w:sz w:val="32"/>
          <w:szCs w:val="32"/>
          <w14:textFill>
            <w14:solidFill>
              <w14:schemeClr w14:val="tx1"/>
            </w14:solidFill>
          </w14:textFill>
        </w:rPr>
        <w:t>，涉及</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个国有单位，不涉及省级和国家级开发区。</w:t>
      </w:r>
    </w:p>
    <w:p>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根据实地勘测调查，本方案成片开发范围总面积</w:t>
      </w:r>
      <w:r>
        <w:rPr>
          <w:rFonts w:hint="eastAsia" w:ascii="仿宋_GB2312" w:hAnsi="仿宋_GB2312" w:eastAsia="仿宋_GB2312" w:cs="仿宋_GB2312"/>
          <w:sz w:val="32"/>
          <w:szCs w:val="32"/>
          <w:highlight w:val="none"/>
          <w:lang w:eastAsia="zh-CN"/>
        </w:rPr>
        <w:t>7.5098</w:t>
      </w:r>
      <w:r>
        <w:rPr>
          <w:rFonts w:hint="eastAsia" w:ascii="Times New Roman" w:hAnsi="Times New Roman" w:eastAsia="仿宋_GB2312"/>
          <w:color w:val="000000" w:themeColor="text1"/>
          <w:sz w:val="32"/>
          <w:szCs w:val="32"/>
          <w14:textFill>
            <w14:solidFill>
              <w14:schemeClr w14:val="tx1"/>
            </w14:solidFill>
          </w14:textFill>
        </w:rPr>
        <w:t>公顷，</w:t>
      </w:r>
      <w:r>
        <w:rPr>
          <w:rFonts w:hint="eastAsia" w:ascii="Times New Roman" w:hAnsi="Times New Roman" w:eastAsia="仿宋_GB2312"/>
          <w:color w:val="000000" w:themeColor="text1"/>
          <w:sz w:val="32"/>
          <w:szCs w:val="32"/>
          <w:lang w:val="en-US" w:eastAsia="zh-CN"/>
          <w14:textFill>
            <w14:solidFill>
              <w14:schemeClr w14:val="tx1"/>
            </w14:solidFill>
          </w14:textFill>
        </w:rPr>
        <w:t>其中集体土地面积</w:t>
      </w:r>
      <w:r>
        <w:rPr>
          <w:rFonts w:hint="eastAsia" w:ascii="仿宋_GB2312" w:hAnsi="仿宋_GB2312" w:eastAsia="仿宋_GB2312" w:cs="仿宋_GB2312"/>
          <w:sz w:val="32"/>
          <w:szCs w:val="32"/>
          <w:highlight w:val="none"/>
          <w:lang w:val="en-US" w:eastAsia="zh-CN"/>
        </w:rPr>
        <w:t>0.8656</w:t>
      </w:r>
      <w:r>
        <w:rPr>
          <w:rFonts w:hint="eastAsia" w:ascii="Times New Roman" w:hAnsi="Times New Roman" w:eastAsia="仿宋_GB2312"/>
          <w:color w:val="000000" w:themeColor="text1"/>
          <w:sz w:val="32"/>
          <w:szCs w:val="32"/>
          <w:lang w:val="en-US" w:eastAsia="zh-CN"/>
          <w14:textFill>
            <w14:solidFill>
              <w14:schemeClr w14:val="tx1"/>
            </w14:solidFill>
          </w14:textFill>
        </w:rPr>
        <w:t>公顷，国有土地面积</w:t>
      </w:r>
      <w:r>
        <w:rPr>
          <w:rFonts w:hint="eastAsia" w:ascii="仿宋_GB2312" w:hAnsi="仿宋_GB2312" w:eastAsia="仿宋_GB2312" w:cs="仿宋_GB2312"/>
          <w:sz w:val="32"/>
          <w:szCs w:val="32"/>
          <w:highlight w:val="none"/>
          <w:lang w:val="en-US" w:eastAsia="zh-CN"/>
        </w:rPr>
        <w:t>6.6442</w:t>
      </w:r>
      <w:r>
        <w:rPr>
          <w:rFonts w:hint="eastAsia" w:ascii="Times New Roman" w:hAnsi="Times New Roman" w:eastAsia="仿宋_GB2312"/>
          <w:color w:val="000000" w:themeColor="text1"/>
          <w:sz w:val="32"/>
          <w:szCs w:val="32"/>
          <w:lang w:val="en-US" w:eastAsia="zh-CN"/>
          <w14:textFill>
            <w14:solidFill>
              <w14:schemeClr w14:val="tx1"/>
            </w14:solidFill>
          </w14:textFill>
        </w:rPr>
        <w:t>公顷；涉及</w:t>
      </w:r>
      <w:r>
        <w:rPr>
          <w:rFonts w:hint="eastAsia" w:ascii="Times New Roman" w:hAnsi="Times New Roman" w:eastAsia="仿宋_GB2312"/>
          <w:color w:val="000000" w:themeColor="text1"/>
          <w:sz w:val="32"/>
          <w:szCs w:val="32"/>
          <w14:textFill>
            <w14:solidFill>
              <w14:schemeClr w14:val="tx1"/>
            </w14:solidFill>
          </w14:textFill>
        </w:rPr>
        <w:t>农用地</w:t>
      </w:r>
      <w:r>
        <w:rPr>
          <w:rFonts w:hint="eastAsia" w:ascii="仿宋_GB2312" w:hAnsi="仿宋_GB2312" w:eastAsia="仿宋_GB2312" w:cs="仿宋_GB2312"/>
          <w:sz w:val="32"/>
          <w:szCs w:val="32"/>
          <w:highlight w:val="none"/>
          <w:lang w:eastAsia="zh-CN"/>
        </w:rPr>
        <w:t>0.8656</w:t>
      </w:r>
      <w:r>
        <w:rPr>
          <w:rFonts w:ascii="Times New Roman" w:hAnsi="Times New Roman" w:eastAsia="仿宋_GB2312"/>
          <w:color w:val="000000" w:themeColor="text1"/>
          <w:sz w:val="32"/>
          <w:szCs w:val="32"/>
          <w14:textFill>
            <w14:solidFill>
              <w14:schemeClr w14:val="tx1"/>
            </w14:solidFill>
          </w14:textFill>
        </w:rPr>
        <w:t>公顷（其中：耕地</w:t>
      </w:r>
      <w:r>
        <w:rPr>
          <w:rFonts w:hint="eastAsia" w:ascii="仿宋_GB2312" w:hAnsi="仿宋_GB2312" w:eastAsia="仿宋_GB2312" w:cs="仿宋_GB2312"/>
          <w:sz w:val="32"/>
          <w:szCs w:val="32"/>
          <w:highlight w:val="none"/>
        </w:rPr>
        <w:t>0.7874</w:t>
      </w:r>
      <w:r>
        <w:rPr>
          <w:rFonts w:ascii="Times New Roman" w:hAnsi="Times New Roman" w:eastAsia="仿宋_GB2312"/>
          <w:color w:val="000000" w:themeColor="text1"/>
          <w:sz w:val="32"/>
          <w:szCs w:val="32"/>
          <w14:textFill>
            <w14:solidFill>
              <w14:schemeClr w14:val="tx1"/>
            </w14:solidFill>
          </w14:textFill>
        </w:rPr>
        <w:t>公顷），建设用地</w:t>
      </w:r>
      <w:r>
        <w:rPr>
          <w:rFonts w:hint="eastAsia" w:ascii="仿宋_GB2312" w:hAnsi="仿宋_GB2312" w:eastAsia="仿宋_GB2312" w:cs="仿宋_GB2312"/>
          <w:sz w:val="32"/>
          <w:szCs w:val="32"/>
          <w:highlight w:val="none"/>
        </w:rPr>
        <w:t>6.6442</w:t>
      </w:r>
      <w:r>
        <w:rPr>
          <w:rFonts w:ascii="Times New Roman" w:hAnsi="Times New Roman" w:eastAsia="仿宋_GB2312"/>
          <w:color w:val="000000" w:themeColor="text1"/>
          <w:sz w:val="32"/>
          <w:szCs w:val="32"/>
          <w14:textFill>
            <w14:solidFill>
              <w14:schemeClr w14:val="tx1"/>
            </w14:solidFill>
          </w14:textFill>
        </w:rPr>
        <w:t>公顷。</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ascii="黑体" w:hAnsi="黑体" w:eastAsia="黑体"/>
          <w:b w:val="0"/>
          <w:szCs w:val="32"/>
        </w:rPr>
        <w:t xml:space="preserve"> </w:t>
      </w:r>
      <w:r>
        <w:rPr>
          <w:rFonts w:hint="eastAsia" w:ascii="黑体" w:hAnsi="黑体" w:eastAsia="黑体"/>
          <w:b w:val="0"/>
          <w:szCs w:val="32"/>
        </w:rPr>
        <w:t>三、项目的必要性</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Times New Roman" w:hAnsi="Times New Roman" w:eastAsia="仿宋_GB2312"/>
          <w:sz w:val="32"/>
          <w:szCs w:val="32"/>
        </w:rPr>
        <w:t>本片区内拟</w:t>
      </w:r>
      <w:r>
        <w:rPr>
          <w:rFonts w:hint="eastAsia" w:ascii="Times New Roman" w:hAnsi="Times New Roman" w:eastAsia="仿宋_GB2312"/>
          <w:sz w:val="32"/>
          <w:szCs w:val="32"/>
          <w:lang w:val="en-US" w:eastAsia="zh-CN"/>
        </w:rPr>
        <w:t>引进</w:t>
      </w:r>
      <w:r>
        <w:rPr>
          <w:rFonts w:hint="eastAsia" w:ascii="Times New Roman" w:hAnsi="Times New Roman" w:eastAsia="仿宋_GB2312"/>
          <w:sz w:val="32"/>
          <w:szCs w:val="32"/>
        </w:rPr>
        <w:t>新型产业研发企业，片区的建设有利于加快</w:t>
      </w:r>
      <w:r>
        <w:rPr>
          <w:rFonts w:hint="eastAsia" w:ascii="Times New Roman" w:hAnsi="Times New Roman" w:eastAsia="仿宋_GB2312"/>
          <w:sz w:val="32"/>
          <w:szCs w:val="32"/>
          <w:lang w:val="en-US" w:eastAsia="zh-CN"/>
        </w:rPr>
        <w:t>营前</w:t>
      </w:r>
      <w:r>
        <w:rPr>
          <w:rFonts w:hint="eastAsia" w:ascii="Times New Roman" w:hAnsi="Times New Roman" w:eastAsia="仿宋_GB2312"/>
          <w:sz w:val="32"/>
          <w:szCs w:val="32"/>
        </w:rPr>
        <w:t>片区产业创新发展</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highlight w:val="none"/>
        </w:rPr>
        <w:t>引领区域产业升级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助力实体经济提质增效，加快经济社会高质量发展。</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四、规划土地用途分析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本方案用地总面积</w:t>
      </w:r>
      <w:r>
        <w:rPr>
          <w:rFonts w:hint="eastAsia" w:ascii="仿宋_GB2312" w:hAnsi="仿宋_GB2312" w:eastAsia="仿宋_GB2312" w:cs="仿宋_GB2312"/>
          <w:sz w:val="32"/>
          <w:szCs w:val="32"/>
          <w:lang w:eastAsia="zh-CN"/>
        </w:rPr>
        <w:t>7.5098</w:t>
      </w:r>
      <w:r>
        <w:rPr>
          <w:rFonts w:hint="eastAsia" w:ascii="仿宋_GB2312" w:hAnsi="仿宋_GB2312" w:eastAsia="仿宋_GB2312" w:cs="仿宋_GB2312"/>
          <w:sz w:val="32"/>
          <w:szCs w:val="32"/>
        </w:rPr>
        <w:t>公顷，以</w:t>
      </w:r>
      <w:r>
        <w:rPr>
          <w:rFonts w:hint="eastAsia" w:ascii="仿宋_GB2312" w:hAnsi="仿宋_GB2312" w:eastAsia="仿宋_GB2312" w:cs="仿宋_GB2312"/>
          <w:sz w:val="32"/>
          <w:szCs w:val="32"/>
          <w:lang w:val="en-US" w:eastAsia="zh-CN"/>
        </w:rPr>
        <w:t>居住</w:t>
      </w:r>
      <w:r>
        <w:rPr>
          <w:rFonts w:hint="eastAsia" w:ascii="仿宋_GB2312" w:hAnsi="仿宋_GB2312" w:eastAsia="仿宋_GB2312" w:cs="仿宋_GB2312"/>
          <w:sz w:val="32"/>
          <w:szCs w:val="32"/>
        </w:rPr>
        <w:t>用地为主。其中，居住用地面积3.5131公顷，</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现状居住小区，实现片区职住平</w:t>
      </w:r>
      <w:r>
        <w:rPr>
          <w:rFonts w:hint="eastAsia" w:ascii="仿宋_GB2312" w:hAnsi="仿宋_GB2312" w:eastAsia="仿宋_GB2312" w:cs="仿宋_GB2312"/>
          <w:sz w:val="32"/>
          <w:szCs w:val="32"/>
          <w:highlight w:val="none"/>
        </w:rPr>
        <w:t>衡</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功能；工矿用地0.8835公顷，</w:t>
      </w:r>
      <w:r>
        <w:rPr>
          <w:rFonts w:hint="eastAsia" w:ascii="仿宋_GB2312" w:hAnsi="仿宋_GB2312" w:eastAsia="仿宋_GB2312" w:cs="仿宋_GB2312"/>
          <w:sz w:val="32"/>
          <w:szCs w:val="32"/>
          <w:highlight w:val="none"/>
          <w:lang w:val="en-US" w:eastAsia="zh-CN"/>
        </w:rPr>
        <w:t>为拟</w:t>
      </w:r>
      <w:r>
        <w:rPr>
          <w:rFonts w:hint="eastAsia" w:ascii="仿宋_GB2312" w:hAnsi="仿宋_GB2312" w:eastAsia="仿宋_GB2312" w:cs="仿宋_GB2312"/>
          <w:sz w:val="32"/>
          <w:szCs w:val="32"/>
          <w:highlight w:val="none"/>
        </w:rPr>
        <w:t>新建</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创新型产业用地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实现</w:t>
      </w:r>
      <w:r>
        <w:rPr>
          <w:rFonts w:hint="eastAsia" w:ascii="仿宋_GB2312" w:hAnsi="仿宋_GB2312" w:eastAsia="仿宋_GB2312" w:cs="仿宋_GB2312"/>
          <w:sz w:val="32"/>
          <w:szCs w:val="32"/>
          <w:highlight w:val="none"/>
        </w:rPr>
        <w:t>企业配套研发</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功能；交通运输用地面积2.5008公顷，</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现状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滨江滨海路、营渡线等道路，</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rPr>
        <w:t>连接</w:t>
      </w:r>
      <w:r>
        <w:rPr>
          <w:rFonts w:hint="eastAsia" w:ascii="仿宋_GB2312" w:hAnsi="仿宋_GB2312" w:eastAsia="仿宋_GB2312" w:cs="仿宋_GB2312"/>
          <w:sz w:val="32"/>
          <w:szCs w:val="32"/>
          <w:lang w:val="en-US" w:eastAsia="zh-CN"/>
        </w:rPr>
        <w:t>片区</w:t>
      </w:r>
      <w:r>
        <w:rPr>
          <w:rFonts w:hint="eastAsia" w:ascii="仿宋_GB2312" w:hAnsi="仿宋_GB2312" w:eastAsia="仿宋_GB2312" w:cs="仿宋_GB2312"/>
          <w:sz w:val="32"/>
          <w:szCs w:val="32"/>
        </w:rPr>
        <w:t>各地块交通，提高出行可达性和交通效率</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功能；公共管理与公共服务用地面积0.3505公顷，</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现状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综合性行政办公用地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实现片区行政办公的</w:t>
      </w:r>
      <w:r>
        <w:rPr>
          <w:rFonts w:hint="eastAsia" w:ascii="仿宋_GB2312" w:hAnsi="仿宋_GB2312" w:eastAsia="仿宋_GB2312" w:cs="仿宋_GB2312"/>
          <w:sz w:val="32"/>
          <w:szCs w:val="32"/>
        </w:rPr>
        <w:t>功能；绿地与开敞空间用地面积0.2619公顷，</w:t>
      </w:r>
      <w:r>
        <w:rPr>
          <w:rFonts w:hint="eastAsia" w:ascii="仿宋_GB2312" w:hAnsi="仿宋_GB2312" w:eastAsia="仿宋_GB2312" w:cs="仿宋_GB2312"/>
          <w:sz w:val="32"/>
          <w:szCs w:val="32"/>
          <w:lang w:val="en-US" w:eastAsia="zh-CN"/>
        </w:rPr>
        <w:t>为现状的公园绿地，</w:t>
      </w:r>
      <w:r>
        <w:rPr>
          <w:rFonts w:hint="eastAsia" w:ascii="仿宋_GB2312" w:hAnsi="仿宋_GB2312" w:eastAsia="仿宋_GB2312" w:cs="仿宋_GB2312"/>
          <w:sz w:val="32"/>
          <w:szCs w:val="32"/>
        </w:rPr>
        <w:t>实现净化空气、美化环境等功能。</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五、公益性用地</w:t>
      </w:r>
      <w:r>
        <w:rPr>
          <w:rFonts w:ascii="黑体" w:hAnsi="黑体" w:eastAsia="黑体"/>
          <w:b w:val="0"/>
          <w:szCs w:val="32"/>
        </w:rPr>
        <w:t>情况</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sz w:val="32"/>
          <w:szCs w:val="32"/>
          <w:highlight w:val="none"/>
        </w:rPr>
        <w:t>公益性用地包含公共管理与公共服务用地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交通运输用地、绿地与开敞空间用地，合计</w:t>
      </w:r>
      <w:r>
        <w:rPr>
          <w:rFonts w:hint="eastAsia" w:ascii="仿宋_GB2312" w:hAnsi="仿宋_GB2312" w:eastAsia="仿宋_GB2312" w:cs="仿宋_GB2312"/>
          <w:sz w:val="32"/>
          <w:szCs w:val="32"/>
          <w:highlight w:val="none"/>
          <w:lang w:val="en-US" w:eastAsia="zh-CN"/>
        </w:rPr>
        <w:t>3.1132</w:t>
      </w:r>
      <w:r>
        <w:rPr>
          <w:rFonts w:hint="eastAsia" w:ascii="仿宋_GB2312" w:hAnsi="仿宋_GB2312" w:eastAsia="仿宋_GB2312" w:cs="仿宋_GB2312"/>
          <w:sz w:val="32"/>
          <w:szCs w:val="32"/>
          <w:highlight w:val="none"/>
        </w:rPr>
        <w:t>公顷，占用地总面积的41.</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%，符合自然资规〔2020〕5号文规定</w:t>
      </w:r>
      <w:r>
        <w:rPr>
          <w:rFonts w:ascii="Times New Roman" w:hAnsi="Times New Roman" w:eastAsia="仿宋_GB2312"/>
          <w:sz w:val="32"/>
          <w:szCs w:val="32"/>
        </w:rPr>
        <w:t>。</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六</w:t>
      </w:r>
      <w:r>
        <w:rPr>
          <w:rFonts w:ascii="黑体" w:hAnsi="黑体" w:eastAsia="黑体"/>
          <w:b w:val="0"/>
          <w:szCs w:val="32"/>
        </w:rPr>
        <w:t>、规划符合情况</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本方案符合</w:t>
      </w:r>
      <w:r>
        <w:rPr>
          <w:rFonts w:hint="eastAsia" w:ascii="仿宋_GB2312" w:hAnsi="宋体" w:eastAsia="仿宋_GB2312"/>
          <w:sz w:val="32"/>
          <w:szCs w:val="32"/>
          <w:lang w:val="en-US" w:eastAsia="zh-CN"/>
        </w:rPr>
        <w:t>福州市长乐区</w:t>
      </w:r>
      <w:r>
        <w:rPr>
          <w:rFonts w:ascii="仿宋_GB2312" w:hAnsi="宋体" w:eastAsia="仿宋_GB2312"/>
          <w:sz w:val="32"/>
          <w:szCs w:val="32"/>
        </w:rPr>
        <w:t>国民经济和社会发展规划，已纳入</w:t>
      </w:r>
      <w:r>
        <w:rPr>
          <w:rFonts w:hint="eastAsia" w:ascii="仿宋_GB2312" w:hAnsi="宋体" w:eastAsia="仿宋_GB2312"/>
          <w:sz w:val="32"/>
          <w:szCs w:val="32"/>
          <w:lang w:val="en-US" w:eastAsia="zh-CN"/>
        </w:rPr>
        <w:t>福州市长乐区2023年度</w:t>
      </w:r>
      <w:r>
        <w:rPr>
          <w:rFonts w:ascii="仿宋_GB2312" w:hAnsi="宋体" w:eastAsia="仿宋_GB2312"/>
          <w:sz w:val="32"/>
          <w:szCs w:val="32"/>
        </w:rPr>
        <w:t>国民经济和社会发展年度计划。</w:t>
      </w:r>
      <w:r>
        <w:rPr>
          <w:rFonts w:hint="eastAsia" w:ascii="仿宋_GB2312" w:hAnsi="宋体" w:eastAsia="仿宋_GB2312"/>
          <w:sz w:val="32"/>
          <w:szCs w:val="32"/>
          <w:lang w:val="en-US" w:eastAsia="zh-CN"/>
        </w:rPr>
        <w:t>位于城镇开发边界的集中建设区内</w:t>
      </w:r>
      <w:r>
        <w:rPr>
          <w:rFonts w:hint="eastAsia" w:ascii="仿宋_GB2312" w:hAnsi="宋体" w:eastAsia="仿宋_GB2312"/>
          <w:sz w:val="32"/>
          <w:szCs w:val="32"/>
        </w:rPr>
        <w:t>，</w:t>
      </w:r>
      <w:r>
        <w:rPr>
          <w:rFonts w:hint="eastAsia" w:ascii="仿宋_GB2312" w:hAnsi="宋体" w:eastAsia="仿宋_GB2312"/>
          <w:sz w:val="32"/>
          <w:szCs w:val="32"/>
          <w:lang w:val="en-US" w:eastAsia="zh-CN"/>
        </w:rPr>
        <w:t>已做好成片开发方案与国土空间规划的衔接，确保方案获批后纳入国土空间规划及“一张图”，并符合规划管控要求</w:t>
      </w:r>
      <w:r>
        <w:rPr>
          <w:rFonts w:hint="eastAsia" w:ascii="仿宋_GB2312" w:hAnsi="宋体" w:eastAsia="仿宋_GB2312"/>
          <w:sz w:val="32"/>
          <w:szCs w:val="32"/>
        </w:rPr>
        <w:t>。</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七</w:t>
      </w:r>
      <w:r>
        <w:rPr>
          <w:rFonts w:ascii="黑体" w:hAnsi="黑体" w:eastAsia="黑体"/>
          <w:b w:val="0"/>
          <w:szCs w:val="32"/>
        </w:rPr>
        <w:t>、</w:t>
      </w:r>
      <w:r>
        <w:rPr>
          <w:rFonts w:hint="eastAsia" w:ascii="黑体" w:hAnsi="黑体" w:eastAsia="黑体"/>
          <w:b w:val="0"/>
          <w:szCs w:val="32"/>
        </w:rPr>
        <w:t>永久基本农田及生态保护情况</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成片开发范围内不涉及永久基本农田、陆域生态保护红线等，不涉及历史文化名城、名镇、名村及传统村落，不涉及各级文物保护单位、不可移动文物登记点及已公布历史建筑。符合成片开发项目送审报批的要求。</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八</w:t>
      </w:r>
      <w:r>
        <w:rPr>
          <w:rFonts w:ascii="黑体" w:hAnsi="黑体" w:eastAsia="黑体"/>
          <w:b w:val="0"/>
          <w:szCs w:val="32"/>
        </w:rPr>
        <w:t>、</w:t>
      </w:r>
      <w:r>
        <w:rPr>
          <w:rFonts w:hint="eastAsia" w:ascii="黑体" w:hAnsi="黑体" w:eastAsia="黑体"/>
          <w:b w:val="0"/>
          <w:szCs w:val="32"/>
        </w:rPr>
        <w:t>实施计划</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本方案用地总面积7.5098公顷，其中涉及已完成实施面积6.6442公顷，故拟安排实施项目面积0.8656公顷，计划实施周期为批复后第一年至第三年，3年内实施完毕。</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九、效益评估</w:t>
      </w:r>
    </w:p>
    <w:p>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仿宋_GB2312" w:hAnsi="宋体" w:eastAsia="仿宋_GB2312"/>
          <w:bCs/>
          <w:sz w:val="32"/>
          <w:szCs w:val="32"/>
        </w:rPr>
        <w:t>（一）</w:t>
      </w:r>
      <w:r>
        <w:rPr>
          <w:rFonts w:hint="eastAsia" w:ascii="仿宋_GB2312" w:hAnsi="仿宋_GB2312" w:eastAsia="仿宋_GB2312" w:cs="仿宋_GB2312"/>
          <w:bCs/>
          <w:sz w:val="32"/>
          <w:szCs w:val="32"/>
        </w:rPr>
        <w:t>土地利用效益：</w:t>
      </w:r>
      <w:r>
        <w:rPr>
          <w:rFonts w:hint="eastAsia" w:ascii="仿宋_GB2312" w:hAnsi="仿宋_GB2312" w:eastAsia="仿宋_GB2312" w:cs="仿宋_GB2312"/>
          <w:sz w:val="32"/>
          <w:szCs w:val="32"/>
        </w:rPr>
        <w:t>本方案依据《</w:t>
      </w:r>
      <w:r>
        <w:rPr>
          <w:rFonts w:hint="eastAsia" w:ascii="仿宋_GB2312" w:hAnsi="仿宋_GB2312" w:eastAsia="仿宋_GB2312" w:cs="仿宋_GB2312"/>
          <w:sz w:val="32"/>
          <w:szCs w:val="32"/>
          <w:lang w:val="en-US" w:eastAsia="zh-CN"/>
        </w:rPr>
        <w:t>福州长乐营前片区</w:t>
      </w:r>
      <w:r>
        <w:rPr>
          <w:rFonts w:hint="eastAsia" w:ascii="仿宋_GB2312" w:hAnsi="仿宋_GB2312" w:eastAsia="仿宋_GB2312" w:cs="仿宋_GB2312"/>
          <w:sz w:val="32"/>
          <w:szCs w:val="32"/>
        </w:rPr>
        <w:t>控制性详细规划》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福州长乐营前片区控规350182-02-D-03地块规划调整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规划工业用地，容积率按照《福建省人民政府关于进一步推进工业用地提质增效促进工业经济高质量发展的通知》（闽政〔2022〕19号）要求，在原省定标准（不含用地容积率1.0以下的行业）的基础上提高10%以上，控制在1.8</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（二）经济效益：</w:t>
      </w:r>
      <w:r>
        <w:rPr>
          <w:rFonts w:hint="eastAsia" w:ascii="Times New Roman" w:hAnsi="Times New Roman" w:eastAsia="仿宋_GB2312"/>
          <w:sz w:val="32"/>
          <w:szCs w:val="32"/>
        </w:rPr>
        <w:t>本片区拟引进</w:t>
      </w:r>
      <w:r>
        <w:rPr>
          <w:rFonts w:hint="eastAsia" w:ascii="Times New Roman" w:hAnsi="Times New Roman" w:eastAsia="仿宋_GB2312"/>
          <w:sz w:val="32"/>
          <w:szCs w:val="32"/>
          <w:lang w:val="en-US" w:eastAsia="zh-CN"/>
        </w:rPr>
        <w:t>钢铁产业配套研发基地项目</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rPr>
        <w:t>建成后，将助力实体经济提质增效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增加政府财政收入</w:t>
      </w:r>
      <w:r>
        <w:rPr>
          <w:rFonts w:hint="eastAsia" w:ascii="Times New Roman" w:hAnsi="Times New Roman" w:eastAsia="仿宋_GB2312"/>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（三）社会效益：本片区规划工业用地0.8835</w:t>
      </w:r>
      <w:r>
        <w:rPr>
          <w:rFonts w:ascii="仿宋_GB2312" w:hAnsi="宋体" w:eastAsia="仿宋_GB2312"/>
          <w:bCs/>
          <w:sz w:val="32"/>
          <w:szCs w:val="32"/>
        </w:rPr>
        <w:t>公顷，</w:t>
      </w:r>
      <w:r>
        <w:rPr>
          <w:rFonts w:hint="eastAsia" w:ascii="仿宋_GB2312" w:hAnsi="宋体" w:eastAsia="仿宋_GB2312"/>
          <w:bCs/>
          <w:sz w:val="32"/>
          <w:szCs w:val="32"/>
          <w:lang w:val="en-US" w:eastAsia="zh-CN"/>
        </w:rPr>
        <w:t>项目</w:t>
      </w:r>
      <w:r>
        <w:rPr>
          <w:rFonts w:hint="eastAsia" w:ascii="仿宋_GB2312" w:hAnsi="宋体" w:eastAsia="仿宋_GB2312"/>
          <w:bCs/>
          <w:sz w:val="32"/>
          <w:szCs w:val="32"/>
        </w:rPr>
        <w:t>建成后，预计可新增就业人口约200人，有效解决当地就业保障问题，维持社会稳定发展</w:t>
      </w:r>
      <w:r>
        <w:rPr>
          <w:rFonts w:ascii="仿宋_GB2312" w:hAnsi="宋体" w:eastAsia="仿宋_GB2312"/>
          <w:bCs/>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（四）生态效益：片区内</w:t>
      </w:r>
      <w:r>
        <w:rPr>
          <w:rFonts w:hint="eastAsia" w:ascii="仿宋_GB2312" w:hAnsi="宋体" w:eastAsia="仿宋_GB2312"/>
          <w:bCs/>
          <w:sz w:val="32"/>
          <w:szCs w:val="32"/>
          <w:lang w:val="en-US" w:eastAsia="zh-CN"/>
        </w:rPr>
        <w:t>的公园绿地</w:t>
      </w:r>
      <w:r>
        <w:rPr>
          <w:rFonts w:hint="eastAsia" w:ascii="仿宋_GB2312" w:hAnsi="宋体" w:eastAsia="仿宋_GB2312"/>
          <w:bCs/>
          <w:sz w:val="32"/>
          <w:szCs w:val="32"/>
        </w:rPr>
        <w:t>，</w:t>
      </w:r>
      <w:r>
        <w:rPr>
          <w:rFonts w:hint="eastAsia" w:ascii="Times New Roman" w:hAnsi="Times New Roman" w:eastAsia="仿宋_GB2312"/>
          <w:color w:val="000000" w:themeColor="text1"/>
          <w:sz w:val="32"/>
          <w:szCs w:val="32"/>
          <w14:textFill>
            <w14:solidFill>
              <w14:schemeClr w14:val="tx1"/>
            </w14:solidFill>
          </w14:textFill>
        </w:rPr>
        <w:t>有利于美化环境</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降低噪声</w:t>
      </w:r>
      <w:r>
        <w:rPr>
          <w:rFonts w:ascii="仿宋_GB2312" w:hAnsi="宋体" w:eastAsia="仿宋_GB2312"/>
          <w:bCs/>
          <w:sz w:val="32"/>
          <w:szCs w:val="32"/>
        </w:rPr>
        <w:t>。</w:t>
      </w:r>
    </w:p>
    <w:p>
      <w:pPr>
        <w:pStyle w:val="2"/>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szCs w:val="32"/>
        </w:rPr>
      </w:pPr>
      <w:r>
        <w:rPr>
          <w:rFonts w:hint="eastAsia" w:ascii="黑体" w:hAnsi="黑体" w:eastAsia="黑体"/>
          <w:b w:val="0"/>
          <w:szCs w:val="32"/>
        </w:rPr>
        <w:t>十、结论</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Cs/>
          <w:sz w:val="32"/>
          <w:szCs w:val="32"/>
        </w:rPr>
      </w:pPr>
      <w:r>
        <w:rPr>
          <w:rFonts w:hint="eastAsia" w:ascii="仿宋_GB2312" w:hAnsi="宋体" w:eastAsia="仿宋_GB2312"/>
          <w:bCs/>
          <w:sz w:val="32"/>
          <w:szCs w:val="32"/>
        </w:rPr>
        <w:t>《</w:t>
      </w:r>
      <w:r>
        <w:rPr>
          <w:rFonts w:hint="eastAsia" w:ascii="仿宋_GB2312" w:hAnsi="宋体" w:eastAsia="仿宋_GB2312"/>
          <w:bCs/>
          <w:sz w:val="32"/>
          <w:szCs w:val="32"/>
          <w:lang w:eastAsia="zh-CN"/>
        </w:rPr>
        <w:t>营渡线东侧片区</w:t>
      </w:r>
      <w:r>
        <w:rPr>
          <w:rFonts w:hint="eastAsia" w:ascii="仿宋_GB2312" w:hAnsi="宋体" w:eastAsia="仿宋_GB2312"/>
          <w:bCs/>
          <w:sz w:val="32"/>
          <w:szCs w:val="32"/>
        </w:rPr>
        <w:t>土地征收成片开发方案》符合土地征收成片开发的标准。</w:t>
      </w:r>
    </w:p>
    <w:p>
      <w:pPr>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bCs/>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ascii="仿宋_GB2312" w:hAnsi="宋体" w:eastAsia="仿宋_GB2312"/>
          <w:bCs/>
          <w:sz w:val="32"/>
          <w:szCs w:val="32"/>
        </w:rPr>
        <w:br w:type="page"/>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bCs/>
          <w:sz w:val="32"/>
          <w:szCs w:val="32"/>
        </w:rPr>
      </w:pPr>
      <w:r>
        <w:rPr>
          <w:rFonts w:hint="eastAsia" w:ascii="仿宋_GB2312" w:hAnsi="宋体" w:eastAsia="仿宋_GB2312"/>
          <w:bCs/>
          <w:sz w:val="32"/>
          <w:szCs w:val="32"/>
        </w:rPr>
        <w:t>附图：</w:t>
      </w:r>
      <w:r>
        <w:rPr>
          <w:rFonts w:hint="eastAsia" w:ascii="仿宋_GB2312" w:hAnsi="宋体" w:eastAsia="仿宋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宋体" w:eastAsia="仿宋_GB2312"/>
          <w:bCs/>
          <w:sz w:val="32"/>
          <w:szCs w:val="32"/>
        </w:rPr>
        <w:instrText xml:space="preserve">ADDIN CNKISM.UserStyle</w:instrText>
      </w:r>
      <w:r>
        <w:rPr>
          <w:rFonts w:hint="eastAsia" w:ascii="仿宋_GB2312" w:hAnsi="宋体" w:eastAsia="仿宋_GB2312"/>
          <w:bCs/>
          <w:sz w:val="32"/>
          <w:szCs w:val="32"/>
        </w:rPr>
        <w:fldChar w:fldCharType="end"/>
      </w:r>
      <w:r>
        <w:rPr>
          <w:rFonts w:hint="eastAsia" w:ascii="仿宋_GB2312" w:hAnsi="宋体" w:eastAsia="仿宋_GB2312"/>
          <w:bCs/>
          <w:sz w:val="32"/>
          <w:szCs w:val="32"/>
        </w:rPr>
        <w:t>成片开发位置示意图</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bCs/>
          <w:sz w:val="32"/>
          <w:szCs w:val="32"/>
          <w:lang w:eastAsia="zh-CN"/>
        </w:rPr>
      </w:pPr>
      <w:bookmarkStart w:id="0" w:name="_GoBack"/>
      <w:bookmarkEnd w:id="0"/>
      <w:r>
        <w:rPr>
          <w:rFonts w:hint="eastAsia" w:ascii="仿宋_GB2312" w:hAnsi="宋体" w:eastAsia="仿宋_GB2312"/>
          <w:bCs/>
          <w:sz w:val="32"/>
          <w:szCs w:val="32"/>
          <w:lang w:eastAsia="zh-CN"/>
        </w:rPr>
        <w:drawing>
          <wp:anchor distT="0" distB="0" distL="114300" distR="114300" simplePos="0" relativeHeight="251659264" behindDoc="0" locked="0" layoutInCell="1" allowOverlap="1">
            <wp:simplePos x="0" y="0"/>
            <wp:positionH relativeFrom="column">
              <wp:posOffset>-40640</wp:posOffset>
            </wp:positionH>
            <wp:positionV relativeFrom="paragraph">
              <wp:posOffset>191770</wp:posOffset>
            </wp:positionV>
            <wp:extent cx="8355965" cy="5746115"/>
            <wp:effectExtent l="0" t="0" r="6985" b="6985"/>
            <wp:wrapNone/>
            <wp:docPr id="2" name="图片 2" descr="H:\4、2023年\02长乐成片开发\02片区\05营渡线东侧片区\02图件\1.长乐区2023年度第X批次土地征收成片开发方案（营渡线东侧片区）.jpg1.长乐区2023年度第X批次土地征收成片开发方案（营渡线东侧片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2023年\02长乐成片开发\02片区\05营渡线东侧片区\02图件\1.长乐区2023年度第X批次土地征收成片开发方案（营渡线东侧片区）.jpg1.长乐区2023年度第X批次土地征收成片开发方案（营渡线东侧片区）"/>
                    <pic:cNvPicPr>
                      <a:picLocks noChangeAspect="1"/>
                    </pic:cNvPicPr>
                  </pic:nvPicPr>
                  <pic:blipFill>
                    <a:blip r:embed="rId5"/>
                    <a:srcRect t="2730"/>
                    <a:stretch>
                      <a:fillRect/>
                    </a:stretch>
                  </pic:blipFill>
                  <pic:spPr>
                    <a:xfrm>
                      <a:off x="0" y="0"/>
                      <a:ext cx="8355965" cy="5746115"/>
                    </a:xfrm>
                    <a:prstGeom prst="rect">
                      <a:avLst/>
                    </a:prstGeom>
                  </pic:spPr>
                </pic:pic>
              </a:graphicData>
            </a:graphic>
          </wp:anchor>
        </w:drawing>
      </w:r>
    </w:p>
    <w:sectPr>
      <w:pgSz w:w="16838" w:h="11906" w:orient="landscape"/>
      <w:pgMar w:top="1587" w:right="1984" w:bottom="1474" w:left="187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hAnsi="仿宋_GB2312" w:eastAsia="仿宋_GB2312" w:cs="仿宋_GB2312"/>
                              <w:sz w:val="28"/>
                              <w:szCs w:val="28"/>
                            </w:rPr>
                            <w:id w:val="58834674"/>
                          </w:sdtPr>
                          <w:sdtEndPr>
                            <w:rPr>
                              <w:rFonts w:hint="eastAsia" w:ascii="仿宋_GB2312" w:hAnsi="仿宋_GB2312" w:eastAsia="仿宋_GB2312" w:cs="仿宋_GB2312"/>
                              <w:sz w:val="28"/>
                              <w:szCs w:val="28"/>
                            </w:rPr>
                          </w:sdtEndPr>
                          <w:sdtContent>
                            <w:p>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rPr>
                        <w:rFonts w:hint="eastAsia" w:ascii="仿宋_GB2312" w:hAnsi="仿宋_GB2312" w:eastAsia="仿宋_GB2312" w:cs="仿宋_GB2312"/>
                        <w:sz w:val="28"/>
                        <w:szCs w:val="28"/>
                      </w:rPr>
                      <w:id w:val="58834674"/>
                    </w:sdtPr>
                    <w:sdtEndPr>
                      <w:rPr>
                        <w:rFonts w:hint="eastAsia" w:ascii="仿宋_GB2312" w:hAnsi="仿宋_GB2312" w:eastAsia="仿宋_GB2312" w:cs="仿宋_GB2312"/>
                        <w:sz w:val="28"/>
                        <w:szCs w:val="28"/>
                      </w:rPr>
                    </w:sdtEndPr>
                    <w:sdtContent>
                      <w:p>
                        <w:pPr>
                          <w:pStyle w:val="5"/>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563CF"/>
    <w:multiLevelType w:val="multilevel"/>
    <w:tmpl w:val="5A3563CF"/>
    <w:lvl w:ilvl="0" w:tentative="0">
      <w:start w:val="1"/>
      <w:numFmt w:val="chineseCountingThousand"/>
      <w:pStyle w:val="2"/>
      <w:lvlText w:val="%1、"/>
      <w:lvlJc w:val="left"/>
      <w:pPr>
        <w:ind w:left="420" w:hanging="420"/>
      </w:pPr>
    </w:lvl>
    <w:lvl w:ilvl="1" w:tentative="0">
      <w:start w:val="1"/>
      <w:numFmt w:val="chineseCountingThousand"/>
      <w:lvlText w:val="(%2)"/>
      <w:lvlJc w:val="left"/>
      <w:pPr>
        <w:ind w:left="1500" w:hanging="1080"/>
      </w:pPr>
      <w:rPr>
        <w:rFonts w:hint="default"/>
      </w:rPr>
    </w:lvl>
    <w:lvl w:ilvl="2" w:tentative="0">
      <w:start w:val="1"/>
      <w:numFmt w:val="decimal"/>
      <w:lvlText w:val="（%3）"/>
      <w:lvlJc w:val="left"/>
      <w:pPr>
        <w:ind w:left="1590" w:hanging="750"/>
      </w:pPr>
      <w:rPr>
        <w:rFonts w:ascii="宋体" w:hAnsi="宋体" w:eastAsia="宋体" w:cstheme="minorBidi"/>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Njc2YzU2ZGY4OTkxNWE2ZTg2ZTZiNzRmYTk4YzIifQ=="/>
  </w:docVars>
  <w:rsids>
    <w:rsidRoot w:val="008206CE"/>
    <w:rsid w:val="0001648C"/>
    <w:rsid w:val="00092A71"/>
    <w:rsid w:val="000D625A"/>
    <w:rsid w:val="000E1D34"/>
    <w:rsid w:val="001003E4"/>
    <w:rsid w:val="001124C3"/>
    <w:rsid w:val="0017500E"/>
    <w:rsid w:val="00185ADC"/>
    <w:rsid w:val="00192A04"/>
    <w:rsid w:val="001B343A"/>
    <w:rsid w:val="001B3812"/>
    <w:rsid w:val="001E3A33"/>
    <w:rsid w:val="00203CA3"/>
    <w:rsid w:val="00205DAA"/>
    <w:rsid w:val="00281003"/>
    <w:rsid w:val="002900E7"/>
    <w:rsid w:val="002B2A77"/>
    <w:rsid w:val="002C118E"/>
    <w:rsid w:val="002D182C"/>
    <w:rsid w:val="002D63E5"/>
    <w:rsid w:val="002D695C"/>
    <w:rsid w:val="00324166"/>
    <w:rsid w:val="00362ECF"/>
    <w:rsid w:val="00362F0D"/>
    <w:rsid w:val="0039709A"/>
    <w:rsid w:val="003C013F"/>
    <w:rsid w:val="003C1698"/>
    <w:rsid w:val="003D5CCE"/>
    <w:rsid w:val="003D6A6A"/>
    <w:rsid w:val="003F2701"/>
    <w:rsid w:val="00403C96"/>
    <w:rsid w:val="004115CE"/>
    <w:rsid w:val="004222B9"/>
    <w:rsid w:val="0045559D"/>
    <w:rsid w:val="0047022B"/>
    <w:rsid w:val="00483624"/>
    <w:rsid w:val="004B3819"/>
    <w:rsid w:val="004C3CEC"/>
    <w:rsid w:val="004E52D9"/>
    <w:rsid w:val="004F732D"/>
    <w:rsid w:val="004F7B5C"/>
    <w:rsid w:val="00592D1D"/>
    <w:rsid w:val="005A5028"/>
    <w:rsid w:val="005B29D3"/>
    <w:rsid w:val="005C46A5"/>
    <w:rsid w:val="005F2900"/>
    <w:rsid w:val="0062343E"/>
    <w:rsid w:val="006A1E58"/>
    <w:rsid w:val="006C2E13"/>
    <w:rsid w:val="006E058D"/>
    <w:rsid w:val="006E54EA"/>
    <w:rsid w:val="00741F64"/>
    <w:rsid w:val="007B08E7"/>
    <w:rsid w:val="007C1789"/>
    <w:rsid w:val="007C664D"/>
    <w:rsid w:val="007E0469"/>
    <w:rsid w:val="007E5E8F"/>
    <w:rsid w:val="007F5F66"/>
    <w:rsid w:val="0080566A"/>
    <w:rsid w:val="0081107F"/>
    <w:rsid w:val="008206CE"/>
    <w:rsid w:val="00837B0E"/>
    <w:rsid w:val="00840B86"/>
    <w:rsid w:val="00854B1E"/>
    <w:rsid w:val="00875513"/>
    <w:rsid w:val="00876F89"/>
    <w:rsid w:val="008B2064"/>
    <w:rsid w:val="008C2457"/>
    <w:rsid w:val="008D15AD"/>
    <w:rsid w:val="008D681F"/>
    <w:rsid w:val="008E4700"/>
    <w:rsid w:val="00980643"/>
    <w:rsid w:val="009B153D"/>
    <w:rsid w:val="009B4C4F"/>
    <w:rsid w:val="009E7626"/>
    <w:rsid w:val="00A15E5C"/>
    <w:rsid w:val="00A3488C"/>
    <w:rsid w:val="00A70559"/>
    <w:rsid w:val="00AA3880"/>
    <w:rsid w:val="00AA6605"/>
    <w:rsid w:val="00AB0671"/>
    <w:rsid w:val="00AC134A"/>
    <w:rsid w:val="00AE562E"/>
    <w:rsid w:val="00B35D53"/>
    <w:rsid w:val="00B37B2B"/>
    <w:rsid w:val="00B40891"/>
    <w:rsid w:val="00B44426"/>
    <w:rsid w:val="00B4767A"/>
    <w:rsid w:val="00BC26AC"/>
    <w:rsid w:val="00BC391E"/>
    <w:rsid w:val="00BD514B"/>
    <w:rsid w:val="00BE3644"/>
    <w:rsid w:val="00C153D0"/>
    <w:rsid w:val="00C220EA"/>
    <w:rsid w:val="00C24E90"/>
    <w:rsid w:val="00C8022C"/>
    <w:rsid w:val="00C91473"/>
    <w:rsid w:val="00C968E3"/>
    <w:rsid w:val="00CC6411"/>
    <w:rsid w:val="00CD02E1"/>
    <w:rsid w:val="00CF55B1"/>
    <w:rsid w:val="00D32A4E"/>
    <w:rsid w:val="00D42F39"/>
    <w:rsid w:val="00D83EC3"/>
    <w:rsid w:val="00D87007"/>
    <w:rsid w:val="00D936B6"/>
    <w:rsid w:val="00DA1BA1"/>
    <w:rsid w:val="00DC7F6D"/>
    <w:rsid w:val="00E01AF7"/>
    <w:rsid w:val="00E64310"/>
    <w:rsid w:val="00E814F1"/>
    <w:rsid w:val="00E95CDA"/>
    <w:rsid w:val="00EA4C8A"/>
    <w:rsid w:val="00EA51D6"/>
    <w:rsid w:val="00EA7E2C"/>
    <w:rsid w:val="00EB0C74"/>
    <w:rsid w:val="00F14B00"/>
    <w:rsid w:val="00F57216"/>
    <w:rsid w:val="00F72FDB"/>
    <w:rsid w:val="00F744E6"/>
    <w:rsid w:val="00F76A8F"/>
    <w:rsid w:val="00F86FAC"/>
    <w:rsid w:val="00FB42D5"/>
    <w:rsid w:val="00FE4166"/>
    <w:rsid w:val="013D72DA"/>
    <w:rsid w:val="03F71FF4"/>
    <w:rsid w:val="0903562B"/>
    <w:rsid w:val="09F83B1B"/>
    <w:rsid w:val="0A9D62A2"/>
    <w:rsid w:val="0D0E136C"/>
    <w:rsid w:val="0FC45556"/>
    <w:rsid w:val="128946D9"/>
    <w:rsid w:val="13470C11"/>
    <w:rsid w:val="17E015CC"/>
    <w:rsid w:val="18BA49DA"/>
    <w:rsid w:val="1C0A5EC2"/>
    <w:rsid w:val="1CF46698"/>
    <w:rsid w:val="1DC62580"/>
    <w:rsid w:val="1E232195"/>
    <w:rsid w:val="1E9B311F"/>
    <w:rsid w:val="1F116952"/>
    <w:rsid w:val="1F840D10"/>
    <w:rsid w:val="20C703C4"/>
    <w:rsid w:val="24322CB0"/>
    <w:rsid w:val="27A80F84"/>
    <w:rsid w:val="29472F20"/>
    <w:rsid w:val="2AD14BC8"/>
    <w:rsid w:val="2B8C58CB"/>
    <w:rsid w:val="2F552DE2"/>
    <w:rsid w:val="307F5335"/>
    <w:rsid w:val="31A5249B"/>
    <w:rsid w:val="32A62278"/>
    <w:rsid w:val="34AB3A79"/>
    <w:rsid w:val="354237EC"/>
    <w:rsid w:val="375B04FF"/>
    <w:rsid w:val="39894AE1"/>
    <w:rsid w:val="3C6D75A1"/>
    <w:rsid w:val="3D195E9A"/>
    <w:rsid w:val="3D6A4E53"/>
    <w:rsid w:val="3EA72992"/>
    <w:rsid w:val="43AE6A0F"/>
    <w:rsid w:val="43C85D32"/>
    <w:rsid w:val="4B814C16"/>
    <w:rsid w:val="4BC77528"/>
    <w:rsid w:val="4C0C7897"/>
    <w:rsid w:val="4E267909"/>
    <w:rsid w:val="4EE85CB4"/>
    <w:rsid w:val="4EFE6EAA"/>
    <w:rsid w:val="4F292AC6"/>
    <w:rsid w:val="5A7A2F5C"/>
    <w:rsid w:val="5DBB1B81"/>
    <w:rsid w:val="65A5070E"/>
    <w:rsid w:val="682956B5"/>
    <w:rsid w:val="684D1CB0"/>
    <w:rsid w:val="690529F1"/>
    <w:rsid w:val="6C7E5805"/>
    <w:rsid w:val="758301C4"/>
    <w:rsid w:val="79C17DB5"/>
    <w:rsid w:val="7AE865FB"/>
    <w:rsid w:val="7B93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numPr>
        <w:ilvl w:val="0"/>
        <w:numId w:val="1"/>
      </w:numPr>
      <w:spacing w:line="578" w:lineRule="auto"/>
      <w:outlineLvl w:val="0"/>
    </w:pPr>
    <w:rPr>
      <w:rFonts w:eastAsia="微软雅黑"/>
      <w:b/>
      <w:bCs/>
      <w:kern w:val="44"/>
      <w:sz w:val="32"/>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annotation reference"/>
    <w:basedOn w:val="11"/>
    <w:semiHidden/>
    <w:unhideWhenUsed/>
    <w:qFormat/>
    <w:uiPriority w:val="99"/>
    <w:rPr>
      <w:sz w:val="21"/>
      <w:szCs w:val="21"/>
    </w:rPr>
  </w:style>
  <w:style w:type="character" w:customStyle="1" w:styleId="13">
    <w:name w:val="标题 1 字符"/>
    <w:basedOn w:val="11"/>
    <w:link w:val="2"/>
    <w:qFormat/>
    <w:uiPriority w:val="9"/>
    <w:rPr>
      <w:rFonts w:eastAsia="微软雅黑"/>
      <w:b/>
      <w:bCs/>
      <w:kern w:val="44"/>
      <w:sz w:val="32"/>
      <w:szCs w:val="44"/>
    </w:rPr>
  </w:style>
  <w:style w:type="character" w:customStyle="1" w:styleId="14">
    <w:name w:val="页脚 字符"/>
    <w:basedOn w:val="11"/>
    <w:link w:val="5"/>
    <w:qFormat/>
    <w:uiPriority w:val="99"/>
    <w:rPr>
      <w:sz w:val="18"/>
      <w:szCs w:val="18"/>
    </w:rPr>
  </w:style>
  <w:style w:type="character" w:customStyle="1" w:styleId="15">
    <w:name w:val="页眉 字符"/>
    <w:basedOn w:val="11"/>
    <w:link w:val="6"/>
    <w:qFormat/>
    <w:uiPriority w:val="99"/>
    <w:rPr>
      <w:sz w:val="18"/>
      <w:szCs w:val="18"/>
    </w:rPr>
  </w:style>
  <w:style w:type="character" w:customStyle="1" w:styleId="16">
    <w:name w:val="批注文字 字符"/>
    <w:basedOn w:val="11"/>
    <w:link w:val="3"/>
    <w:semiHidden/>
    <w:qFormat/>
    <w:uiPriority w:val="99"/>
    <w:rPr>
      <w:kern w:val="2"/>
      <w:sz w:val="21"/>
      <w:szCs w:val="22"/>
    </w:rPr>
  </w:style>
  <w:style w:type="character" w:customStyle="1" w:styleId="17">
    <w:name w:val="批注主题 字符"/>
    <w:basedOn w:val="16"/>
    <w:link w:val="8"/>
    <w:semiHidden/>
    <w:qFormat/>
    <w:uiPriority w:val="99"/>
    <w:rPr>
      <w:b/>
      <w:bCs/>
      <w:kern w:val="2"/>
      <w:sz w:val="21"/>
      <w:szCs w:val="22"/>
    </w:rPr>
  </w:style>
  <w:style w:type="character" w:customStyle="1" w:styleId="18">
    <w:name w:val="批注框文本 字符"/>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9742E-6F1C-4A4F-B01D-4AECC0EDDD94}">
  <ds:schemaRefs/>
</ds:datastoreItem>
</file>

<file path=docProps/app.xml><?xml version="1.0" encoding="utf-8"?>
<Properties xmlns="http://schemas.openxmlformats.org/officeDocument/2006/extended-properties" xmlns:vt="http://schemas.openxmlformats.org/officeDocument/2006/docPropsVTypes">
  <Template>Normal</Template>
  <Company>fzghy</Company>
  <Pages>5</Pages>
  <Words>1501</Words>
  <Characters>1632</Characters>
  <Lines>1</Lines>
  <Paragraphs>3</Paragraphs>
  <TotalTime>72</TotalTime>
  <ScaleCrop>false</ScaleCrop>
  <LinksUpToDate>false</LinksUpToDate>
  <CharactersWithSpaces>1633</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2022-10-09T08:38:00Z</dcterms:created>
  <dc:creator>刘龙华</dc:creator>
  <cp:lastModifiedBy>檀林倩</cp:lastModifiedBy>
  <cp:lastPrinted>2023-09-28T04:00:32Z</cp:lastPrinted>
  <dcterms:modified xsi:type="dcterms:W3CDTF">2023-09-28T04:01:18Z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6F77DEB2D51349089D7FE569B49C81ED</vt:lpwstr>
  </property>
</Properties>
</file>