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D992F">
      <w:pPr>
        <w:pageBreakBefore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1B2635C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福州市长乐生态环境局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环境监测分析仪器采购项目拟采购仪器清单及基本要求</w:t>
      </w:r>
    </w:p>
    <w:tbl>
      <w:tblPr>
        <w:tblStyle w:val="11"/>
        <w:tblW w:w="927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367"/>
        <w:gridCol w:w="964"/>
        <w:gridCol w:w="6252"/>
      </w:tblGrid>
      <w:tr w14:paraId="16ECA0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1" w:type="dxa"/>
            <w:vAlign w:val="center"/>
          </w:tcPr>
          <w:p w14:paraId="4BD8801C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序号</w:t>
            </w:r>
          </w:p>
        </w:tc>
        <w:tc>
          <w:tcPr>
            <w:tcW w:w="1367" w:type="dxa"/>
            <w:vAlign w:val="center"/>
          </w:tcPr>
          <w:p w14:paraId="06EAB7D3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仪器名称</w:t>
            </w:r>
          </w:p>
        </w:tc>
        <w:tc>
          <w:tcPr>
            <w:tcW w:w="964" w:type="dxa"/>
            <w:vAlign w:val="center"/>
          </w:tcPr>
          <w:p w14:paraId="2B8217F2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数量</w:t>
            </w:r>
          </w:p>
        </w:tc>
        <w:tc>
          <w:tcPr>
            <w:tcW w:w="6252" w:type="dxa"/>
            <w:vAlign w:val="center"/>
          </w:tcPr>
          <w:p w14:paraId="441A14D7">
            <w:pPr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基本参数要求</w:t>
            </w:r>
          </w:p>
        </w:tc>
      </w:tr>
      <w:tr w14:paraId="4857A5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691" w:type="dxa"/>
            <w:vAlign w:val="center"/>
          </w:tcPr>
          <w:p w14:paraId="4282D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1367" w:type="dxa"/>
            <w:vAlign w:val="center"/>
          </w:tcPr>
          <w:p w14:paraId="202E5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便携式溶解氧测定仪</w:t>
            </w:r>
          </w:p>
        </w:tc>
        <w:tc>
          <w:tcPr>
            <w:tcW w:w="964" w:type="dxa"/>
            <w:vAlign w:val="center"/>
          </w:tcPr>
          <w:p w14:paraId="65BE2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1台</w:t>
            </w:r>
          </w:p>
        </w:tc>
        <w:tc>
          <w:tcPr>
            <w:tcW w:w="6252" w:type="dxa"/>
            <w:vAlign w:val="center"/>
          </w:tcPr>
          <w:p w14:paraId="6B48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用途：地表水、地下水、污水、海水现场溶解氧、水温野外应急监测，适配河道、水库、排污口执法采样，符合环境监测地表水、海水监测规范。</w:t>
            </w:r>
          </w:p>
          <w:p w14:paraId="16BC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要求：溶解氧测量范围(0.00～50.00)mg/L，最小分辨率0.01 mg/L；水温测量范围(-5.0～110.0)℃，测量误差在±0.5℃之间，分辨率≤0.1℃；支持自动/手动温度补偿，支持自动或手动大气压补偿，支持手动盐度补偿，自动零氧标定和满度标定。</w:t>
            </w:r>
          </w:p>
        </w:tc>
      </w:tr>
      <w:tr w14:paraId="2BC688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atLeast"/>
          <w:jc w:val="center"/>
        </w:trPr>
        <w:tc>
          <w:tcPr>
            <w:tcW w:w="691" w:type="dxa"/>
            <w:vAlign w:val="center"/>
          </w:tcPr>
          <w:p w14:paraId="31740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</w:t>
            </w:r>
          </w:p>
        </w:tc>
        <w:tc>
          <w:tcPr>
            <w:tcW w:w="1367" w:type="dxa"/>
            <w:vAlign w:val="center"/>
          </w:tcPr>
          <w:p w14:paraId="473FD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便携式pH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电导率仪</w:t>
            </w:r>
          </w:p>
        </w:tc>
        <w:tc>
          <w:tcPr>
            <w:tcW w:w="964" w:type="dxa"/>
            <w:vAlign w:val="center"/>
          </w:tcPr>
          <w:p w14:paraId="4B807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台</w:t>
            </w:r>
          </w:p>
        </w:tc>
        <w:tc>
          <w:tcPr>
            <w:tcW w:w="6252" w:type="dxa"/>
            <w:vAlign w:val="center"/>
          </w:tcPr>
          <w:p w14:paraId="3CAB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用途：各类地表水、废水、地下水现场 pH、电导率、水温同步检测，用于野外水质快速筛查、排污口巡查监测。</w:t>
            </w:r>
          </w:p>
          <w:p w14:paraId="2E71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要求：分体式pH电极或复合pH电极，测量范围 (-2.00 ~ 19.99)pH，分辨率 0.01/0.1 pH，基本误差 ±0.01 pH ±1 个字，稳定性 ±0.01 pH/3h ±1 个字，温度补偿范围 (0 ~ 100)℃，分辨率0.1℃。</w:t>
            </w:r>
          </w:p>
        </w:tc>
      </w:tr>
      <w:tr w14:paraId="72FA1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691" w:type="dxa"/>
            <w:vAlign w:val="center"/>
          </w:tcPr>
          <w:p w14:paraId="3FE3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3</w:t>
            </w:r>
          </w:p>
        </w:tc>
        <w:tc>
          <w:tcPr>
            <w:tcW w:w="1367" w:type="dxa"/>
            <w:vAlign w:val="center"/>
          </w:tcPr>
          <w:p w14:paraId="011BD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水深水温测量仪</w:t>
            </w:r>
          </w:p>
        </w:tc>
        <w:tc>
          <w:tcPr>
            <w:tcW w:w="964" w:type="dxa"/>
            <w:vAlign w:val="center"/>
          </w:tcPr>
          <w:p w14:paraId="00E3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台</w:t>
            </w:r>
          </w:p>
        </w:tc>
        <w:tc>
          <w:tcPr>
            <w:tcW w:w="6252" w:type="dxa"/>
            <w:vAlign w:val="center"/>
          </w:tcPr>
          <w:p w14:paraId="40BC2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用途：河道、湖泊、水库、近海点位采样时同步测定水体深度、剖面水温，用于水文水质同步监测。</w:t>
            </w:r>
          </w:p>
          <w:p w14:paraId="7F42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要求：可同时测量水深和水温，水温测量范围必须涵盖（-5～45）℃，测量误差在±0.5℃之间，分辨率≤0.1℃; 水深量程范围（0～100）米。</w:t>
            </w:r>
          </w:p>
        </w:tc>
      </w:tr>
      <w:tr w14:paraId="43C334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691" w:type="dxa"/>
            <w:vAlign w:val="center"/>
          </w:tcPr>
          <w:p w14:paraId="28314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4</w:t>
            </w:r>
          </w:p>
        </w:tc>
        <w:tc>
          <w:tcPr>
            <w:tcW w:w="1367" w:type="dxa"/>
            <w:vAlign w:val="center"/>
          </w:tcPr>
          <w:p w14:paraId="0A00A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非甲烷总烃采样器</w:t>
            </w:r>
          </w:p>
        </w:tc>
        <w:tc>
          <w:tcPr>
            <w:tcW w:w="964" w:type="dxa"/>
            <w:vAlign w:val="center"/>
          </w:tcPr>
          <w:p w14:paraId="500C6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1台</w:t>
            </w:r>
          </w:p>
        </w:tc>
        <w:tc>
          <w:tcPr>
            <w:tcW w:w="6252" w:type="dxa"/>
            <w:vAlign w:val="center"/>
          </w:tcPr>
          <w:p w14:paraId="7472CC78">
            <w:pPr>
              <w:spacing w:line="28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用途：</w:t>
            </w:r>
            <w:r>
              <w:rPr>
                <w:rFonts w:hint="eastAsia" w:ascii="Times New Roman" w:hAnsi="Times New Roman" w:cs="Times New Roman"/>
                <w:sz w:val="24"/>
              </w:rPr>
              <w:t>用于固定污染源有组织排放废气中总烃、甲烷、非甲烷总烃和挥发性有机物（VOCs）的现场采样。</w:t>
            </w:r>
          </w:p>
          <w:p w14:paraId="1FAFB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要求：需符合《固定污染源废气挥发性有机物的采样 气袋法》（HJ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732-2025）标准要求，能够形成不小于15kPa的负压，面板上开设视窗，控制设备可设置并显示气密性检查、采样流量、加热温度、制冷温度、采样时间、采样地点和样品编号等关键参数，具备数据记录、存储、打印和断电保护等功能，抽气泵至少能够提供恒流0.1L/min~1.0L/min的流量。具有历史采样数据存储功能，可记录采样流量、采样时间、采样地点、样品编号等关键参数。冷凝装置的制冷温度应可控制在0℃~4℃，冷凝后的废气温度能够在设备中显示。适配气袋体积范围为（1-10）L。自动化程度高，可多路切换阀箱，具有多路定时采样功能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 w14:paraId="7529FD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691" w:type="dxa"/>
            <w:vAlign w:val="center"/>
          </w:tcPr>
          <w:p w14:paraId="2E11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67" w:type="dxa"/>
            <w:vAlign w:val="center"/>
          </w:tcPr>
          <w:p w14:paraId="1F259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隔水式恒温培养箱</w:t>
            </w:r>
          </w:p>
        </w:tc>
        <w:tc>
          <w:tcPr>
            <w:tcW w:w="964" w:type="dxa"/>
            <w:vAlign w:val="center"/>
          </w:tcPr>
          <w:p w14:paraId="187D9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1台</w:t>
            </w:r>
          </w:p>
        </w:tc>
        <w:tc>
          <w:tcPr>
            <w:tcW w:w="6252" w:type="dxa"/>
            <w:vAlign w:val="center"/>
          </w:tcPr>
          <w:p w14:paraId="620CB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用途：</w:t>
            </w:r>
          </w:p>
          <w:p w14:paraId="2565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粪大肠菌群、总大肠菌群等生物类项目的菌类培养。</w:t>
            </w:r>
          </w:p>
          <w:p w14:paraId="7B661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性能要求：</w:t>
            </w:r>
          </w:p>
          <w:p w14:paraId="18968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2.1采用电加热元件对储水夹层进行加热，搭配内腔预热技术，确保箱内温度均匀稳定。</w:t>
            </w:r>
          </w:p>
          <w:p w14:paraId="1A5DF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2.2 大屏幕液晶仪表，多组数据整屏显示，简单易懂，便于操作。</w:t>
            </w:r>
          </w:p>
          <w:p w14:paraId="1C517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2.3 采用风道循环系统，确保工作温度均匀性。</w:t>
            </w:r>
          </w:p>
          <w:p w14:paraId="29AC1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2.4 内胆采用不锈钢材质，隔板可拆卸，可任意调节。</w:t>
            </w:r>
          </w:p>
          <w:p w14:paraId="0120F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2.5 观察窗采用复门设计，内门采用钢化玻璃材质，外门采用磁性门封。</w:t>
            </w:r>
          </w:p>
          <w:p w14:paraId="3AFA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2.6 可根据实验需要设定温度报警点，温度超过设定温度值，设备自动报警。</w:t>
            </w:r>
          </w:p>
          <w:p w14:paraId="7CA7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2.7 设有进水口和溢水口，采用溢流装置，防止水位过高。</w:t>
            </w:r>
          </w:p>
          <w:p w14:paraId="69344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2.8 配套紫外杀菌系统。</w:t>
            </w:r>
          </w:p>
          <w:p w14:paraId="685DD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2.9 控温范围：RT（室温）+2～65℃</w:t>
            </w:r>
          </w:p>
          <w:p w14:paraId="5920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2.10 加热方式：水套式加热</w:t>
            </w:r>
          </w:p>
          <w:p w14:paraId="1AB52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2.11 恒温波动度：+0.2℃</w:t>
            </w:r>
          </w:p>
          <w:p w14:paraId="5216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2.12 温度均匀性：±0.5℃（空载37℃时）</w:t>
            </w:r>
          </w:p>
          <w:p w14:paraId="7B1D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2.13 温度分辨率：0.1℃</w:t>
            </w:r>
          </w:p>
          <w:p w14:paraId="4C859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2.14 输入功率：650W</w:t>
            </w:r>
          </w:p>
          <w:p w14:paraId="76652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2.15 内胆尺寸：长×宽×高不超过400mm×400mm×500mm</w:t>
            </w:r>
          </w:p>
          <w:p w14:paraId="264DD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2.16 外形尺寸：长×宽×高不超过580mm×570mm×800mm</w:t>
            </w:r>
          </w:p>
          <w:p w14:paraId="0700F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2.17 容积：80L</w:t>
            </w:r>
          </w:p>
          <w:p w14:paraId="16D15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配置要求：</w:t>
            </w:r>
          </w:p>
          <w:p w14:paraId="5DB8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  <w:t>隔水式恒温培养箱1台，载物托架2块，使用说明书1份，产品合格证1份，计量证书1份。</w:t>
            </w:r>
          </w:p>
        </w:tc>
      </w:tr>
      <w:tr w14:paraId="76DAD6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1" w:type="dxa"/>
            <w:vAlign w:val="center"/>
          </w:tcPr>
          <w:p w14:paraId="394AF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67" w:type="dxa"/>
            <w:vAlign w:val="center"/>
          </w:tcPr>
          <w:p w14:paraId="37802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离子色谱仪超滤模块</w:t>
            </w:r>
          </w:p>
        </w:tc>
        <w:tc>
          <w:tcPr>
            <w:tcW w:w="964" w:type="dxa"/>
            <w:vAlign w:val="center"/>
          </w:tcPr>
          <w:p w14:paraId="5F949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6252" w:type="dxa"/>
            <w:vAlign w:val="center"/>
          </w:tcPr>
          <w:p w14:paraId="4F2C5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用途：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用于单位现有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离子色谱仪的阴离子和阳离子测定。</w:t>
            </w:r>
          </w:p>
          <w:p w14:paraId="4E0B5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要求：</w:t>
            </w:r>
          </w:p>
          <w:p w14:paraId="1284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在线样品超滤系统</w:t>
            </w:r>
          </w:p>
          <w:p w14:paraId="1C4F2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.1可以实现河水、地表水、饮用水、井水等样品直接进样分析。</w:t>
            </w:r>
          </w:p>
          <w:p w14:paraId="2D1F1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.2超滤池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池体积:≤240μL。</w:t>
            </w:r>
          </w:p>
          <w:p w14:paraId="4A9A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.3处理膜孔径：≤0.22μm。</w:t>
            </w:r>
          </w:p>
          <w:p w14:paraId="14D4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.4必须采用螺旋式样品通道。</w:t>
            </w:r>
          </w:p>
          <w:p w14:paraId="7F610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.5每张膜可以处理300个以上样品。</w:t>
            </w:r>
          </w:p>
          <w:p w14:paraId="7CA9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智能部分样品环进样系统</w:t>
            </w:r>
          </w:p>
          <w:p w14:paraId="5643C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1可实现单标多点校正功能，只配一个标准样品，可自动完成多点校正曲线。</w:t>
            </w:r>
          </w:p>
          <w:p w14:paraId="5B000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.2采用顶压式活塞，精密数字定量管，内置智能芯片。</w:t>
            </w:r>
          </w:p>
          <w:p w14:paraId="49012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.3加液最小分辨率：1/10000或优于。</w:t>
            </w:r>
          </w:p>
          <w:p w14:paraId="6DA47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.4可与在线样品超滤系统联用。</w:t>
            </w:r>
          </w:p>
          <w:p w14:paraId="6B39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5可实现逻辑稀释功能，软件自动判断样品是否需要稀释。</w:t>
            </w:r>
          </w:p>
          <w:p w14:paraId="5083B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2.2.6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在线高精度稀释倍数由软件自动计算得出，无需人工介入。</w:t>
            </w:r>
          </w:p>
        </w:tc>
      </w:tr>
      <w:tr w14:paraId="39786C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  <w:jc w:val="center"/>
        </w:trPr>
        <w:tc>
          <w:tcPr>
            <w:tcW w:w="691" w:type="dxa"/>
            <w:vAlign w:val="center"/>
          </w:tcPr>
          <w:p w14:paraId="1DFA9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67" w:type="dxa"/>
            <w:vAlign w:val="center"/>
          </w:tcPr>
          <w:p w14:paraId="6FB63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台式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pH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计</w:t>
            </w:r>
          </w:p>
        </w:tc>
        <w:tc>
          <w:tcPr>
            <w:tcW w:w="964" w:type="dxa"/>
            <w:vAlign w:val="center"/>
          </w:tcPr>
          <w:p w14:paraId="3BD1E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6252" w:type="dxa"/>
            <w:vAlign w:val="center"/>
          </w:tcPr>
          <w:p w14:paraId="767136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1.用途：实验室大气降水酸度（pH值）项目测定，降水属于低离子强度稀水样，地表水酸度（pH值）的测定。</w:t>
            </w:r>
          </w:p>
          <w:p w14:paraId="291C38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2.执行标准：大气降水pH值的测定 电极法（GB13580.4-92）、水质pH值的测定电极法（HJ1147-2020）、酸沉降监测技术规范（HJ/T165-2004）</w:t>
            </w:r>
          </w:p>
          <w:p w14:paraId="627CE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3.性能要求：</w:t>
            </w:r>
          </w:p>
          <w:p w14:paraId="78608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3.1测试量程：-2.00——20.00 ± 0.01 pH</w:t>
            </w:r>
          </w:p>
          <w:p w14:paraId="68EDA1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-2.000——19.999 ± 0.005 pH</w:t>
            </w:r>
          </w:p>
          <w:p w14:paraId="0DF96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3.2准确度：±1200.0±0.3 mV</w:t>
            </w:r>
          </w:p>
          <w:p w14:paraId="2EF1D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±2500±1mV</w:t>
            </w:r>
          </w:p>
          <w:p w14:paraId="444711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3.3 玻璃电极</w:t>
            </w:r>
          </w:p>
          <w:p w14:paraId="52EEC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量程：0-13，温度范围：0-60℃</w:t>
            </w:r>
          </w:p>
          <w:p w14:paraId="707F3B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参比填充液 ：3M KCl Ag+ Free </w:t>
            </w:r>
          </w:p>
          <w:p w14:paraId="657678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内缓冲液 ：pH=7.0±0.25 </w:t>
            </w:r>
          </w:p>
          <w:p w14:paraId="7141C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接头：DIN</w:t>
            </w:r>
          </w:p>
          <w:p w14:paraId="112C7F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温度探头 ：内置NTC </w:t>
            </w:r>
          </w:p>
          <w:p w14:paraId="6A711C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3.4支持1-3点校准，自动识别标准缓冲溶液</w:t>
            </w:r>
          </w:p>
          <w:p w14:paraId="73D4B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3.5显示屏：背光LCD图表显示</w:t>
            </w:r>
          </w:p>
          <w:p w14:paraId="2A6BD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3.6防护等级：IP43</w:t>
            </w:r>
          </w:p>
          <w:p w14:paraId="20FA6A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3.7接口：微型USB接口</w:t>
            </w:r>
          </w:p>
          <w:p w14:paraId="295A13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3.8精度等级：0.01级</w:t>
            </w:r>
          </w:p>
          <w:p w14:paraId="47AB8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3.9pH测量范围：0.00-14.00pH；分辨率0.01pH/0.1℃/0.1 mV；</w:t>
            </w:r>
          </w:p>
          <w:p w14:paraId="08BBA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3.10温度测量0-60℃，具备自动温度补偿ATC</w:t>
            </w:r>
          </w:p>
          <w:p w14:paraId="0BB34B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3.11电极配套要求：必须配置 配套电极采用铂丝（Pt）液接界，适用于低电导降水、地表水pH测定。</w:t>
            </w:r>
          </w:p>
          <w:p w14:paraId="79C3E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3.12具备CMC连续测量控制功能：样品测量全过程实时监控电极斜率，与校准参数实时比对，漂移超标自动告警；仅校准后查看斜率不满足要求。</w:t>
            </w:r>
          </w:p>
          <w:p w14:paraId="474D39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3.13存贮器：500组</w:t>
            </w:r>
          </w:p>
          <w:p w14:paraId="2CB33E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4.配置要求</w:t>
            </w:r>
          </w:p>
          <w:p w14:paraId="78750D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该仪器将用于实验室测试，供应商提供的仪器配置应该包括在实验室测试使用的所有配件，包括但不限于：</w:t>
            </w:r>
          </w:p>
          <w:p w14:paraId="38517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4.1台式pH计主机1台</w:t>
            </w:r>
          </w:p>
          <w:p w14:paraId="0E6337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4.2 pH标准液STP4、STP7、STP10   50ml各一瓶</w:t>
            </w:r>
          </w:p>
          <w:p w14:paraId="13ADEB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4.3三复合pH电极1支及电极保护液1瓶、测量低离子浓度溶液的pH复合电极1支及电极保护液1瓶、</w:t>
            </w:r>
          </w:p>
          <w:p w14:paraId="43099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4.4数据线、电源、支架各一个，电源转接头四个</w:t>
            </w:r>
          </w:p>
          <w:p w14:paraId="665BA3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原版操作说明书1份、CD-ROM光盘内含：详细的操作说明书、检定/校准证书1份、合格证1份。</w:t>
            </w:r>
          </w:p>
        </w:tc>
      </w:tr>
      <w:tr w14:paraId="26D31F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4" w:type="dxa"/>
            <w:gridSpan w:val="4"/>
            <w:vAlign w:val="center"/>
          </w:tcPr>
          <w:p w14:paraId="3A9DB842">
            <w:pPr>
              <w:snapToGrid w:val="0"/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合计控制价：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20.00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万元</w:t>
            </w:r>
          </w:p>
        </w:tc>
      </w:tr>
    </w:tbl>
    <w:p w14:paraId="2400CD48">
      <w:pPr>
        <w:widowControl/>
        <w:shd w:val="clear" w:color="auto" w:fill="FFFFFF"/>
        <w:jc w:val="left"/>
        <w:rPr>
          <w:rFonts w:ascii="华文中宋" w:hAnsi="华文中宋" w:eastAsia="华文中宋" w:cs="华文中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zYzdkN2NmODQwNWExOGVhNjkzNTYzMDBlNDFlZDQifQ=="/>
  </w:docVars>
  <w:rsids>
    <w:rsidRoot w:val="662C033D"/>
    <w:rsid w:val="00031462"/>
    <w:rsid w:val="000E0702"/>
    <w:rsid w:val="001775DE"/>
    <w:rsid w:val="002449D8"/>
    <w:rsid w:val="002E036C"/>
    <w:rsid w:val="003043BD"/>
    <w:rsid w:val="0034255D"/>
    <w:rsid w:val="00381EBF"/>
    <w:rsid w:val="0039577E"/>
    <w:rsid w:val="003C2866"/>
    <w:rsid w:val="003C75F0"/>
    <w:rsid w:val="003D04F3"/>
    <w:rsid w:val="00401D08"/>
    <w:rsid w:val="004163C7"/>
    <w:rsid w:val="004321E2"/>
    <w:rsid w:val="004640EA"/>
    <w:rsid w:val="004B1E23"/>
    <w:rsid w:val="004C7D23"/>
    <w:rsid w:val="00503A66"/>
    <w:rsid w:val="005F48DD"/>
    <w:rsid w:val="0060413E"/>
    <w:rsid w:val="006128AE"/>
    <w:rsid w:val="00631985"/>
    <w:rsid w:val="006569BA"/>
    <w:rsid w:val="006C0F3F"/>
    <w:rsid w:val="007035B3"/>
    <w:rsid w:val="007619F3"/>
    <w:rsid w:val="00792E17"/>
    <w:rsid w:val="007D0AE8"/>
    <w:rsid w:val="008A7F99"/>
    <w:rsid w:val="008C6353"/>
    <w:rsid w:val="00952390"/>
    <w:rsid w:val="009842A1"/>
    <w:rsid w:val="00993E83"/>
    <w:rsid w:val="009A2A05"/>
    <w:rsid w:val="009D7A3F"/>
    <w:rsid w:val="009F7C9E"/>
    <w:rsid w:val="00A72364"/>
    <w:rsid w:val="00B66763"/>
    <w:rsid w:val="00BB3033"/>
    <w:rsid w:val="00BB62A7"/>
    <w:rsid w:val="00BC54FE"/>
    <w:rsid w:val="00C672C5"/>
    <w:rsid w:val="00C8253C"/>
    <w:rsid w:val="00CA088A"/>
    <w:rsid w:val="00D0289B"/>
    <w:rsid w:val="00D50010"/>
    <w:rsid w:val="00D679A1"/>
    <w:rsid w:val="00D7078D"/>
    <w:rsid w:val="00DD096B"/>
    <w:rsid w:val="00DD4480"/>
    <w:rsid w:val="00ED6A7A"/>
    <w:rsid w:val="00EF1F97"/>
    <w:rsid w:val="00F019D3"/>
    <w:rsid w:val="00F0622B"/>
    <w:rsid w:val="00F54DBA"/>
    <w:rsid w:val="00F82521"/>
    <w:rsid w:val="05422DA5"/>
    <w:rsid w:val="060F2573"/>
    <w:rsid w:val="061E0B8A"/>
    <w:rsid w:val="071A149F"/>
    <w:rsid w:val="112E4449"/>
    <w:rsid w:val="167F221E"/>
    <w:rsid w:val="179437E6"/>
    <w:rsid w:val="17BEABAA"/>
    <w:rsid w:val="1AC217DA"/>
    <w:rsid w:val="1D7C7F20"/>
    <w:rsid w:val="200F7270"/>
    <w:rsid w:val="2504136D"/>
    <w:rsid w:val="2B146660"/>
    <w:rsid w:val="2B8743D1"/>
    <w:rsid w:val="2BFF3A09"/>
    <w:rsid w:val="2C7CC87B"/>
    <w:rsid w:val="2C7D1A05"/>
    <w:rsid w:val="2FBFBF46"/>
    <w:rsid w:val="31701B38"/>
    <w:rsid w:val="3A7B57D6"/>
    <w:rsid w:val="3B644AC8"/>
    <w:rsid w:val="3B9963A2"/>
    <w:rsid w:val="3DBFC89D"/>
    <w:rsid w:val="3E0E6961"/>
    <w:rsid w:val="41635215"/>
    <w:rsid w:val="41650F8E"/>
    <w:rsid w:val="440B5E1C"/>
    <w:rsid w:val="489A5AB6"/>
    <w:rsid w:val="498A77E3"/>
    <w:rsid w:val="4A5D6CA6"/>
    <w:rsid w:val="4B06733D"/>
    <w:rsid w:val="4B4A7ED0"/>
    <w:rsid w:val="504C6970"/>
    <w:rsid w:val="511107EA"/>
    <w:rsid w:val="53FC7072"/>
    <w:rsid w:val="559B4B26"/>
    <w:rsid w:val="586E6522"/>
    <w:rsid w:val="59B7228C"/>
    <w:rsid w:val="5F0708FA"/>
    <w:rsid w:val="5F1B7FC8"/>
    <w:rsid w:val="5F683CCB"/>
    <w:rsid w:val="5FFF00E6"/>
    <w:rsid w:val="626131F6"/>
    <w:rsid w:val="626764BC"/>
    <w:rsid w:val="6271116C"/>
    <w:rsid w:val="628C1A54"/>
    <w:rsid w:val="6368723A"/>
    <w:rsid w:val="64976B1E"/>
    <w:rsid w:val="662C033D"/>
    <w:rsid w:val="66E2592E"/>
    <w:rsid w:val="67183979"/>
    <w:rsid w:val="69C2047C"/>
    <w:rsid w:val="6BFF5BE8"/>
    <w:rsid w:val="767A2DCF"/>
    <w:rsid w:val="795F3DBE"/>
    <w:rsid w:val="7B026D3F"/>
    <w:rsid w:val="7B7E49CD"/>
    <w:rsid w:val="7BB6DA32"/>
    <w:rsid w:val="7D5D42EC"/>
    <w:rsid w:val="7E2EF078"/>
    <w:rsid w:val="7FBF9225"/>
    <w:rsid w:val="7FDAEEAB"/>
    <w:rsid w:val="7FF7E3D9"/>
    <w:rsid w:val="7FFBC28A"/>
    <w:rsid w:val="AAAF1B5F"/>
    <w:rsid w:val="AEAEF503"/>
    <w:rsid w:val="BFBC80AD"/>
    <w:rsid w:val="DBD74AAD"/>
    <w:rsid w:val="DFF6B114"/>
    <w:rsid w:val="DFFF4F56"/>
    <w:rsid w:val="DFFFC011"/>
    <w:rsid w:val="E6CF8AA2"/>
    <w:rsid w:val="F3EEA968"/>
    <w:rsid w:val="F3EF068D"/>
    <w:rsid w:val="FCFEAB71"/>
    <w:rsid w:val="FDEF0E8C"/>
    <w:rsid w:val="FEFA5900"/>
    <w:rsid w:val="FFFD33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4"/>
    <w:autoRedefine/>
    <w:qFormat/>
    <w:uiPriority w:val="0"/>
    <w:rPr>
      <w:rFonts w:ascii="宋体" w:eastAsia="宋体"/>
      <w:sz w:val="18"/>
      <w:szCs w:val="18"/>
    </w:rPr>
  </w:style>
  <w:style w:type="paragraph" w:styleId="6">
    <w:name w:val="Balloon Text"/>
    <w:basedOn w:val="1"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autoRedefine/>
    <w:qFormat/>
    <w:uiPriority w:val="59"/>
    <w:pPr>
      <w:jc w:val="both"/>
    </w:pPr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character" w:customStyle="1" w:styleId="14">
    <w:name w:val="文档结构图 Char"/>
    <w:basedOn w:val="12"/>
    <w:link w:val="5"/>
    <w:autoRedefine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5">
    <w:name w:val="页眉 Char"/>
    <w:basedOn w:val="12"/>
    <w:link w:val="8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2"/>
    <w:link w:val="7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b-free-read-leaf"/>
    <w:basedOn w:val="1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1923</Words>
  <Characters>2280</Characters>
  <Lines>9</Lines>
  <Paragraphs>2</Paragraphs>
  <TotalTime>0</TotalTime>
  <ScaleCrop>false</ScaleCrop>
  <LinksUpToDate>false</LinksUpToDate>
  <CharactersWithSpaces>2307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2024-02-28T16:53:00Z</dcterms:created>
  <dc:creator>四处奔波</dc:creator>
  <cp:lastModifiedBy>一巧</cp:lastModifiedBy>
  <cp:lastPrinted>2026-08-13T09:41:00Z</cp:lastPrinted>
  <dcterms:modified xsi:type="dcterms:W3CDTF">2026-08-13T17:49:49Z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057CFD910537C51B494E7D6A1C00EA36_43</vt:lpwstr>
  </property>
  <property fmtid="{D5CDD505-2E9C-101B-9397-08002B2CF9AE}" pid="4" name="KSOTemplateDocerSaveRecord">
    <vt:lpwstr>eyJoZGlkIjoiYmU5ZmNiN2Q1ZWUwNjJhOTU3ZjcxZWRhNTYwODFlMDAiLCJ1c2VySWQiOiIxMTc5MjYwNDczIn0=</vt:lpwstr>
  </property>
</Properties>
</file>