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eastAsia="黑体"/>
          <w:bCs/>
          <w:sz w:val="44"/>
          <w:szCs w:val="44"/>
        </w:rPr>
      </w:pPr>
    </w:p>
    <w:p>
      <w:pPr>
        <w:spacing w:line="540" w:lineRule="exact"/>
        <w:jc w:val="center"/>
        <w:rPr>
          <w:rFonts w:eastAsia="黑体"/>
          <w:bCs/>
          <w:sz w:val="44"/>
          <w:szCs w:val="44"/>
        </w:rPr>
      </w:pPr>
    </w:p>
    <w:p>
      <w:pPr>
        <w:spacing w:line="540" w:lineRule="exact"/>
        <w:jc w:val="center"/>
        <w:rPr>
          <w:rFonts w:hint="eastAsia" w:ascii="仿宋_GB2312" w:hAnsi="仿宋_GB2312" w:cs="仿宋_GB2312"/>
          <w:b/>
          <w:sz w:val="44"/>
          <w:szCs w:val="44"/>
        </w:rPr>
      </w:pPr>
    </w:p>
    <w:p>
      <w:pPr>
        <w:spacing w:line="540" w:lineRule="exact"/>
        <w:jc w:val="center"/>
        <w:rPr>
          <w:rFonts w:hint="eastAsia" w:ascii="仿宋_GB2312" w:hAnsi="仿宋_GB2312" w:cs="仿宋_GB2312"/>
          <w:b/>
          <w:sz w:val="44"/>
          <w:szCs w:val="44"/>
        </w:rPr>
      </w:pPr>
      <w:r>
        <w:rPr>
          <w:rFonts w:hint="eastAsia" w:ascii="仿宋_GB2312" w:hAnsi="仿宋_GB2312" w:cs="仿宋_GB2312"/>
          <w:b/>
          <w:sz w:val="44"/>
          <w:szCs w:val="44"/>
        </w:rPr>
        <w:t>装配式建筑评价申请表</w:t>
      </w:r>
    </w:p>
    <w:p>
      <w:pPr>
        <w:spacing w:line="420" w:lineRule="exact"/>
        <w:jc w:val="center"/>
        <w:rPr>
          <w:rFonts w:hint="eastAsia" w:ascii="仿宋_GB2312" w:hAnsi="仿宋_GB2312" w:cs="仿宋_GB2312"/>
          <w:b/>
          <w:szCs w:val="22"/>
        </w:rPr>
      </w:pPr>
    </w:p>
    <w:p>
      <w:pPr>
        <w:spacing w:line="420" w:lineRule="exact"/>
        <w:jc w:val="center"/>
        <w:rPr>
          <w:rFonts w:hint="eastAsia" w:ascii="仿宋_GB2312" w:hAnsi="仿宋_GB2312" w:cs="仿宋_GB2312"/>
          <w:b/>
        </w:rPr>
      </w:pPr>
    </w:p>
    <w:p>
      <w:pPr>
        <w:spacing w:line="420" w:lineRule="exact"/>
        <w:jc w:val="center"/>
        <w:rPr>
          <w:rFonts w:hint="eastAsia" w:ascii="仿宋_GB2312" w:hAnsi="仿宋_GB2312" w:cs="仿宋_GB2312"/>
          <w:b/>
        </w:rPr>
      </w:pPr>
    </w:p>
    <w:p>
      <w:pPr>
        <w:spacing w:line="420" w:lineRule="exact"/>
        <w:jc w:val="center"/>
        <w:rPr>
          <w:rFonts w:hint="eastAsia" w:ascii="仿宋_GB2312" w:hAnsi="仿宋_GB2312" w:cs="仿宋_GB2312"/>
          <w:b/>
        </w:rPr>
      </w:pPr>
    </w:p>
    <w:p>
      <w:pPr>
        <w:spacing w:line="420" w:lineRule="exact"/>
        <w:jc w:val="center"/>
        <w:rPr>
          <w:rFonts w:hint="eastAsia" w:ascii="仿宋_GB2312" w:hAnsi="仿宋_GB2312" w:cs="仿宋_GB2312"/>
          <w:b/>
          <w:color w:val="FF0000"/>
        </w:rPr>
      </w:pPr>
    </w:p>
    <w:p>
      <w:pPr>
        <w:tabs>
          <w:tab w:val="left" w:pos="6580"/>
          <w:tab w:val="left" w:pos="6780"/>
        </w:tabs>
        <w:spacing w:line="360" w:lineRule="auto"/>
        <w:ind w:firstLine="1606" w:firstLineChars="500"/>
        <w:rPr>
          <w:rFonts w:hint="eastAsia" w:ascii="仿宋_GB2312" w:hAnsi="仿宋_GB2312" w:cs="仿宋_GB2312"/>
          <w:b/>
        </w:rPr>
      </w:pPr>
      <w:r>
        <w:rPr>
          <w:rFonts w:hint="eastAsia" w:ascii="仿宋_GB2312" w:hAnsi="仿宋_GB2312" w:cs="仿宋_GB2312"/>
          <w:b/>
        </w:rPr>
        <w:t>报建编号</w:t>
      </w:r>
      <w:r>
        <w:rPr>
          <w:rFonts w:hint="eastAsia" w:ascii="仿宋_GB2312" w:hAnsi="仿宋_GB2312" w:cs="仿宋_GB2312"/>
          <w:b/>
          <w:u w:val="single"/>
        </w:rPr>
        <w:t xml:space="preserve">   </w:t>
      </w:r>
      <w:r>
        <w:rPr>
          <w:rFonts w:hint="eastAsia" w:ascii="仿宋_GB2312" w:hAnsi="仿宋_GB2312" w:cs="仿宋_GB2312"/>
          <w:b/>
          <w:color w:val="auto"/>
          <w:u w:val="single"/>
        </w:rPr>
        <w:t xml:space="preserve"> </w:t>
      </w:r>
      <w:r>
        <w:rPr>
          <w:rFonts w:hint="eastAsia" w:ascii="仿宋_GB2312" w:hAnsi="仿宋_GB2312" w:cs="仿宋_GB2312"/>
          <w:b/>
          <w:color w:val="auto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cs="仿宋_GB2312"/>
          <w:b/>
          <w:color w:val="auto"/>
          <w:u w:val="single"/>
        </w:rPr>
        <w:t xml:space="preserve"> </w:t>
      </w:r>
      <w:r>
        <w:rPr>
          <w:rFonts w:hint="eastAsia" w:ascii="仿宋_GB2312" w:hAnsi="仿宋_GB2312" w:cs="仿宋_GB2312"/>
          <w:b/>
          <w:u w:val="single"/>
        </w:rPr>
        <w:t xml:space="preserve">  </w:t>
      </w:r>
      <w:r>
        <w:rPr>
          <w:rFonts w:ascii="仿宋_GB2312" w:hAnsi="仿宋_GB2312" w:cs="仿宋_GB2312"/>
          <w:b/>
          <w:szCs w:val="22"/>
          <w:u w:val="single"/>
        </w:rPr>
        <w:t xml:space="preserve"> </w:t>
      </w:r>
      <w:r>
        <w:rPr>
          <w:rFonts w:ascii="仿宋_GB2312" w:hAnsi="仿宋_GB2312" w:cs="仿宋_GB2312"/>
          <w:b/>
          <w:u w:val="single"/>
        </w:rPr>
        <w:t xml:space="preserve">   </w:t>
      </w:r>
      <w:r>
        <w:rPr>
          <w:rFonts w:hint="eastAsia" w:ascii="仿宋_GB2312" w:hAnsi="仿宋_GB2312" w:cs="仿宋_GB2312"/>
          <w:b/>
        </w:rPr>
        <w:t xml:space="preserve"> </w:t>
      </w:r>
      <w:r>
        <w:rPr>
          <w:rFonts w:ascii="仿宋_GB2312" w:hAnsi="仿宋_GB2312" w:cs="仿宋_GB2312"/>
          <w:b/>
        </w:rPr>
        <w:t xml:space="preserve">  </w:t>
      </w:r>
    </w:p>
    <w:p>
      <w:pPr>
        <w:tabs>
          <w:tab w:val="left" w:pos="6580"/>
          <w:tab w:val="left" w:pos="6780"/>
        </w:tabs>
        <w:spacing w:line="360" w:lineRule="auto"/>
        <w:ind w:firstLine="1606" w:firstLineChars="500"/>
        <w:rPr>
          <w:rFonts w:hint="eastAsia" w:ascii="仿宋_GB2312" w:hAnsi="仿宋_GB2312" w:cs="仿宋_GB2312"/>
          <w:b/>
        </w:rPr>
      </w:pPr>
    </w:p>
    <w:p>
      <w:pPr>
        <w:tabs>
          <w:tab w:val="left" w:pos="6580"/>
          <w:tab w:val="left" w:pos="6780"/>
        </w:tabs>
        <w:spacing w:line="360" w:lineRule="auto"/>
        <w:ind w:left="2885" w:leftChars="500" w:hanging="1285" w:hangingChars="400"/>
        <w:rPr>
          <w:rFonts w:hint="eastAsia" w:ascii="仿宋_GB2312" w:hAnsi="仿宋_GB2312" w:cs="仿宋_GB2312"/>
          <w:b/>
          <w:u w:val="single"/>
        </w:rPr>
      </w:pPr>
      <w:r>
        <w:rPr>
          <w:rFonts w:hint="eastAsia" w:ascii="仿宋_GB2312" w:hAnsi="仿宋_GB2312" w:cs="仿宋_GB2312"/>
          <w:b/>
        </w:rPr>
        <w:t>项目名称</w:t>
      </w:r>
      <w:r>
        <w:rPr>
          <w:rFonts w:ascii="仿宋_GB2312" w:hAnsi="仿宋_GB2312" w:cs="仿宋_GB2312"/>
          <w:b/>
          <w:u w:val="single"/>
        </w:rPr>
        <w:t xml:space="preserve">     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新投·臻樾府 </w:t>
      </w:r>
      <w:r>
        <w:rPr>
          <w:rFonts w:ascii="宋体" w:hAnsi="宋体" w:cs="宋体"/>
          <w:b/>
          <w:bCs/>
          <w:sz w:val="30"/>
          <w:szCs w:val="30"/>
          <w:u w:val="single"/>
        </w:rPr>
        <w:t xml:space="preserve">           </w:t>
      </w:r>
    </w:p>
    <w:p>
      <w:pPr>
        <w:tabs>
          <w:tab w:val="left" w:pos="6580"/>
          <w:tab w:val="left" w:pos="6780"/>
        </w:tabs>
        <w:spacing w:line="360" w:lineRule="auto"/>
        <w:ind w:left="2885" w:leftChars="500" w:hanging="1285" w:hangingChars="400"/>
        <w:rPr>
          <w:rFonts w:hint="eastAsia" w:ascii="仿宋_GB2312" w:hAnsi="仿宋_GB2312" w:cs="仿宋_GB2312"/>
          <w:b/>
          <w:u w:val="single"/>
        </w:rPr>
      </w:pPr>
    </w:p>
    <w:p>
      <w:pPr>
        <w:autoSpaceDE w:val="0"/>
        <w:autoSpaceDN w:val="0"/>
        <w:adjustRightInd w:val="0"/>
        <w:spacing w:line="360" w:lineRule="auto"/>
        <w:ind w:firstLine="1606" w:firstLineChars="500"/>
        <w:jc w:val="left"/>
        <w:rPr>
          <w:rFonts w:hint="eastAsia" w:ascii="宋体" w:hAnsi="宋体" w:cs="宋体"/>
          <w:b/>
          <w:bCs/>
          <w:sz w:val="30"/>
          <w:szCs w:val="30"/>
        </w:rPr>
      </w:pPr>
      <w:r>
        <w:rPr>
          <w:rFonts w:hint="eastAsia" w:ascii="仿宋_GB2312" w:hAnsi="仿宋_GB2312" w:cs="仿宋_GB2312"/>
          <w:b/>
        </w:rPr>
        <w:t>申报单位</w:t>
      </w:r>
      <w:r>
        <w:rPr>
          <w:rFonts w:ascii="仿宋_GB2312" w:hAnsi="仿宋_GB2312" w:cs="仿宋_GB2312"/>
          <w:b/>
          <w:u w:val="single"/>
        </w:rPr>
        <w:t xml:space="preserve">  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福州新投海新开发建设有限公司  </w:t>
      </w:r>
      <w:r>
        <w:rPr>
          <w:rFonts w:hint="eastAsia" w:ascii="仿宋_GB2312" w:hAnsi="仿宋_GB2312" w:cs="仿宋_GB2312"/>
          <w:b/>
        </w:rPr>
        <w:t>（盖章）</w:t>
      </w:r>
    </w:p>
    <w:p>
      <w:pPr>
        <w:tabs>
          <w:tab w:val="left" w:pos="6580"/>
          <w:tab w:val="left" w:pos="6780"/>
        </w:tabs>
        <w:spacing w:line="360" w:lineRule="auto"/>
        <w:ind w:firstLine="1606" w:firstLineChars="500"/>
        <w:rPr>
          <w:rFonts w:hint="eastAsia" w:ascii="仿宋_GB2312" w:hAnsi="仿宋_GB2312" w:cs="仿宋_GB2312"/>
          <w:b/>
        </w:rPr>
      </w:pPr>
    </w:p>
    <w:p>
      <w:pPr>
        <w:tabs>
          <w:tab w:val="left" w:pos="6580"/>
          <w:tab w:val="left" w:pos="6780"/>
        </w:tabs>
        <w:spacing w:line="360" w:lineRule="auto"/>
        <w:ind w:firstLine="1606" w:firstLineChars="500"/>
        <w:rPr>
          <w:rFonts w:hint="eastAsia" w:ascii="仿宋_GB2312" w:hAnsi="仿宋_GB2312" w:cs="仿宋_GB2312"/>
          <w:b/>
          <w:u w:val="single"/>
        </w:rPr>
      </w:pPr>
      <w:r>
        <w:rPr>
          <w:rFonts w:hint="eastAsia" w:ascii="仿宋_GB2312" w:hAnsi="仿宋_GB2312" w:cs="仿宋_GB2312"/>
          <w:b/>
        </w:rPr>
        <w:t>主管部门</w:t>
      </w:r>
      <w:r>
        <w:rPr>
          <w:rFonts w:hint="eastAsia" w:ascii="仿宋_GB2312" w:hAnsi="仿宋_GB2312" w:cs="仿宋_GB2312"/>
          <w:b/>
          <w:u w:val="single"/>
        </w:rPr>
        <w:t xml:space="preserve">  </w:t>
      </w:r>
      <w:r>
        <w:rPr>
          <w:rFonts w:hint="eastAsia" w:ascii="宋体" w:hAnsi="宋体" w:cs="宋体"/>
          <w:b/>
          <w:sz w:val="30"/>
          <w:szCs w:val="30"/>
          <w:u w:val="single"/>
        </w:rPr>
        <w:t>福州市长乐区住房和城乡建设局</w:t>
      </w:r>
      <w:r>
        <w:rPr>
          <w:rFonts w:hint="eastAsia" w:ascii="仿宋_GB2312" w:hAnsi="仿宋_GB2312" w:cs="仿宋_GB2312"/>
          <w:b/>
          <w:u w:val="single"/>
        </w:rPr>
        <w:t xml:space="preserve"> </w:t>
      </w:r>
    </w:p>
    <w:p>
      <w:pPr>
        <w:tabs>
          <w:tab w:val="left" w:pos="6580"/>
          <w:tab w:val="left" w:pos="6780"/>
        </w:tabs>
        <w:spacing w:line="360" w:lineRule="auto"/>
        <w:ind w:firstLine="1606" w:firstLineChars="500"/>
        <w:rPr>
          <w:rFonts w:hint="eastAsia" w:ascii="仿宋_GB2312" w:hAnsi="仿宋_GB2312" w:cs="仿宋_GB2312"/>
          <w:b/>
        </w:rPr>
      </w:pPr>
    </w:p>
    <w:p>
      <w:pPr>
        <w:tabs>
          <w:tab w:val="left" w:pos="6580"/>
          <w:tab w:val="left" w:pos="6780"/>
        </w:tabs>
        <w:spacing w:line="360" w:lineRule="auto"/>
        <w:ind w:firstLine="1606" w:firstLineChars="500"/>
        <w:rPr>
          <w:rFonts w:hint="eastAsia" w:ascii="仿宋_GB2312" w:hAnsi="仿宋_GB2312" w:cs="仿宋_GB2312"/>
          <w:b/>
        </w:rPr>
      </w:pPr>
      <w:r>
        <w:rPr>
          <w:rFonts w:hint="eastAsia" w:ascii="仿宋_GB2312" w:hAnsi="仿宋_GB2312" w:cs="仿宋_GB2312"/>
          <w:b/>
        </w:rPr>
        <w:t>申报时间</w:t>
      </w:r>
      <w:r>
        <w:rPr>
          <w:rFonts w:hint="eastAsia" w:ascii="仿宋_GB2312" w:hAnsi="仿宋_GB2312" w:cs="仿宋_GB2312"/>
          <w:b/>
          <w:u w:val="single"/>
        </w:rPr>
        <w:t xml:space="preserve">  </w:t>
      </w:r>
      <w:r>
        <w:rPr>
          <w:rFonts w:ascii="仿宋_GB2312" w:hAnsi="仿宋_GB2312" w:cs="仿宋_GB2312"/>
          <w:b/>
          <w:szCs w:val="22"/>
          <w:u w:val="single"/>
        </w:rPr>
        <w:t xml:space="preserve">   </w:t>
      </w:r>
      <w:r>
        <w:rPr>
          <w:rFonts w:hint="eastAsia" w:ascii="仿宋_GB2312" w:hAnsi="仿宋_GB2312" w:cs="仿宋_GB2312"/>
          <w:b/>
          <w:u w:val="single"/>
        </w:rPr>
        <w:t xml:space="preserve">  </w:t>
      </w:r>
      <w:r>
        <w:rPr>
          <w:rFonts w:hint="eastAsia" w:ascii="仿宋_GB2312" w:hAnsi="仿宋_GB2312" w:cs="仿宋_GB2312"/>
          <w:b/>
        </w:rPr>
        <w:t>年</w:t>
      </w:r>
      <w:r>
        <w:rPr>
          <w:rFonts w:hint="eastAsia" w:ascii="仿宋_GB2312" w:hAnsi="仿宋_GB2312" w:cs="仿宋_GB2312"/>
          <w:b/>
          <w:u w:val="single"/>
        </w:rPr>
        <w:t xml:space="preserve">  </w:t>
      </w:r>
      <w:r>
        <w:rPr>
          <w:rFonts w:ascii="仿宋_GB2312" w:hAnsi="仿宋_GB2312" w:cs="仿宋_GB2312"/>
          <w:b/>
          <w:szCs w:val="22"/>
          <w:u w:val="single"/>
        </w:rPr>
        <w:t xml:space="preserve">  </w:t>
      </w:r>
      <w:r>
        <w:rPr>
          <w:rFonts w:hint="eastAsia" w:ascii="仿宋_GB2312" w:hAnsi="仿宋_GB2312" w:cs="仿宋_GB2312"/>
          <w:b/>
          <w:u w:val="single"/>
        </w:rPr>
        <w:t xml:space="preserve"> </w:t>
      </w:r>
      <w:r>
        <w:rPr>
          <w:rFonts w:hint="eastAsia" w:ascii="仿宋_GB2312" w:hAnsi="仿宋_GB2312" w:cs="仿宋_GB2312"/>
          <w:b/>
        </w:rPr>
        <w:t>月</w:t>
      </w:r>
      <w:r>
        <w:rPr>
          <w:rFonts w:hint="eastAsia" w:ascii="仿宋_GB2312" w:hAnsi="仿宋_GB2312" w:cs="仿宋_GB2312"/>
          <w:b/>
          <w:u w:val="single"/>
        </w:rPr>
        <w:t xml:space="preserve">  </w:t>
      </w:r>
      <w:r>
        <w:rPr>
          <w:rFonts w:ascii="仿宋_GB2312" w:hAnsi="仿宋_GB2312" w:cs="仿宋_GB2312"/>
          <w:b/>
          <w:u w:val="single"/>
        </w:rPr>
        <w:t xml:space="preserve">  </w:t>
      </w:r>
      <w:r>
        <w:rPr>
          <w:rFonts w:hint="eastAsia" w:ascii="仿宋_GB2312" w:hAnsi="仿宋_GB2312" w:cs="仿宋_GB2312"/>
          <w:b/>
        </w:rPr>
        <w:t>日</w:t>
      </w:r>
    </w:p>
    <w:p>
      <w:pPr>
        <w:tabs>
          <w:tab w:val="left" w:pos="6580"/>
          <w:tab w:val="left" w:pos="6780"/>
        </w:tabs>
        <w:rPr>
          <w:rFonts w:hint="eastAsia" w:eastAsia="等线"/>
          <w:b/>
        </w:rPr>
      </w:pPr>
    </w:p>
    <w:p>
      <w:pPr>
        <w:spacing w:line="440" w:lineRule="atLeast"/>
        <w:jc w:val="center"/>
        <w:rPr>
          <w:rFonts w:ascii="方正小标宋简体" w:eastAsia="方正小标宋简体"/>
          <w:bCs/>
          <w:sz w:val="44"/>
        </w:rPr>
      </w:pPr>
      <w:r>
        <w:rPr>
          <w:rFonts w:eastAsia="Times New Roman"/>
          <w:bCs/>
          <w:sz w:val="44"/>
        </w:rPr>
        <w:br w:type="page"/>
      </w:r>
      <w:r>
        <w:rPr>
          <w:rFonts w:hint="eastAsia" w:ascii="方正小标宋简体" w:hAnsi="黑体" w:eastAsia="方正小标宋简体"/>
          <w:bCs/>
          <w:sz w:val="44"/>
        </w:rPr>
        <w:t>填写说明</w:t>
      </w:r>
    </w:p>
    <w:p>
      <w:pPr>
        <w:spacing w:line="440" w:lineRule="atLeast"/>
        <w:jc w:val="center"/>
        <w:rPr>
          <w:rFonts w:hint="eastAsia" w:eastAsia="黑体"/>
          <w:bCs/>
          <w:sz w:val="44"/>
        </w:rPr>
      </w:pPr>
    </w:p>
    <w:p>
      <w:pPr>
        <w:spacing w:line="360" w:lineRule="auto"/>
        <w:ind w:firstLine="640" w:firstLineChars="200"/>
        <w:rPr>
          <w:szCs w:val="32"/>
        </w:rPr>
      </w:pPr>
      <w:r>
        <w:rPr>
          <w:szCs w:val="32"/>
        </w:rPr>
        <w:t>1</w:t>
      </w:r>
      <w:r>
        <w:rPr>
          <w:rFonts w:hint="eastAsia" w:hAnsi="仿宋_GB2312"/>
          <w:szCs w:val="32"/>
        </w:rPr>
        <w:t>．申报表一律采用小四号仿宋字体填写，以</w:t>
      </w:r>
      <w:r>
        <w:rPr>
          <w:szCs w:val="32"/>
        </w:rPr>
        <w:t>A4</w:t>
      </w:r>
      <w:r>
        <w:rPr>
          <w:rFonts w:hint="eastAsia" w:hAnsi="仿宋_GB2312"/>
          <w:szCs w:val="32"/>
        </w:rPr>
        <w:t>纸打印，一式四份。</w:t>
      </w:r>
    </w:p>
    <w:p>
      <w:pPr>
        <w:spacing w:line="360" w:lineRule="auto"/>
        <w:ind w:firstLine="640" w:firstLineChars="200"/>
        <w:rPr>
          <w:szCs w:val="32"/>
        </w:rPr>
      </w:pPr>
      <w:r>
        <w:rPr>
          <w:szCs w:val="32"/>
        </w:rPr>
        <w:t>2</w:t>
      </w:r>
      <w:r>
        <w:rPr>
          <w:rFonts w:hint="eastAsia" w:hAnsi="仿宋_GB2312"/>
          <w:szCs w:val="32"/>
        </w:rPr>
        <w:t>．申报表封面的</w:t>
      </w:r>
      <w:r>
        <w:rPr>
          <w:szCs w:val="32"/>
        </w:rPr>
        <w:t>“</w:t>
      </w:r>
      <w:r>
        <w:rPr>
          <w:rFonts w:hint="eastAsia" w:hAnsi="仿宋_GB2312"/>
          <w:szCs w:val="32"/>
        </w:rPr>
        <w:t>项目名称</w:t>
      </w:r>
      <w:r>
        <w:rPr>
          <w:szCs w:val="32"/>
        </w:rPr>
        <w:t>”</w:t>
      </w:r>
      <w:r>
        <w:rPr>
          <w:rFonts w:hint="eastAsia" w:hAnsi="仿宋_GB2312"/>
          <w:szCs w:val="32"/>
        </w:rPr>
        <w:t>与施工许可证的</w:t>
      </w:r>
      <w:r>
        <w:rPr>
          <w:szCs w:val="32"/>
        </w:rPr>
        <w:t>“</w:t>
      </w:r>
      <w:r>
        <w:rPr>
          <w:rFonts w:hint="eastAsia" w:hAnsi="仿宋_GB2312"/>
          <w:szCs w:val="32"/>
        </w:rPr>
        <w:t>工程名称</w:t>
      </w:r>
      <w:r>
        <w:rPr>
          <w:szCs w:val="32"/>
        </w:rPr>
        <w:t>”</w:t>
      </w:r>
      <w:r>
        <w:rPr>
          <w:rFonts w:hint="eastAsia" w:hAnsi="仿宋_GB2312"/>
          <w:szCs w:val="32"/>
        </w:rPr>
        <w:t>应一致。</w:t>
      </w:r>
    </w:p>
    <w:p>
      <w:pPr>
        <w:spacing w:line="360" w:lineRule="auto"/>
        <w:ind w:firstLine="640" w:firstLineChars="200"/>
        <w:rPr>
          <w:szCs w:val="32"/>
        </w:rPr>
      </w:pPr>
      <w:r>
        <w:rPr>
          <w:szCs w:val="32"/>
        </w:rPr>
        <w:t>3</w:t>
      </w:r>
      <w:r>
        <w:rPr>
          <w:rFonts w:hint="eastAsia"/>
          <w:szCs w:val="32"/>
        </w:rPr>
        <w:t>．</w:t>
      </w:r>
      <w:r>
        <w:rPr>
          <w:rFonts w:hint="eastAsia" w:hAnsi="仿宋_GB2312"/>
          <w:szCs w:val="32"/>
        </w:rPr>
        <w:t>项目涉及的设计、施工、监理、部品部件生产单位暂未确定的填写</w:t>
      </w:r>
      <w:r>
        <w:rPr>
          <w:szCs w:val="32"/>
        </w:rPr>
        <w:t>“</w:t>
      </w:r>
      <w:r>
        <w:rPr>
          <w:rFonts w:hint="eastAsia" w:hAnsi="仿宋_GB2312"/>
          <w:szCs w:val="32"/>
        </w:rPr>
        <w:t>未确定</w:t>
      </w:r>
      <w:r>
        <w:rPr>
          <w:szCs w:val="32"/>
        </w:rPr>
        <w:t>”</w:t>
      </w:r>
      <w:r>
        <w:rPr>
          <w:rFonts w:hint="eastAsia" w:hAnsi="仿宋_GB2312"/>
          <w:szCs w:val="32"/>
        </w:rPr>
        <w:t>。</w:t>
      </w:r>
    </w:p>
    <w:p>
      <w:pPr>
        <w:spacing w:line="360" w:lineRule="auto"/>
        <w:ind w:firstLine="640" w:firstLineChars="200"/>
        <w:rPr>
          <w:szCs w:val="32"/>
        </w:rPr>
      </w:pPr>
    </w:p>
    <w:p>
      <w:pPr>
        <w:spacing w:line="360" w:lineRule="auto"/>
        <w:ind w:firstLine="640" w:firstLineChars="200"/>
        <w:rPr>
          <w:szCs w:val="32"/>
        </w:rPr>
      </w:pPr>
    </w:p>
    <w:p>
      <w:pPr>
        <w:spacing w:line="360" w:lineRule="auto"/>
        <w:ind w:firstLine="640" w:firstLineChars="200"/>
        <w:rPr>
          <w:szCs w:val="32"/>
        </w:rPr>
      </w:pPr>
    </w:p>
    <w:p>
      <w:pPr>
        <w:spacing w:line="240" w:lineRule="atLeast"/>
        <w:rPr>
          <w:sz w:val="30"/>
          <w:szCs w:val="22"/>
        </w:rPr>
      </w:pPr>
    </w:p>
    <w:p>
      <w:pPr>
        <w:spacing w:line="240" w:lineRule="atLeast"/>
        <w:rPr>
          <w:sz w:val="30"/>
        </w:rPr>
      </w:pPr>
    </w:p>
    <w:p>
      <w:pPr>
        <w:spacing w:line="240" w:lineRule="atLeast"/>
        <w:rPr>
          <w:sz w:val="30"/>
        </w:rPr>
      </w:pPr>
    </w:p>
    <w:p>
      <w:pPr>
        <w:spacing w:line="240" w:lineRule="atLeast"/>
        <w:rPr>
          <w:sz w:val="30"/>
        </w:rPr>
      </w:pPr>
    </w:p>
    <w:p>
      <w:pPr>
        <w:spacing w:line="240" w:lineRule="atLeast"/>
        <w:rPr>
          <w:sz w:val="30"/>
        </w:rPr>
      </w:pPr>
    </w:p>
    <w:p>
      <w:pPr>
        <w:spacing w:line="240" w:lineRule="atLeast"/>
        <w:rPr>
          <w:sz w:val="30"/>
        </w:rPr>
      </w:pPr>
    </w:p>
    <w:p>
      <w:pPr>
        <w:spacing w:line="240" w:lineRule="atLeast"/>
        <w:rPr>
          <w:sz w:val="30"/>
        </w:rPr>
      </w:pPr>
      <w:r>
        <w:rPr>
          <w:sz w:val="30"/>
        </w:rPr>
        <w:br w:type="page"/>
      </w:r>
    </w:p>
    <w:tbl>
      <w:tblPr>
        <w:tblStyle w:val="12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378"/>
        <w:gridCol w:w="1112"/>
        <w:gridCol w:w="636"/>
        <w:gridCol w:w="73"/>
        <w:gridCol w:w="425"/>
        <w:gridCol w:w="284"/>
        <w:gridCol w:w="54"/>
        <w:gridCol w:w="591"/>
        <w:gridCol w:w="904"/>
        <w:gridCol w:w="335"/>
        <w:gridCol w:w="569"/>
        <w:gridCol w:w="737"/>
        <w:gridCol w:w="166"/>
        <w:gridCol w:w="904"/>
        <w:gridCol w:w="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0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黑体" w:hAnsi="黑体" w:eastAsia="黑体" w:cs="Times New Roman"/>
                <w:sz w:val="30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30"/>
                <w:szCs w:val="30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Times New Roman" w:cs="Times New Roman"/>
                <w:sz w:val="30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建筑类型</w:t>
            </w:r>
          </w:p>
        </w:tc>
        <w:tc>
          <w:tcPr>
            <w:tcW w:w="770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 w:val="30"/>
                <w:szCs w:val="22"/>
              </w:rPr>
            </w:pPr>
            <w:r>
              <w:rPr>
                <w:rFonts w:hint="default" w:ascii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hint="eastAsia" w:ascii="仿宋_GB2312" w:hAnsi="Times New Roman" w:cs="Times New Roman"/>
                <w:sz w:val="24"/>
                <w:szCs w:val="20"/>
              </w:rPr>
              <w:sym w:font="Wingdings 2" w:char="0052"/>
            </w:r>
            <w:r>
              <w:rPr>
                <w:rFonts w:hint="eastAsia" w:ascii="Times New Roman" w:hAnsi="Times New Roman" w:cs="Times New Roman"/>
                <w:sz w:val="24"/>
                <w:szCs w:val="20"/>
              </w:rPr>
              <w:t>居住建筑</w:t>
            </w:r>
            <w:r>
              <w:rPr>
                <w:rFonts w:hint="default" w:ascii="Times New Roman" w:hAnsi="Times New Roman" w:cs="Times New Roman"/>
                <w:sz w:val="24"/>
                <w:szCs w:val="20"/>
              </w:rPr>
              <w:t xml:space="preserve">    </w:t>
            </w:r>
            <w:r>
              <w:rPr>
                <w:rFonts w:hint="eastAsia" w:ascii="仿宋_GB2312" w:cs="Times New Roman"/>
                <w:sz w:val="24"/>
                <w:szCs w:val="20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szCs w:val="20"/>
              </w:rPr>
              <w:t>公共建筑</w:t>
            </w:r>
            <w:r>
              <w:rPr>
                <w:rFonts w:hint="default" w:ascii="Times New Roman" w:hAnsi="Times New Roman" w:cs="Times New Roman"/>
                <w:sz w:val="24"/>
                <w:szCs w:val="20"/>
              </w:rPr>
              <w:t xml:space="preserve">    </w:t>
            </w:r>
            <w:r>
              <w:rPr>
                <w:rFonts w:hint="eastAsia" w:ascii="仿宋_GB2312" w:hAnsi="Times New Roman" w:cs="Times New Roman"/>
                <w:sz w:val="24"/>
                <w:szCs w:val="20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szCs w:val="20"/>
              </w:rPr>
              <w:t>其他</w:t>
            </w:r>
            <w:r>
              <w:rPr>
                <w:rFonts w:hint="default" w:ascii="Times New Roman" w:hAnsi="Times New Roman" w:cs="Times New Roman"/>
                <w:sz w:val="24"/>
                <w:szCs w:val="20"/>
                <w:u w:val="single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sz w:val="24"/>
                <w:szCs w:val="20"/>
              </w:rPr>
              <w:t>（选项打</w:t>
            </w:r>
            <w:r>
              <w:rPr>
                <w:rFonts w:hint="eastAsia" w:ascii="MS Mincho" w:hAnsi="MS Mincho" w:eastAsia="MS Mincho" w:cs="MS Mincho"/>
                <w:sz w:val="24"/>
                <w:szCs w:val="20"/>
              </w:rPr>
              <w:t>☑</w:t>
            </w:r>
            <w:r>
              <w:rPr>
                <w:rFonts w:hint="eastAsia" w:ascii="Times New Roman" w:hAnsi="Times New Roman" w:cs="Times New Roman"/>
                <w:sz w:val="24"/>
                <w:szCs w:val="20"/>
              </w:rPr>
              <w:t>，下同）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 w:val="30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申请评价阶段</w:t>
            </w:r>
          </w:p>
        </w:tc>
        <w:tc>
          <w:tcPr>
            <w:tcW w:w="770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 w:val="30"/>
                <w:szCs w:val="22"/>
              </w:rPr>
            </w:pPr>
            <w:r>
              <w:rPr>
                <w:rFonts w:hint="eastAsia" w:ascii="仿宋_GB2312" w:hAnsi="Times New Roman" w:cs="Times New Roman"/>
                <w:sz w:val="24"/>
                <w:szCs w:val="20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4"/>
                <w:szCs w:val="20"/>
              </w:rPr>
              <w:t>设计阶段预评价</w:t>
            </w:r>
            <w:r>
              <w:rPr>
                <w:rFonts w:hint="default" w:ascii="Times New Roman" w:hAnsi="Times New Roman" w:cs="Times New Roman"/>
                <w:sz w:val="24"/>
                <w:szCs w:val="20"/>
              </w:rPr>
              <w:t xml:space="preserve">            </w:t>
            </w:r>
            <w:r>
              <w:rPr>
                <w:rFonts w:hint="eastAsia" w:ascii="仿宋_GB2312" w:cs="Times New Roman"/>
                <w:sz w:val="24"/>
                <w:szCs w:val="20"/>
                <w:lang w:eastAsia="zh-CN"/>
              </w:rPr>
              <w:t>☑</w:t>
            </w:r>
            <w:r>
              <w:rPr>
                <w:rFonts w:hint="eastAsia" w:ascii="Times New Roman" w:hAnsi="Times New Roman" w:cs="Times New Roman"/>
                <w:sz w:val="24"/>
                <w:szCs w:val="20"/>
              </w:rPr>
              <w:t>施工阶段评价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项目名称</w:t>
            </w:r>
          </w:p>
        </w:tc>
        <w:tc>
          <w:tcPr>
            <w:tcW w:w="770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新投·臻樾府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项目所在地</w:t>
            </w:r>
          </w:p>
        </w:tc>
        <w:tc>
          <w:tcPr>
            <w:tcW w:w="770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福州滨海新城漳江路东侧、湖文支路南侧、漳江支路西侧、金滨路北侧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实施装配式建造情况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装配式建筑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栋号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结构类型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建筑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面积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m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）</w:t>
            </w:r>
          </w:p>
        </w:tc>
        <w:tc>
          <w:tcPr>
            <w:tcW w:w="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主体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结构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Q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得分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围护墙和内隔墙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Q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  <w:t>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得分</w:t>
            </w:r>
          </w:p>
        </w:tc>
        <w:tc>
          <w:tcPr>
            <w:tcW w:w="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装修与设备管线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Q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  <w:t>3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得分</w:t>
            </w:r>
          </w:p>
        </w:tc>
        <w:tc>
          <w:tcPr>
            <w:tcW w:w="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技术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创新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Q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  <w:t>4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得分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单体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建筑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装配率（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%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评价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default" w:ascii="仿宋_GB2312" w:hAnsi="仿宋_GB2312" w:cs="仿宋_GB2312"/>
                <w:sz w:val="21"/>
                <w:szCs w:val="21"/>
              </w:rPr>
              <w:t>1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#</w:t>
            </w:r>
          </w:p>
        </w:tc>
        <w:tc>
          <w:tcPr>
            <w:tcW w:w="11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240" w:right="0" w:hanging="240" w:hangingChars="10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cs="Times New Roman"/>
                <w:sz w:val="24"/>
                <w:szCs w:val="20"/>
              </w:rPr>
              <w:sym w:font="Wingdings 2" w:char="0052"/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装配式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混凝土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210" w:right="0" w:hanging="210" w:hangingChars="10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cs="Times New Roman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装配式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钢结构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cs="Times New Roman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装配式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木结构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cs="Times New Roman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装配式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混合结构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仿宋_GB2312" w:cs="仿宋_GB2312"/>
                <w:color w:val="auto"/>
                <w:sz w:val="21"/>
                <w:szCs w:val="21"/>
              </w:rPr>
            </w:pPr>
            <w:r>
              <w:rPr>
                <w:rFonts w:hint="default" w:ascii="仿宋_GB2312" w:hAnsi="仿宋_GB2312" w:cs="仿宋_GB2312"/>
                <w:color w:val="auto"/>
                <w:sz w:val="21"/>
                <w:szCs w:val="21"/>
              </w:rPr>
              <w:t xml:space="preserve">6634.52  </w:t>
            </w:r>
          </w:p>
        </w:tc>
        <w:tc>
          <w:tcPr>
            <w:tcW w:w="92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3</w:t>
            </w:r>
            <w:r>
              <w:rPr>
                <w:rFonts w:hint="default" w:ascii="仿宋_GB2312" w:hAnsi="仿宋_GB2312" w:cs="仿宋_GB2312"/>
                <w:sz w:val="21"/>
                <w:szCs w:val="21"/>
              </w:rPr>
              <w:t>2.4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10</w:t>
            </w:r>
          </w:p>
        </w:tc>
        <w:tc>
          <w:tcPr>
            <w:tcW w:w="9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default" w:ascii="仿宋_GB2312" w:hAnsi="仿宋_GB2312" w:cs="仿宋_GB2312"/>
                <w:sz w:val="21"/>
                <w:szCs w:val="21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5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不评级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仿宋_GB2312" w:cs="仿宋_GB2312"/>
                <w:sz w:val="21"/>
                <w:szCs w:val="21"/>
              </w:rPr>
            </w:pPr>
            <w:r>
              <w:rPr>
                <w:rFonts w:hint="default" w:ascii="仿宋_GB2312" w:hAnsi="仿宋_GB2312" w:cs="仿宋_GB2312"/>
                <w:sz w:val="21"/>
                <w:szCs w:val="21"/>
              </w:rPr>
              <w:t>2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#</w:t>
            </w:r>
          </w:p>
        </w:tc>
        <w:tc>
          <w:tcPr>
            <w:tcW w:w="11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240" w:right="0" w:hanging="240" w:hangingChars="100"/>
              <w:rPr>
                <w:rFonts w:hint="eastAsia" w:ascii="仿宋_GB2312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仿宋_GB2312" w:cs="仿宋_GB2312"/>
                <w:color w:val="auto"/>
                <w:sz w:val="21"/>
                <w:szCs w:val="21"/>
              </w:rPr>
            </w:pPr>
            <w:r>
              <w:rPr>
                <w:rFonts w:hint="default" w:ascii="仿宋_GB2312" w:hAnsi="仿宋_GB2312" w:cs="仿宋_GB2312"/>
                <w:color w:val="auto"/>
                <w:sz w:val="21"/>
                <w:szCs w:val="21"/>
              </w:rPr>
              <w:t>7555.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74</w:t>
            </w:r>
            <w:r>
              <w:rPr>
                <w:rFonts w:hint="default" w:ascii="仿宋_GB2312" w:hAnsi="仿宋_GB2312" w:cs="仿宋_GB2312"/>
                <w:color w:val="auto"/>
                <w:sz w:val="21"/>
                <w:szCs w:val="21"/>
              </w:rPr>
              <w:t xml:space="preserve">  </w:t>
            </w:r>
          </w:p>
        </w:tc>
        <w:tc>
          <w:tcPr>
            <w:tcW w:w="92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3</w:t>
            </w:r>
            <w:r>
              <w:rPr>
                <w:rFonts w:hint="default" w:ascii="仿宋_GB2312" w:hAnsi="仿宋_GB2312" w:cs="仿宋_GB2312"/>
                <w:sz w:val="21"/>
                <w:szCs w:val="21"/>
              </w:rPr>
              <w:t>2.4</w:t>
            </w:r>
          </w:p>
        </w:tc>
        <w:tc>
          <w:tcPr>
            <w:tcW w:w="90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10</w:t>
            </w:r>
          </w:p>
        </w:tc>
        <w:tc>
          <w:tcPr>
            <w:tcW w:w="90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仿宋_GB2312" w:cs="仿宋_GB2312"/>
                <w:sz w:val="21"/>
                <w:szCs w:val="21"/>
              </w:rPr>
            </w:pPr>
            <w:r>
              <w:rPr>
                <w:rFonts w:hint="default" w:ascii="仿宋_GB2312" w:hAnsi="仿宋_GB2312" w:cs="仿宋_GB2312"/>
                <w:sz w:val="21"/>
                <w:szCs w:val="21"/>
              </w:rPr>
              <w:t>0</w:t>
            </w:r>
          </w:p>
        </w:tc>
        <w:tc>
          <w:tcPr>
            <w:tcW w:w="90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90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5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1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不评级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仿宋_GB2312" w:cs="仿宋_GB2312"/>
                <w:sz w:val="21"/>
                <w:szCs w:val="21"/>
              </w:rPr>
            </w:pPr>
            <w:r>
              <w:rPr>
                <w:rFonts w:hint="default" w:ascii="仿宋_GB2312" w:hAnsi="仿宋_GB2312" w:cs="仿宋_GB2312"/>
                <w:sz w:val="21"/>
                <w:szCs w:val="21"/>
              </w:rPr>
              <w:t>5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#</w:t>
            </w:r>
          </w:p>
        </w:tc>
        <w:tc>
          <w:tcPr>
            <w:tcW w:w="11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240" w:right="0" w:hanging="240" w:hangingChars="100"/>
              <w:rPr>
                <w:rFonts w:hint="eastAsia" w:ascii="仿宋_GB2312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仿宋_GB2312" w:cs="仿宋_GB2312"/>
                <w:color w:val="auto"/>
                <w:sz w:val="21"/>
                <w:szCs w:val="21"/>
              </w:rPr>
            </w:pPr>
            <w:r>
              <w:rPr>
                <w:rFonts w:hint="default" w:ascii="仿宋_GB2312" w:hAnsi="仿宋_GB2312" w:cs="仿宋_GB2312"/>
                <w:color w:val="auto"/>
                <w:sz w:val="21"/>
                <w:szCs w:val="21"/>
              </w:rPr>
              <w:t xml:space="preserve">7500.47  </w:t>
            </w:r>
          </w:p>
        </w:tc>
        <w:tc>
          <w:tcPr>
            <w:tcW w:w="92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3</w:t>
            </w:r>
            <w:r>
              <w:rPr>
                <w:rFonts w:hint="default" w:ascii="仿宋_GB2312" w:hAnsi="仿宋_GB2312" w:cs="仿宋_GB2312"/>
                <w:sz w:val="21"/>
                <w:szCs w:val="21"/>
              </w:rPr>
              <w:t>2.3</w:t>
            </w:r>
          </w:p>
        </w:tc>
        <w:tc>
          <w:tcPr>
            <w:tcW w:w="90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10</w:t>
            </w:r>
          </w:p>
        </w:tc>
        <w:tc>
          <w:tcPr>
            <w:tcW w:w="90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仿宋_GB2312" w:cs="仿宋_GB2312"/>
                <w:sz w:val="21"/>
                <w:szCs w:val="21"/>
              </w:rPr>
            </w:pPr>
            <w:r>
              <w:rPr>
                <w:rFonts w:hint="default" w:ascii="仿宋_GB2312" w:hAnsi="仿宋_GB2312" w:cs="仿宋_GB2312"/>
                <w:sz w:val="21"/>
                <w:szCs w:val="21"/>
              </w:rPr>
              <w:t>0</w:t>
            </w:r>
          </w:p>
        </w:tc>
        <w:tc>
          <w:tcPr>
            <w:tcW w:w="90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90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5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1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不评级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1</w:t>
            </w:r>
            <w:r>
              <w:rPr>
                <w:rFonts w:hint="default" w:ascii="仿宋_GB2312" w:hAnsi="仿宋_GB2312" w:cs="仿宋_GB2312"/>
                <w:sz w:val="21"/>
                <w:szCs w:val="21"/>
              </w:rPr>
              <w:t>2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#</w:t>
            </w:r>
          </w:p>
        </w:tc>
        <w:tc>
          <w:tcPr>
            <w:tcW w:w="11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240" w:right="0" w:hanging="240" w:hangingChars="100"/>
              <w:rPr>
                <w:rFonts w:hint="eastAsia" w:ascii="仿宋_GB2312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仿宋_GB2312" w:cs="仿宋_GB2312"/>
                <w:color w:val="auto"/>
                <w:sz w:val="21"/>
                <w:szCs w:val="21"/>
              </w:rPr>
              <w:t>675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3.00</w:t>
            </w:r>
          </w:p>
        </w:tc>
        <w:tc>
          <w:tcPr>
            <w:tcW w:w="92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3</w:t>
            </w:r>
            <w:r>
              <w:rPr>
                <w:rFonts w:hint="default" w:ascii="仿宋_GB2312" w:hAnsi="仿宋_GB2312" w:cs="仿宋_GB2312"/>
                <w:sz w:val="21"/>
                <w:szCs w:val="21"/>
              </w:rPr>
              <w:t>2.3</w:t>
            </w:r>
          </w:p>
        </w:tc>
        <w:tc>
          <w:tcPr>
            <w:tcW w:w="90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10</w:t>
            </w:r>
          </w:p>
        </w:tc>
        <w:tc>
          <w:tcPr>
            <w:tcW w:w="90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仿宋_GB2312" w:cs="仿宋_GB2312"/>
                <w:sz w:val="21"/>
                <w:szCs w:val="21"/>
              </w:rPr>
            </w:pPr>
            <w:r>
              <w:rPr>
                <w:rFonts w:hint="default" w:ascii="仿宋_GB2312" w:hAnsi="仿宋_GB2312" w:cs="仿宋_GB2312"/>
                <w:sz w:val="21"/>
                <w:szCs w:val="21"/>
              </w:rPr>
              <w:t>0</w:t>
            </w:r>
          </w:p>
        </w:tc>
        <w:tc>
          <w:tcPr>
            <w:tcW w:w="90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90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5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1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不评级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1</w:t>
            </w:r>
            <w:r>
              <w:rPr>
                <w:rFonts w:hint="default" w:ascii="仿宋_GB2312" w:hAnsi="仿宋_GB2312" w:cs="仿宋_GB2312"/>
                <w:sz w:val="21"/>
                <w:szCs w:val="21"/>
              </w:rPr>
              <w:t>3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#</w:t>
            </w:r>
          </w:p>
        </w:tc>
        <w:tc>
          <w:tcPr>
            <w:tcW w:w="11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240" w:right="0" w:hanging="240" w:hangingChars="100"/>
              <w:rPr>
                <w:rFonts w:hint="eastAsia" w:ascii="仿宋_GB2312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仿宋_GB2312" w:cs="仿宋_GB2312"/>
                <w:color w:val="auto"/>
                <w:sz w:val="21"/>
                <w:szCs w:val="21"/>
              </w:rPr>
              <w:t>67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53.00</w:t>
            </w:r>
          </w:p>
        </w:tc>
        <w:tc>
          <w:tcPr>
            <w:tcW w:w="92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3</w:t>
            </w:r>
            <w:r>
              <w:rPr>
                <w:rFonts w:hint="default" w:ascii="仿宋_GB2312" w:hAnsi="仿宋_GB2312" w:cs="仿宋_GB2312"/>
                <w:sz w:val="21"/>
                <w:szCs w:val="21"/>
              </w:rPr>
              <w:t>2.3</w:t>
            </w:r>
          </w:p>
        </w:tc>
        <w:tc>
          <w:tcPr>
            <w:tcW w:w="90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10</w:t>
            </w:r>
          </w:p>
        </w:tc>
        <w:tc>
          <w:tcPr>
            <w:tcW w:w="90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仿宋_GB2312" w:cs="仿宋_GB2312"/>
                <w:sz w:val="21"/>
                <w:szCs w:val="21"/>
              </w:rPr>
            </w:pPr>
            <w:r>
              <w:rPr>
                <w:rFonts w:hint="default" w:ascii="仿宋_GB2312" w:hAnsi="仿宋_GB2312" w:cs="仿宋_GB2312"/>
                <w:sz w:val="21"/>
                <w:szCs w:val="21"/>
              </w:rPr>
              <w:t>0</w:t>
            </w:r>
          </w:p>
        </w:tc>
        <w:tc>
          <w:tcPr>
            <w:tcW w:w="90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90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5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1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不评级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仿宋_GB2312" w:cs="仿宋_GB2312"/>
                <w:sz w:val="21"/>
                <w:szCs w:val="21"/>
              </w:rPr>
            </w:pPr>
            <w:r>
              <w:rPr>
                <w:rFonts w:hint="default" w:ascii="仿宋_GB2312" w:hAnsi="仿宋_GB2312" w:cs="仿宋_GB2312"/>
                <w:sz w:val="21"/>
                <w:szCs w:val="21"/>
              </w:rPr>
              <w:t>15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#</w:t>
            </w:r>
          </w:p>
        </w:tc>
        <w:tc>
          <w:tcPr>
            <w:tcW w:w="11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240" w:right="0" w:hanging="240" w:hangingChars="100"/>
              <w:rPr>
                <w:rFonts w:hint="eastAsia" w:ascii="仿宋_GB2312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仿宋_GB2312" w:cs="仿宋_GB2312"/>
                <w:color w:val="auto"/>
                <w:sz w:val="21"/>
                <w:szCs w:val="21"/>
              </w:rPr>
            </w:pPr>
            <w:r>
              <w:rPr>
                <w:rFonts w:hint="default" w:ascii="仿宋_GB2312" w:hAnsi="仿宋_GB2312" w:cs="仿宋_GB2312"/>
                <w:color w:val="auto"/>
                <w:sz w:val="21"/>
                <w:szCs w:val="21"/>
              </w:rPr>
              <w:t xml:space="preserve">6025.97  </w:t>
            </w:r>
          </w:p>
        </w:tc>
        <w:tc>
          <w:tcPr>
            <w:tcW w:w="92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3</w:t>
            </w:r>
            <w:r>
              <w:rPr>
                <w:rFonts w:hint="default" w:ascii="仿宋_GB2312" w:hAnsi="仿宋_GB2312" w:cs="仿宋_GB2312"/>
                <w:sz w:val="21"/>
                <w:szCs w:val="21"/>
              </w:rPr>
              <w:t>2.1</w:t>
            </w:r>
          </w:p>
        </w:tc>
        <w:tc>
          <w:tcPr>
            <w:tcW w:w="90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10</w:t>
            </w:r>
          </w:p>
        </w:tc>
        <w:tc>
          <w:tcPr>
            <w:tcW w:w="90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仿宋_GB2312" w:cs="仿宋_GB2312"/>
                <w:sz w:val="21"/>
                <w:szCs w:val="21"/>
              </w:rPr>
            </w:pPr>
            <w:r>
              <w:rPr>
                <w:rFonts w:hint="default" w:ascii="仿宋_GB2312" w:hAnsi="仿宋_GB2312" w:cs="仿宋_GB2312"/>
                <w:sz w:val="21"/>
                <w:szCs w:val="21"/>
              </w:rPr>
              <w:t>0</w:t>
            </w:r>
          </w:p>
        </w:tc>
        <w:tc>
          <w:tcPr>
            <w:tcW w:w="90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90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5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1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不评级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0"/>
              </w:rPr>
              <w:t>建设单位</w:t>
            </w:r>
          </w:p>
        </w:tc>
        <w:tc>
          <w:tcPr>
            <w:tcW w:w="44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福州新投海新开发建设有限公司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传真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0591-38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***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646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通讯地址</w:t>
            </w:r>
          </w:p>
        </w:tc>
        <w:tc>
          <w:tcPr>
            <w:tcW w:w="44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福建省福州市长乐区漳港街道万新路99号新投商务中心20层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邮编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350204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负责人</w:t>
            </w:r>
          </w:p>
        </w:tc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韦达</w:t>
            </w:r>
          </w:p>
        </w:tc>
        <w:tc>
          <w:tcPr>
            <w:tcW w:w="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电话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/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手机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1340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联系人</w:t>
            </w:r>
          </w:p>
        </w:tc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刘孙涛</w:t>
            </w:r>
          </w:p>
        </w:tc>
        <w:tc>
          <w:tcPr>
            <w:tcW w:w="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电话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/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手机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1320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0"/>
              </w:rPr>
              <w:t>代建单位</w:t>
            </w:r>
          </w:p>
        </w:tc>
        <w:tc>
          <w:tcPr>
            <w:tcW w:w="44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无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传真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通讯地址</w:t>
            </w:r>
          </w:p>
        </w:tc>
        <w:tc>
          <w:tcPr>
            <w:tcW w:w="44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/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邮编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负责人</w:t>
            </w: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/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电话</w:t>
            </w: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/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负责人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联系人</w:t>
            </w: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/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电话</w:t>
            </w: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/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联系人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</w:rPr>
              <w:t>设计单位</w:t>
            </w:r>
          </w:p>
        </w:tc>
        <w:tc>
          <w:tcPr>
            <w:tcW w:w="44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default" w:ascii="仿宋" w:hAnsi="仿宋" w:eastAsia="仿宋" w:cs="仿宋_GB2312"/>
                <w:sz w:val="24"/>
                <w:szCs w:val="24"/>
              </w:rPr>
              <w:t>福建西海岸建筑设计院有限公司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传真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通讯地址</w:t>
            </w:r>
          </w:p>
        </w:tc>
        <w:tc>
          <w:tcPr>
            <w:tcW w:w="44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福州鼓楼区道山路1号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邮编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负责人</w:t>
            </w: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default" w:ascii="仿宋" w:hAnsi="仿宋" w:eastAsia="仿宋" w:cs="仿宋_GB2312"/>
                <w:sz w:val="24"/>
                <w:szCs w:val="24"/>
              </w:rPr>
              <w:t>陈国栋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电话</w:t>
            </w: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/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手机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default" w:ascii="仿宋" w:hAnsi="仿宋" w:eastAsia="仿宋" w:cs="仿宋_GB2312"/>
                <w:sz w:val="24"/>
                <w:szCs w:val="24"/>
              </w:rPr>
              <w:t>1895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>380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联系人</w:t>
            </w: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蒋敏敏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电话</w:t>
            </w: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/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手机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1369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761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</w:rPr>
              <w:t>深化设计单位</w:t>
            </w:r>
          </w:p>
        </w:tc>
        <w:tc>
          <w:tcPr>
            <w:tcW w:w="44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default" w:ascii="仿宋" w:hAnsi="仿宋" w:eastAsia="仿宋" w:cs="仿宋_GB2312"/>
                <w:sz w:val="24"/>
                <w:szCs w:val="24"/>
              </w:rPr>
              <w:t>福建西海岸建筑设计院有限公司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传真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通讯地址</w:t>
            </w:r>
          </w:p>
        </w:tc>
        <w:tc>
          <w:tcPr>
            <w:tcW w:w="44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福州鼓楼区道山路1号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邮编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负责人</w:t>
            </w: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default" w:ascii="仿宋" w:hAnsi="仿宋" w:eastAsia="仿宋" w:cs="仿宋_GB2312"/>
                <w:sz w:val="24"/>
                <w:szCs w:val="24"/>
              </w:rPr>
              <w:t>陈国栋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电话</w:t>
            </w: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/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手机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default" w:ascii="仿宋" w:hAnsi="仿宋" w:eastAsia="仿宋" w:cs="仿宋_GB2312"/>
                <w:sz w:val="24"/>
                <w:szCs w:val="24"/>
              </w:rPr>
              <w:t>1895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>380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联系人</w:t>
            </w: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蒋敏敏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电话</w:t>
            </w: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/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手机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1369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761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 w:val="3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0"/>
              </w:rPr>
              <w:t>施工单位</w:t>
            </w:r>
          </w:p>
        </w:tc>
        <w:tc>
          <w:tcPr>
            <w:tcW w:w="44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福建省二建建设集团有限公司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_GB2312" w:cs="Times New Roman"/>
                <w:sz w:val="24"/>
                <w:szCs w:val="24"/>
              </w:rPr>
            </w:pPr>
            <w:r>
              <w:rPr>
                <w:rStyle w:val="23"/>
                <w:rFonts w:hint="default" w:ascii="仿宋_GB2312" w:hAnsi="仿宋_GB2312" w:cs="Times New Roman"/>
                <w:sz w:val="24"/>
                <w:szCs w:val="24"/>
              </w:rPr>
              <w:t>传真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 w:val="30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通讯地址</w:t>
            </w:r>
          </w:p>
        </w:tc>
        <w:tc>
          <w:tcPr>
            <w:tcW w:w="44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 福州市鼓楼区冶山路105号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_GB2312" w:cs="Times New Roman"/>
                <w:sz w:val="24"/>
                <w:szCs w:val="24"/>
              </w:rPr>
            </w:pPr>
            <w:r>
              <w:rPr>
                <w:rStyle w:val="23"/>
                <w:rFonts w:hint="default" w:ascii="仿宋_GB2312" w:hAnsi="仿宋_GB2312" w:cs="Times New Roman"/>
                <w:sz w:val="24"/>
                <w:szCs w:val="24"/>
              </w:rPr>
              <w:t>邮编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 w:val="30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负责人</w:t>
            </w: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姜松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_GB2312" w:cs="Times New Roman"/>
                <w:sz w:val="24"/>
                <w:szCs w:val="24"/>
              </w:rPr>
            </w:pPr>
            <w:r>
              <w:rPr>
                <w:rStyle w:val="23"/>
                <w:rFonts w:hint="default" w:ascii="仿宋_GB2312" w:hAnsi="仿宋_GB2312" w:cs="Times New Roman"/>
                <w:sz w:val="24"/>
                <w:szCs w:val="24"/>
              </w:rPr>
              <w:t>电话</w:t>
            </w: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/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_GB2312" w:cs="Times New Roman"/>
                <w:sz w:val="24"/>
                <w:szCs w:val="24"/>
              </w:rPr>
            </w:pPr>
            <w:r>
              <w:rPr>
                <w:rStyle w:val="23"/>
                <w:rFonts w:hint="default" w:ascii="仿宋_GB2312" w:hAnsi="仿宋_GB2312" w:cs="Times New Roman"/>
                <w:sz w:val="24"/>
                <w:szCs w:val="24"/>
              </w:rPr>
              <w:t>手机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1775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 w:val="30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联系人</w:t>
            </w: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姜松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_GB2312" w:cs="Times New Roman"/>
                <w:sz w:val="24"/>
                <w:szCs w:val="24"/>
              </w:rPr>
            </w:pPr>
            <w:r>
              <w:rPr>
                <w:rStyle w:val="23"/>
                <w:rFonts w:hint="default" w:ascii="仿宋_GB2312" w:hAnsi="仿宋_GB2312" w:cs="Times New Roman"/>
                <w:sz w:val="24"/>
                <w:szCs w:val="24"/>
              </w:rPr>
              <w:t>电话</w:t>
            </w: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/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_GB2312" w:cs="Times New Roman"/>
                <w:sz w:val="24"/>
                <w:szCs w:val="24"/>
              </w:rPr>
            </w:pPr>
            <w:r>
              <w:rPr>
                <w:rStyle w:val="23"/>
                <w:rFonts w:hint="default" w:ascii="仿宋_GB2312" w:hAnsi="仿宋_GB2312" w:cs="Times New Roman"/>
                <w:sz w:val="24"/>
                <w:szCs w:val="24"/>
              </w:rPr>
              <w:t>手机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1775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 w:val="3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0"/>
              </w:rPr>
              <w:t>监理单位</w:t>
            </w:r>
          </w:p>
        </w:tc>
        <w:tc>
          <w:tcPr>
            <w:tcW w:w="44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厦门基业衡信咨询有限公司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_GB2312" w:cs="Times New Roman"/>
                <w:sz w:val="24"/>
                <w:szCs w:val="24"/>
              </w:rPr>
            </w:pPr>
            <w:r>
              <w:rPr>
                <w:rStyle w:val="23"/>
                <w:rFonts w:hint="default" w:ascii="仿宋_GB2312" w:hAnsi="仿宋_GB2312" w:cs="Times New Roman"/>
                <w:sz w:val="24"/>
                <w:szCs w:val="24"/>
              </w:rPr>
              <w:t>传真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 w:val="30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通讯地址</w:t>
            </w:r>
          </w:p>
        </w:tc>
        <w:tc>
          <w:tcPr>
            <w:tcW w:w="44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厦门市南山路31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9号之七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_GB2312" w:cs="Times New Roman"/>
                <w:sz w:val="24"/>
                <w:szCs w:val="24"/>
              </w:rPr>
            </w:pPr>
            <w:r>
              <w:rPr>
                <w:rStyle w:val="23"/>
                <w:rFonts w:hint="default" w:ascii="仿宋_GB2312" w:hAnsi="仿宋_GB2312" w:cs="Times New Roman"/>
                <w:sz w:val="24"/>
                <w:szCs w:val="24"/>
              </w:rPr>
              <w:t>邮编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 w:val="30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负责人</w:t>
            </w: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谢灵裕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_GB2312" w:cs="Times New Roman"/>
                <w:sz w:val="24"/>
                <w:szCs w:val="24"/>
              </w:rPr>
            </w:pPr>
            <w:r>
              <w:rPr>
                <w:rStyle w:val="23"/>
                <w:rFonts w:hint="default" w:ascii="仿宋_GB2312" w:hAnsi="仿宋_GB2312" w:cs="Times New Roman"/>
                <w:sz w:val="24"/>
                <w:szCs w:val="24"/>
              </w:rPr>
              <w:t>电话</w:t>
            </w: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/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_GB2312" w:cs="Times New Roman"/>
                <w:sz w:val="24"/>
                <w:szCs w:val="24"/>
              </w:rPr>
            </w:pPr>
            <w:r>
              <w:rPr>
                <w:rStyle w:val="23"/>
                <w:rFonts w:hint="default" w:ascii="仿宋_GB2312" w:hAnsi="仿宋_GB2312" w:cs="Times New Roman"/>
                <w:sz w:val="24"/>
                <w:szCs w:val="24"/>
              </w:rPr>
              <w:t>手机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1508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098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 w:val="30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0"/>
              </w:rPr>
              <w:t>联系人</w:t>
            </w: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谢灵裕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_GB2312" w:cs="Times New Roman"/>
                <w:sz w:val="24"/>
                <w:szCs w:val="24"/>
              </w:rPr>
            </w:pPr>
            <w:r>
              <w:rPr>
                <w:rStyle w:val="23"/>
                <w:rFonts w:hint="default" w:ascii="仿宋_GB2312" w:hAnsi="仿宋_GB2312" w:cs="Times New Roman"/>
                <w:sz w:val="24"/>
                <w:szCs w:val="24"/>
              </w:rPr>
              <w:t>电话</w:t>
            </w: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/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_GB2312" w:cs="Times New Roman"/>
                <w:sz w:val="24"/>
                <w:szCs w:val="24"/>
              </w:rPr>
            </w:pPr>
            <w:r>
              <w:rPr>
                <w:rStyle w:val="23"/>
                <w:rFonts w:hint="default" w:ascii="仿宋_GB2312" w:hAnsi="仿宋_GB2312" w:cs="Times New Roman"/>
                <w:sz w:val="24"/>
                <w:szCs w:val="24"/>
              </w:rPr>
              <w:t>手机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1508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098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30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部品部件生产单位</w:t>
            </w:r>
          </w:p>
        </w:tc>
        <w:tc>
          <w:tcPr>
            <w:tcW w:w="44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金强（福建）绿色人居集团有限公司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传真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30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44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lang w:eastAsia="zh-CN"/>
              </w:rPr>
              <w:t>福州市长乐区潭头镇金福路二刘村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邮编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负责人</w:t>
            </w:r>
          </w:p>
        </w:tc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lang w:eastAsia="zh-CN"/>
              </w:rPr>
              <w:t>陈星瑞</w:t>
            </w:r>
          </w:p>
        </w:tc>
        <w:tc>
          <w:tcPr>
            <w:tcW w:w="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/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手机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1332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lang w:eastAsia="zh-CN"/>
              </w:rPr>
              <w:t>陈星瑞</w:t>
            </w:r>
          </w:p>
        </w:tc>
        <w:tc>
          <w:tcPr>
            <w:tcW w:w="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/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手机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1332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****</w:t>
            </w:r>
            <w:bookmarkStart w:id="5" w:name="_GoBack"/>
            <w:bookmarkEnd w:id="5"/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50</w:t>
            </w:r>
          </w:p>
        </w:tc>
      </w:tr>
    </w:tbl>
    <w:p>
      <w:pPr>
        <w:rPr>
          <w:rFonts w:ascii="Calibri" w:hAnsi="Calibri" w:eastAsia="微软雅黑"/>
          <w:sz w:val="21"/>
          <w:szCs w:val="22"/>
        </w:rPr>
      </w:pPr>
      <w:r>
        <w:br w:type="page"/>
      </w:r>
    </w:p>
    <w:tbl>
      <w:tblPr>
        <w:tblStyle w:val="12"/>
        <w:tblW w:w="9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3670"/>
        <w:gridCol w:w="3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黑体" w:hAnsi="黑体" w:eastAsia="黑体" w:cs="Times New Roman"/>
                <w:sz w:val="30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30"/>
                <w:szCs w:val="30"/>
              </w:rPr>
              <w:t>二、进度计划安排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0"/>
              </w:rPr>
              <w:t>阶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0"/>
              </w:rPr>
              <w:t xml:space="preserve">   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0"/>
              </w:rPr>
              <w:t>段</w:t>
            </w:r>
          </w:p>
        </w:tc>
        <w:tc>
          <w:tcPr>
            <w:tcW w:w="3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0"/>
              </w:rPr>
              <w:t>起止时间</w:t>
            </w:r>
          </w:p>
        </w:tc>
        <w:tc>
          <w:tcPr>
            <w:tcW w:w="3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0"/>
              </w:rPr>
              <w:t>计划安排内容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0"/>
              </w:rPr>
              <w:t>设计阶段</w:t>
            </w:r>
          </w:p>
        </w:tc>
        <w:tc>
          <w:tcPr>
            <w:tcW w:w="3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2023年7月- 2023年8月</w:t>
            </w:r>
          </w:p>
        </w:tc>
        <w:tc>
          <w:tcPr>
            <w:tcW w:w="3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施工图设计、深化设计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0"/>
              </w:rPr>
              <w:t>建设准备阶段</w:t>
            </w:r>
          </w:p>
        </w:tc>
        <w:tc>
          <w:tcPr>
            <w:tcW w:w="3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2023年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月- 2023年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月</w:t>
            </w:r>
          </w:p>
        </w:tc>
        <w:tc>
          <w:tcPr>
            <w:tcW w:w="3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地基处理、桩基施工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0"/>
              </w:rPr>
              <w:t>建设实施阶段</w:t>
            </w:r>
          </w:p>
        </w:tc>
        <w:tc>
          <w:tcPr>
            <w:tcW w:w="3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2023年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月- 202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月</w:t>
            </w:r>
          </w:p>
        </w:tc>
        <w:tc>
          <w:tcPr>
            <w:tcW w:w="3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主体结构施工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0"/>
              </w:rPr>
              <w:t>竣工验收阶段</w:t>
            </w:r>
          </w:p>
        </w:tc>
        <w:tc>
          <w:tcPr>
            <w:tcW w:w="3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月- 202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月</w:t>
            </w:r>
          </w:p>
        </w:tc>
        <w:tc>
          <w:tcPr>
            <w:tcW w:w="3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竣工验收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 w:val="30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30"/>
                <w:szCs w:val="30"/>
              </w:rPr>
              <w:t>三、单位工程概况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0" w:hRule="atLeast"/>
          <w:jc w:val="center"/>
        </w:trPr>
        <w:tc>
          <w:tcPr>
            <w:tcW w:w="9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40" w:lineRule="exact"/>
              <w:ind w:left="0" w:right="0" w:firstLine="480" w:firstLineChars="200"/>
              <w:jc w:val="left"/>
              <w:rPr>
                <w:rFonts w:hint="eastAsia" w:ascii="仿宋" w:hAnsi="仿宋" w:eastAsia="仿宋" w:cs="仿宋_GB2312"/>
                <w:color w:val="FF0000"/>
                <w:sz w:val="24"/>
                <w:szCs w:val="22"/>
              </w:rPr>
            </w:pPr>
            <w:r>
              <w:rPr>
                <w:rFonts w:hint="eastAsia" w:ascii="仿宋" w:hAnsi="仿宋" w:eastAsia="仿宋" w:cs="仿宋_GB2312"/>
                <w:sz w:val="24"/>
                <w:szCs w:val="22"/>
              </w:rPr>
              <w:t>新投·臻樾府项目于2022年6月16日取得建设用地规划许可证，许可证编号：地字第350182202200025号。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40" w:lineRule="exact"/>
              <w:ind w:left="0" w:right="0" w:firstLine="480" w:firstLineChars="200"/>
              <w:rPr>
                <w:rFonts w:hint="default" w:ascii="仿宋" w:hAnsi="仿宋" w:eastAsia="仿宋" w:cs="仿宋_GB2312"/>
                <w:sz w:val="24"/>
                <w:szCs w:val="22"/>
              </w:rPr>
            </w:pPr>
            <w:r>
              <w:rPr>
                <w:rFonts w:hint="eastAsia" w:ascii="仿宋" w:hAnsi="仿宋" w:eastAsia="仿宋" w:cs="仿宋_GB2312"/>
                <w:sz w:val="24"/>
                <w:szCs w:val="22"/>
              </w:rPr>
              <w:t>本项目总建筑面积为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106070.59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㎡，地上计容建筑面积为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78821.1</w:t>
            </w:r>
            <w:r>
              <w:rPr>
                <w:rFonts w:hint="eastAsia" w:ascii="仿宋" w:hAnsi="仿宋" w:eastAsia="仿宋" w:cs="仿宋_GB2312"/>
                <w:sz w:val="24"/>
                <w:szCs w:val="22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㎡。由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13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栋1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3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~1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7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层高层住宅、1栋配套用房及1层地下室组成。</w:t>
            </w:r>
            <w:bookmarkStart w:id="0" w:name="_Hlk135036369"/>
            <w:r>
              <w:rPr>
                <w:rFonts w:hint="eastAsia" w:ascii="仿宋" w:hAnsi="仿宋" w:eastAsia="仿宋" w:cs="仿宋_GB2312"/>
                <w:sz w:val="24"/>
                <w:szCs w:val="22"/>
              </w:rPr>
              <w:t>其中地上住宅建筑1#</w:t>
            </w:r>
            <w:bookmarkEnd w:id="0"/>
            <w:r>
              <w:rPr>
                <w:rFonts w:hint="eastAsia" w:ascii="仿宋" w:hAnsi="仿宋" w:eastAsia="仿宋" w:cs="仿宋_GB2312"/>
                <w:sz w:val="24"/>
                <w:szCs w:val="22"/>
              </w:rPr>
              <w:t>、2#、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#、1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2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13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#为装配式建筑，装配式建造的计容建筑面积为</w:t>
            </w:r>
            <w:bookmarkStart w:id="1" w:name="_Hlk146632525"/>
            <w:bookmarkStart w:id="2" w:name="_Hlk146641852"/>
            <w:r>
              <w:rPr>
                <w:rFonts w:hint="default" w:ascii="仿宋" w:hAnsi="仿宋" w:eastAsia="仿宋" w:cs="仿宋_GB2312"/>
                <w:sz w:val="24"/>
                <w:szCs w:val="22"/>
              </w:rPr>
              <w:t>41</w:t>
            </w:r>
            <w:bookmarkEnd w:id="1"/>
            <w:r>
              <w:rPr>
                <w:rFonts w:hint="default" w:ascii="仿宋" w:hAnsi="仿宋" w:eastAsia="仿宋" w:cs="仿宋_GB2312"/>
                <w:sz w:val="24"/>
                <w:szCs w:val="22"/>
              </w:rPr>
              <w:t>22</w:t>
            </w:r>
            <w:r>
              <w:rPr>
                <w:rFonts w:hint="eastAsia" w:ascii="仿宋" w:hAnsi="仿宋" w:eastAsia="仿宋" w:cs="仿宋_GB2312"/>
                <w:sz w:val="24"/>
                <w:szCs w:val="22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.</w:t>
            </w:r>
            <w:bookmarkEnd w:id="2"/>
            <w:r>
              <w:rPr>
                <w:rFonts w:hint="eastAsia" w:ascii="仿宋" w:hAnsi="仿宋" w:eastAsia="仿宋" w:cs="仿宋_GB2312"/>
                <w:sz w:val="24"/>
                <w:szCs w:val="22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㎡，占总计容建筑面积的比例为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 xml:space="preserve"> 4122</w:t>
            </w:r>
            <w:r>
              <w:rPr>
                <w:rFonts w:hint="eastAsia" w:ascii="仿宋" w:hAnsi="仿宋" w:eastAsia="仿宋" w:cs="仿宋_GB2312"/>
                <w:sz w:val="24"/>
                <w:szCs w:val="22"/>
                <w:lang w:val="en-US" w:eastAsia="zh-CN"/>
              </w:rPr>
              <w:t>2.7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/78821.1</w:t>
            </w:r>
            <w:r>
              <w:rPr>
                <w:rFonts w:hint="eastAsia" w:ascii="仿宋" w:hAnsi="仿宋" w:eastAsia="仿宋" w:cs="仿宋_GB2312"/>
                <w:sz w:val="24"/>
                <w:szCs w:val="22"/>
                <w:lang w:val="en-US" w:eastAsia="zh-CN"/>
              </w:rPr>
              <w:t>3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=52.30%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。</w:t>
            </w:r>
            <w:bookmarkStart w:id="3" w:name="_Hlk135036400"/>
            <w:r>
              <w:rPr>
                <w:rFonts w:hint="eastAsia" w:ascii="仿宋" w:hAnsi="仿宋" w:eastAsia="仿宋" w:cs="仿宋_GB2312"/>
                <w:sz w:val="24"/>
                <w:szCs w:val="22"/>
              </w:rPr>
              <w:t>结构体系：1#、2#、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#为剪力墙结构，1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2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13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#、1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#为框架-剪力墙结构。</w:t>
            </w:r>
            <w:bookmarkEnd w:id="3"/>
            <w:r>
              <w:rPr>
                <w:rFonts w:hint="eastAsia" w:ascii="仿宋" w:hAnsi="仿宋" w:eastAsia="仿宋" w:cs="仿宋_GB2312"/>
                <w:sz w:val="24"/>
                <w:szCs w:val="22"/>
              </w:rPr>
              <w:t>本项目1#、2#、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#、1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2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13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#预制构件为预制叠合板、</w:t>
            </w:r>
            <w:r>
              <w:rPr>
                <w:rFonts w:hint="eastAsia" w:ascii="仿宋" w:hAnsi="仿宋" w:eastAsia="仿宋" w:cs="仿宋_GB2312"/>
                <w:sz w:val="24"/>
                <w:szCs w:val="22"/>
                <w:lang w:eastAsia="zh-CN"/>
              </w:rPr>
              <w:t>预制凸窗盖板、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预制楼梯。1#、2#、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#、1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2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13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#装配率均为50</w:t>
            </w:r>
            <w:r>
              <w:rPr>
                <w:rFonts w:hint="eastAsia" w:ascii="仿宋" w:hAnsi="仿宋" w:eastAsia="仿宋" w:cs="仿宋_GB2312"/>
                <w:sz w:val="24"/>
                <w:szCs w:val="22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%，装配率均≥50%。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="仿宋" w:hAnsi="仿宋" w:eastAsia="仿宋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本项目于2026年3月20日完成并通过竣工验收。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 w:val="30"/>
                <w:szCs w:val="22"/>
              </w:rPr>
            </w:pPr>
          </w:p>
        </w:tc>
      </w:tr>
    </w:tbl>
    <w:p>
      <w:pPr>
        <w:widowControl/>
        <w:jc w:val="left"/>
        <w:rPr>
          <w:rFonts w:hint="eastAsia"/>
          <w:szCs w:val="32"/>
        </w:rPr>
        <w:sectPr>
          <w:footerReference r:id="rId3" w:type="default"/>
          <w:footerReference r:id="rId4" w:type="even"/>
          <w:pgSz w:w="11906" w:h="16838"/>
          <w:pgMar w:top="2098" w:right="1474" w:bottom="1985" w:left="1474" w:header="851" w:footer="992" w:gutter="0"/>
          <w:pgNumType w:fmt="numberInDash" w:start="1"/>
          <w:cols w:space="720" w:num="1"/>
        </w:sectPr>
      </w:pPr>
    </w:p>
    <w:p>
      <w:pPr>
        <w:rPr>
          <w:rFonts w:hint="eastAsia" w:ascii="Calibri" w:hAnsi="Calibri" w:eastAsia="微软雅黑"/>
          <w:sz w:val="21"/>
          <w:szCs w:val="22"/>
        </w:rPr>
      </w:pPr>
    </w:p>
    <w:tbl>
      <w:tblPr>
        <w:tblStyle w:val="12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3240"/>
        <w:gridCol w:w="1728"/>
        <w:gridCol w:w="3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黑体" w:hAnsi="黑体" w:eastAsia="黑体" w:cs="Times New Roman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 w:cs="Times New Roman"/>
                <w:bCs/>
                <w:sz w:val="30"/>
                <w:szCs w:val="30"/>
              </w:rPr>
              <w:t>四、评价内容简介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仿宋" w:hAnsi="仿宋" w:eastAsia="仿宋" w:cs="仿宋_GB2312"/>
                <w:sz w:val="24"/>
                <w:szCs w:val="22"/>
              </w:rPr>
            </w:pPr>
            <w:r>
              <w:rPr>
                <w:rFonts w:hint="default" w:ascii="仿宋" w:hAnsi="仿宋" w:eastAsia="仿宋" w:cs="Times New Roman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．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主体结构应用情况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="仿宋" w:hAnsi="仿宋" w:eastAsia="仿宋" w:cs="仿宋_GB2312"/>
                <w:sz w:val="24"/>
                <w:szCs w:val="22"/>
              </w:rPr>
            </w:pPr>
            <w:r>
              <w:rPr>
                <w:rFonts w:hint="eastAsia" w:ascii="仿宋" w:hAnsi="仿宋" w:eastAsia="仿宋" w:cs="仿宋_GB2312"/>
                <w:sz w:val="24"/>
                <w:szCs w:val="22"/>
              </w:rPr>
              <w:t>本项目1#、2#、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#、1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2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13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#预制构件为预制叠合板、预制楼梯、预制凸窗盖板；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default" w:ascii="仿宋" w:hAnsi="仿宋" w:eastAsia="仿宋" w:cs="仿宋_GB2312"/>
                <w:sz w:val="24"/>
                <w:szCs w:val="22"/>
              </w:rPr>
            </w:pPr>
            <w:r>
              <w:rPr>
                <w:rFonts w:hint="eastAsia" w:ascii="仿宋" w:hAnsi="仿宋" w:eastAsia="仿宋" w:cs="仿宋_GB2312"/>
                <w:sz w:val="24"/>
                <w:szCs w:val="22"/>
              </w:rPr>
              <w:t>1.1水平构件中预制部品部件的应用比例计算：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18" w:space="0"/>
                <w:left w:val="single" w:color="000000" w:sz="18" w:space="0"/>
                <w:bottom w:val="single" w:color="000000" w:sz="18" w:space="0"/>
                <w:right w:val="single" w:color="000000" w:sz="18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84"/>
              <w:gridCol w:w="1896"/>
              <w:gridCol w:w="1501"/>
              <w:gridCol w:w="1582"/>
              <w:gridCol w:w="1255"/>
            </w:tblGrid>
            <w:tr>
              <w:tblPrEx>
                <w:tblBorders>
                  <w:top w:val="single" w:color="000000" w:sz="18" w:space="0"/>
                  <w:left w:val="single" w:color="000000" w:sz="18" w:space="0"/>
                  <w:bottom w:val="single" w:color="000000" w:sz="18" w:space="0"/>
                  <w:right w:val="single" w:color="000000" w:sz="18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5" w:hRule="atLeast"/>
                <w:jc w:val="center"/>
              </w:trPr>
              <w:tc>
                <w:tcPr>
                  <w:tcW w:w="13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exact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楼栋</w:t>
                  </w:r>
                </w:p>
              </w:tc>
              <w:tc>
                <w:tcPr>
                  <w:tcW w:w="189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exact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预制构件水平投影总面积(㎡)</w:t>
                  </w:r>
                </w:p>
              </w:tc>
              <w:tc>
                <w:tcPr>
                  <w:tcW w:w="15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exact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建筑外轮廓总面积(㎡)</w:t>
                  </w:r>
                </w:p>
              </w:tc>
              <w:tc>
                <w:tcPr>
                  <w:tcW w:w="15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exact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预制部品部件的应用比例Q1c(%)</w:t>
                  </w:r>
                </w:p>
              </w:tc>
              <w:tc>
                <w:tcPr>
                  <w:tcW w:w="12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exact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装配率</w:t>
                  </w:r>
                </w:p>
                <w:p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exact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评价分值</w:t>
                  </w:r>
                </w:p>
              </w:tc>
            </w:tr>
            <w:tr>
              <w:tblPrEx>
                <w:tblBorders>
                  <w:top w:val="single" w:color="000000" w:sz="18" w:space="0"/>
                  <w:left w:val="single" w:color="000000" w:sz="18" w:space="0"/>
                  <w:bottom w:val="single" w:color="000000" w:sz="18" w:space="0"/>
                  <w:right w:val="single" w:color="000000" w:sz="18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2" w:hRule="atLeast"/>
                <w:jc w:val="center"/>
              </w:trPr>
              <w:tc>
                <w:tcPr>
                  <w:tcW w:w="13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exact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1</w:t>
                  </w: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#楼</w:t>
                  </w:r>
                </w:p>
              </w:tc>
              <w:tc>
                <w:tcPr>
                  <w:tcW w:w="189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5878.16</w:t>
                  </w:r>
                </w:p>
              </w:tc>
              <w:tc>
                <w:tcPr>
                  <w:tcW w:w="15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7495.62</w:t>
                  </w:r>
                </w:p>
              </w:tc>
              <w:tc>
                <w:tcPr>
                  <w:tcW w:w="15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7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8.4</w:t>
                  </w: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2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8.4</w:t>
                  </w:r>
                </w:p>
              </w:tc>
            </w:tr>
            <w:tr>
              <w:tblPrEx>
                <w:tblBorders>
                  <w:top w:val="single" w:color="000000" w:sz="18" w:space="0"/>
                  <w:left w:val="single" w:color="000000" w:sz="18" w:space="0"/>
                  <w:bottom w:val="single" w:color="000000" w:sz="18" w:space="0"/>
                  <w:right w:val="single" w:color="000000" w:sz="18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2" w:hRule="atLeast"/>
                <w:jc w:val="center"/>
              </w:trPr>
              <w:tc>
                <w:tcPr>
                  <w:tcW w:w="13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exact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2</w:t>
                  </w: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#楼</w:t>
                  </w:r>
                </w:p>
              </w:tc>
              <w:tc>
                <w:tcPr>
                  <w:tcW w:w="189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6616.86</w:t>
                  </w:r>
                </w:p>
              </w:tc>
              <w:tc>
                <w:tcPr>
                  <w:tcW w:w="15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8443.75</w:t>
                  </w:r>
                </w:p>
              </w:tc>
              <w:tc>
                <w:tcPr>
                  <w:tcW w:w="15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7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8.4</w:t>
                  </w: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28.4</w:t>
                  </w:r>
                </w:p>
              </w:tc>
            </w:tr>
            <w:tr>
              <w:tblPrEx>
                <w:tblBorders>
                  <w:top w:val="single" w:color="000000" w:sz="18" w:space="0"/>
                  <w:left w:val="single" w:color="000000" w:sz="18" w:space="0"/>
                  <w:bottom w:val="single" w:color="000000" w:sz="18" w:space="0"/>
                  <w:right w:val="single" w:color="000000" w:sz="18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2" w:hRule="atLeast"/>
                <w:jc w:val="center"/>
              </w:trPr>
              <w:tc>
                <w:tcPr>
                  <w:tcW w:w="13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exact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5</w:t>
                  </w: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#楼</w:t>
                  </w:r>
                </w:p>
              </w:tc>
              <w:tc>
                <w:tcPr>
                  <w:tcW w:w="189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6615.86</w:t>
                  </w:r>
                </w:p>
              </w:tc>
              <w:tc>
                <w:tcPr>
                  <w:tcW w:w="15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8444.82</w:t>
                  </w:r>
                </w:p>
              </w:tc>
              <w:tc>
                <w:tcPr>
                  <w:tcW w:w="15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78.3</w:t>
                  </w: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2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8.3</w:t>
                  </w:r>
                </w:p>
              </w:tc>
            </w:tr>
            <w:tr>
              <w:tblPrEx>
                <w:tblBorders>
                  <w:top w:val="single" w:color="000000" w:sz="18" w:space="0"/>
                  <w:left w:val="single" w:color="000000" w:sz="18" w:space="0"/>
                  <w:bottom w:val="single" w:color="000000" w:sz="18" w:space="0"/>
                  <w:right w:val="single" w:color="000000" w:sz="18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2" w:hRule="atLeast"/>
                <w:jc w:val="center"/>
              </w:trPr>
              <w:tc>
                <w:tcPr>
                  <w:tcW w:w="13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exact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12</w:t>
                  </w: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#楼</w:t>
                  </w:r>
                </w:p>
              </w:tc>
              <w:tc>
                <w:tcPr>
                  <w:tcW w:w="189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6015.38</w:t>
                  </w:r>
                </w:p>
              </w:tc>
              <w:tc>
                <w:tcPr>
                  <w:tcW w:w="15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7680.10</w:t>
                  </w:r>
                </w:p>
              </w:tc>
              <w:tc>
                <w:tcPr>
                  <w:tcW w:w="15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7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8.3</w:t>
                  </w: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28.3</w:t>
                  </w:r>
                </w:p>
              </w:tc>
            </w:tr>
            <w:tr>
              <w:tblPrEx>
                <w:tblBorders>
                  <w:top w:val="single" w:color="000000" w:sz="18" w:space="0"/>
                  <w:left w:val="single" w:color="000000" w:sz="18" w:space="0"/>
                  <w:bottom w:val="single" w:color="000000" w:sz="18" w:space="0"/>
                  <w:right w:val="single" w:color="000000" w:sz="18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2" w:hRule="atLeast"/>
                <w:jc w:val="center"/>
              </w:trPr>
              <w:tc>
                <w:tcPr>
                  <w:tcW w:w="13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exact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13</w:t>
                  </w: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#楼</w:t>
                  </w:r>
                </w:p>
              </w:tc>
              <w:tc>
                <w:tcPr>
                  <w:tcW w:w="189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6015.38</w:t>
                  </w:r>
                </w:p>
              </w:tc>
              <w:tc>
                <w:tcPr>
                  <w:tcW w:w="15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7680.10</w:t>
                  </w:r>
                </w:p>
              </w:tc>
              <w:tc>
                <w:tcPr>
                  <w:tcW w:w="15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7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8.3</w:t>
                  </w: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28.3</w:t>
                  </w:r>
                </w:p>
              </w:tc>
            </w:tr>
            <w:tr>
              <w:tblPrEx>
                <w:tblBorders>
                  <w:top w:val="single" w:color="000000" w:sz="18" w:space="0"/>
                  <w:left w:val="single" w:color="000000" w:sz="18" w:space="0"/>
                  <w:bottom w:val="single" w:color="000000" w:sz="18" w:space="0"/>
                  <w:right w:val="single" w:color="000000" w:sz="18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2" w:hRule="atLeast"/>
                <w:jc w:val="center"/>
              </w:trPr>
              <w:tc>
                <w:tcPr>
                  <w:tcW w:w="13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exact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15</w:t>
                  </w: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#楼</w:t>
                  </w:r>
                </w:p>
              </w:tc>
              <w:tc>
                <w:tcPr>
                  <w:tcW w:w="189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5224.96</w:t>
                  </w:r>
                </w:p>
              </w:tc>
              <w:tc>
                <w:tcPr>
                  <w:tcW w:w="15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6687.69</w:t>
                  </w:r>
                </w:p>
              </w:tc>
              <w:tc>
                <w:tcPr>
                  <w:tcW w:w="15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78.1</w:t>
                  </w: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2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8.1</w:t>
                  </w:r>
                </w:p>
              </w:tc>
            </w:tr>
          </w:tbl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仿宋" w:hAnsi="仿宋" w:eastAsia="仿宋" w:cs="仿宋_GB2312"/>
                <w:sz w:val="24"/>
                <w:szCs w:val="22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480" w:firstLineChars="200"/>
              <w:rPr>
                <w:rFonts w:hint="eastAsia" w:ascii="仿宋" w:hAnsi="仿宋" w:eastAsia="仿宋" w:cs="仿宋_GB2312"/>
                <w:sz w:val="24"/>
                <w:szCs w:val="22"/>
              </w:rPr>
            </w:pPr>
            <w:r>
              <w:rPr>
                <w:rFonts w:hint="eastAsia" w:ascii="仿宋" w:hAnsi="仿宋" w:eastAsia="仿宋" w:cs="仿宋_GB2312"/>
                <w:sz w:val="24"/>
                <w:szCs w:val="22"/>
              </w:rPr>
              <w:t>1.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2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装配式建筑设计标准化、模数化：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480"/>
              <w:rPr>
                <w:rFonts w:hint="eastAsia" w:ascii="仿宋" w:hAnsi="仿宋" w:eastAsia="仿宋" w:cs="仿宋_GB2312"/>
                <w:sz w:val="24"/>
                <w:szCs w:val="22"/>
              </w:rPr>
            </w:pPr>
            <w:r>
              <w:rPr>
                <w:rFonts w:hint="eastAsia" w:ascii="仿宋" w:hAnsi="仿宋" w:eastAsia="仿宋" w:cs="仿宋_GB2312"/>
                <w:sz w:val="24"/>
                <w:szCs w:val="22"/>
              </w:rPr>
              <w:t>1.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2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.1、本项目1#、2#、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#、1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2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13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楼不存在不符合1M基本模数整倍数的轴线尺寸，不存在不符合扩大模数2M、3M整倍数的楼梯间开间及进深的轴线尺寸，不存在不符合1M基本模数整倍数的层高，根据《福建省装配式建筑评价管理办法（试行）》闽建〔2020〕4号文规定，此项得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0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分；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480" w:firstLineChars="200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1.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部品部件通用化得分计算：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480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1.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.1、本项目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1#、2#、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#、1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2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13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#楼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叠合板轮廓尺寸为3320</w:t>
            </w:r>
            <w:r>
              <w:rPr>
                <w:rFonts w:hint="default" w:ascii="Arial" w:hAnsi="Arial" w:eastAsia="仿宋" w:cs="Arial"/>
                <w:sz w:val="24"/>
                <w:szCs w:val="24"/>
              </w:rPr>
              <w:t>×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15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55</w:t>
            </w:r>
            <w:r>
              <w:rPr>
                <w:rFonts w:hint="default" w:ascii="Arial" w:hAnsi="Arial" w:eastAsia="仿宋" w:cs="Arial"/>
                <w:sz w:val="24"/>
                <w:szCs w:val="24"/>
              </w:rPr>
              <w:t>×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60的预制叠合板个数为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>392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；轮廓尺寸相同的预制构件个数均＞200，根据《福建省装配式建筑评价管理办法（试行）》闽建〔2020〕4号文规定，此项得分Q1e=2分。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480"/>
              <w:rPr>
                <w:rFonts w:hint="eastAsia" w:ascii="仿宋" w:hAnsi="仿宋" w:eastAsia="仿宋" w:cs="仿宋_GB2312"/>
                <w:sz w:val="24"/>
                <w:szCs w:val="22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1.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.2、本项目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1#、2#、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#、1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2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13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#楼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预制楼梯轮廓尺寸为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>2880x1180x130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，轮廓尺寸相同的预制混凝土楼梯构件个数为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>344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个；轮廓尺寸相同的预制楼梯个数＞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>12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0，根据《福建省装配式建筑评价管理办法（试行）》闽建〔2020〕4号文规定，此项得分Q1e=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>2.0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分；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480" w:firstLineChars="200"/>
              <w:rPr>
                <w:rFonts w:hint="eastAsia" w:ascii="仿宋" w:hAnsi="仿宋" w:eastAsia="仿宋" w:cs="仿宋_GB2312"/>
                <w:sz w:val="24"/>
                <w:szCs w:val="22"/>
              </w:rPr>
            </w:pPr>
            <w:r>
              <w:rPr>
                <w:rFonts w:hint="eastAsia" w:ascii="仿宋" w:hAnsi="仿宋" w:eastAsia="仿宋" w:cs="仿宋_GB2312"/>
                <w:sz w:val="24"/>
                <w:szCs w:val="22"/>
              </w:rPr>
              <w:t>综上，根据《福建省装配式建筑评价管理办法（试行）》闽建〔2020〕4号文规定，本项目主体结构Q1总得分为：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仿宋" w:hAnsi="仿宋" w:eastAsia="仿宋" w:cs="仿宋_GB2312"/>
                <w:sz w:val="24"/>
                <w:szCs w:val="24"/>
              </w:rPr>
            </w:pPr>
            <w:r>
              <w:rPr>
                <w:rFonts w:hint="default" w:ascii="仿宋" w:hAnsi="仿宋" w:eastAsia="仿宋" w:cs="Times New Roman"/>
                <w:bCs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#、</w:t>
            </w:r>
            <w:r>
              <w:rPr>
                <w:rFonts w:hint="default" w:ascii="仿宋" w:hAnsi="仿宋" w:eastAsia="仿宋" w:cs="Times New Roman"/>
                <w:bCs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#楼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为Q1=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>28.4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+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>2+2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= 3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>2.4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分 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 xml:space="preserve">   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仿宋" w:hAnsi="仿宋" w:eastAsia="仿宋" w:cs="仿宋_GB2312"/>
                <w:sz w:val="24"/>
                <w:szCs w:val="24"/>
              </w:rPr>
            </w:pPr>
            <w:r>
              <w:rPr>
                <w:rFonts w:hint="default" w:ascii="仿宋" w:hAnsi="仿宋" w:eastAsia="仿宋" w:cs="Times New Roman"/>
                <w:bCs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#、</w:t>
            </w:r>
            <w:r>
              <w:rPr>
                <w:rFonts w:hint="default" w:ascii="仿宋" w:hAnsi="仿宋" w:eastAsia="仿宋" w:cs="Times New Roman"/>
                <w:bCs/>
                <w:sz w:val="24"/>
                <w:szCs w:val="24"/>
              </w:rPr>
              <w:t>12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#、</w:t>
            </w:r>
            <w:r>
              <w:rPr>
                <w:rFonts w:hint="default" w:ascii="仿宋" w:hAnsi="仿宋" w:eastAsia="仿宋" w:cs="Times New Roman"/>
                <w:bCs/>
                <w:sz w:val="24"/>
                <w:szCs w:val="24"/>
              </w:rPr>
              <w:t>13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#楼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为Q1=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>28.3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+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>2+2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= 3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>2.3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分</w:t>
            </w:r>
          </w:p>
          <w:p>
            <w:pPr>
              <w:pStyle w:val="3"/>
              <w:keepNext w:val="0"/>
              <w:keepLines w:val="0"/>
              <w:suppressLineNumbers w:val="0"/>
              <w:ind w:left="0" w:right="0"/>
              <w:rPr>
                <w:rFonts w:hint="eastAsia" w:ascii="仿宋" w:hAnsi="仿宋" w:eastAsia="仿宋" w:cs="仿宋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 w:val="0"/>
                <w:bCs w:val="0"/>
                <w:kern w:val="2"/>
                <w:sz w:val="24"/>
                <w:szCs w:val="24"/>
              </w:rPr>
              <w:t>1</w:t>
            </w:r>
            <w:r>
              <w:rPr>
                <w:rFonts w:hint="default" w:ascii="仿宋" w:hAnsi="仿宋" w:eastAsia="仿宋" w:cs="仿宋_GB2312"/>
                <w:b w:val="0"/>
                <w:bCs w:val="0"/>
                <w:kern w:val="2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仿宋_GB2312"/>
                <w:b w:val="0"/>
                <w:bCs w:val="0"/>
                <w:kern w:val="2"/>
                <w:sz w:val="24"/>
                <w:szCs w:val="24"/>
              </w:rPr>
              <w:t>#楼为Q1=28.</w:t>
            </w:r>
            <w:r>
              <w:rPr>
                <w:rFonts w:hint="default" w:ascii="仿宋" w:hAnsi="仿宋" w:eastAsia="仿宋" w:cs="仿宋_GB2312"/>
                <w:b w:val="0"/>
                <w:bCs w:val="0"/>
                <w:kern w:val="2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_GB2312"/>
                <w:b w:val="0"/>
                <w:bCs w:val="0"/>
                <w:kern w:val="2"/>
                <w:sz w:val="24"/>
                <w:szCs w:val="24"/>
              </w:rPr>
              <w:t>+2+2= 32.</w:t>
            </w:r>
            <w:r>
              <w:rPr>
                <w:rFonts w:hint="default" w:ascii="仿宋" w:hAnsi="仿宋" w:eastAsia="仿宋" w:cs="仿宋_GB2312"/>
                <w:b w:val="0"/>
                <w:bCs w:val="0"/>
                <w:kern w:val="2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_GB2312"/>
                <w:b w:val="0"/>
                <w:bCs w:val="0"/>
                <w:kern w:val="2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围护墙和内隔墙应用情况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本项目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1#、2#、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#、1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2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13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#楼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采用装配式内隔墙，装配式内隔墙应用比例计算如下表：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18" w:space="0"/>
                <w:left w:val="single" w:color="000000" w:sz="18" w:space="0"/>
                <w:bottom w:val="single" w:color="000000" w:sz="18" w:space="0"/>
                <w:right w:val="single" w:color="000000" w:sz="18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03"/>
              <w:gridCol w:w="1559"/>
              <w:gridCol w:w="1268"/>
              <w:gridCol w:w="1268"/>
              <w:gridCol w:w="1168"/>
            </w:tblGrid>
            <w:tr>
              <w:tblPrEx>
                <w:tblBorders>
                  <w:top w:val="single" w:color="000000" w:sz="18" w:space="0"/>
                  <w:left w:val="single" w:color="000000" w:sz="18" w:space="0"/>
                  <w:bottom w:val="single" w:color="000000" w:sz="18" w:space="0"/>
                  <w:right w:val="single" w:color="000000" w:sz="18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5" w:hRule="atLeast"/>
                <w:jc w:val="center"/>
              </w:trPr>
              <w:tc>
                <w:tcPr>
                  <w:tcW w:w="16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楼栋</w:t>
                  </w:r>
                </w:p>
              </w:tc>
              <w:tc>
                <w:tcPr>
                  <w:tcW w:w="15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装配式内隔墙面积(㎡)</w:t>
                  </w:r>
                </w:p>
              </w:tc>
              <w:tc>
                <w:tcPr>
                  <w:tcW w:w="12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内隔墙总面积(㎡)</w:t>
                  </w:r>
                </w:p>
              </w:tc>
              <w:tc>
                <w:tcPr>
                  <w:tcW w:w="12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装配式内隔墙应用比例Q2c(%)</w:t>
                  </w:r>
                </w:p>
              </w:tc>
              <w:tc>
                <w:tcPr>
                  <w:tcW w:w="11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装配率</w:t>
                  </w:r>
                </w:p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480" w:right="0" w:hanging="480" w:hangingChars="20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评价分</w:t>
                  </w:r>
                </w:p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Q2</w:t>
                  </w:r>
                </w:p>
              </w:tc>
            </w:tr>
            <w:tr>
              <w:tblPrEx>
                <w:tblBorders>
                  <w:top w:val="single" w:color="000000" w:sz="18" w:space="0"/>
                  <w:left w:val="single" w:color="000000" w:sz="18" w:space="0"/>
                  <w:bottom w:val="single" w:color="000000" w:sz="18" w:space="0"/>
                  <w:right w:val="single" w:color="000000" w:sz="18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603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1</w:t>
                  </w: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#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1533.37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1938.31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8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0.14</w:t>
                  </w:r>
                </w:p>
              </w:tc>
              <w:tc>
                <w:tcPr>
                  <w:tcW w:w="1168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10</w:t>
                  </w:r>
                </w:p>
              </w:tc>
            </w:tr>
            <w:tr>
              <w:tblPrEx>
                <w:tblBorders>
                  <w:top w:val="single" w:color="000000" w:sz="18" w:space="0"/>
                  <w:left w:val="single" w:color="000000" w:sz="18" w:space="0"/>
                  <w:bottom w:val="single" w:color="000000" w:sz="18" w:space="0"/>
                  <w:right w:val="single" w:color="000000" w:sz="18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603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2</w:t>
                  </w: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#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1722.32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2147.53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8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0.20</w:t>
                  </w:r>
                </w:p>
              </w:tc>
              <w:tc>
                <w:tcPr>
                  <w:tcW w:w="1168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1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0</w:t>
                  </w:r>
                </w:p>
              </w:tc>
            </w:tr>
            <w:tr>
              <w:tblPrEx>
                <w:tblBorders>
                  <w:top w:val="single" w:color="000000" w:sz="18" w:space="0"/>
                  <w:left w:val="single" w:color="000000" w:sz="18" w:space="0"/>
                  <w:bottom w:val="single" w:color="000000" w:sz="18" w:space="0"/>
                  <w:right w:val="single" w:color="000000" w:sz="18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603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5</w:t>
                  </w: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#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1701.60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2125.82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8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0.04</w:t>
                  </w:r>
                </w:p>
              </w:tc>
              <w:tc>
                <w:tcPr>
                  <w:tcW w:w="1168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1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0</w:t>
                  </w:r>
                </w:p>
              </w:tc>
            </w:tr>
            <w:tr>
              <w:tblPrEx>
                <w:tblBorders>
                  <w:top w:val="single" w:color="000000" w:sz="18" w:space="0"/>
                  <w:left w:val="single" w:color="000000" w:sz="18" w:space="0"/>
                  <w:bottom w:val="single" w:color="000000" w:sz="18" w:space="0"/>
                  <w:right w:val="single" w:color="000000" w:sz="18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603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12</w:t>
                  </w: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#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1866.37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2289.01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8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1.54</w:t>
                  </w:r>
                </w:p>
              </w:tc>
              <w:tc>
                <w:tcPr>
                  <w:tcW w:w="1168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1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0</w:t>
                  </w:r>
                </w:p>
              </w:tc>
            </w:tr>
            <w:tr>
              <w:tblPrEx>
                <w:tblBorders>
                  <w:top w:val="single" w:color="000000" w:sz="18" w:space="0"/>
                  <w:left w:val="single" w:color="000000" w:sz="18" w:space="0"/>
                  <w:bottom w:val="single" w:color="000000" w:sz="18" w:space="0"/>
                  <w:right w:val="single" w:color="000000" w:sz="18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603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1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3</w:t>
                  </w: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#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1866.37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2289.01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8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1.54</w:t>
                  </w:r>
                </w:p>
              </w:tc>
              <w:tc>
                <w:tcPr>
                  <w:tcW w:w="1168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1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0</w:t>
                  </w:r>
                </w:p>
              </w:tc>
            </w:tr>
            <w:tr>
              <w:tblPrEx>
                <w:tblBorders>
                  <w:top w:val="single" w:color="000000" w:sz="18" w:space="0"/>
                  <w:left w:val="single" w:color="000000" w:sz="18" w:space="0"/>
                  <w:bottom w:val="single" w:color="000000" w:sz="18" w:space="0"/>
                  <w:right w:val="single" w:color="000000" w:sz="18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603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1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5</w:t>
                  </w: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#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1669.35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2056.95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8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1.16</w:t>
                  </w:r>
                </w:p>
              </w:tc>
              <w:tc>
                <w:tcPr>
                  <w:tcW w:w="1168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suppressLineNumbers w:val="0"/>
                    <w:shd w:val="clear" w:color="auto" w:fill="FFFFFF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_GB2312"/>
                      <w:sz w:val="24"/>
                      <w:szCs w:val="24"/>
                    </w:rPr>
                    <w:t>1</w:t>
                  </w:r>
                  <w:r>
                    <w:rPr>
                      <w:rFonts w:hint="default" w:ascii="仿宋" w:hAnsi="仿宋" w:eastAsia="仿宋" w:cs="仿宋_GB2312"/>
                      <w:sz w:val="24"/>
                      <w:szCs w:val="24"/>
                    </w:rPr>
                    <w:t>0</w:t>
                  </w:r>
                </w:p>
              </w:tc>
            </w:tr>
          </w:tbl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本项目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1#、2#、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#、1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2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13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#楼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装配式内隔墙应用比例均大于80%，根据《福建省装配式建筑评价管理办法（试行）》闽建〔2020〕4号文规定，本项目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1#、2#、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#、1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2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13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#楼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内隔墙非砌筑得分均为Q2=10分。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仿宋" w:hAnsi="仿宋" w:eastAsia="仿宋" w:cs="Times New Roman"/>
                <w:sz w:val="24"/>
                <w:szCs w:val="24"/>
              </w:rPr>
            </w:pPr>
            <w:r>
              <w:rPr>
                <w:rFonts w:hint="default" w:ascii="仿宋" w:hAnsi="仿宋" w:eastAsia="仿宋" w:cs="Times New Roman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．装修和设备管线应用情况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全装修应满足下列要求：建筑功能空间的固定面装修和设备设施安装全部完成，达到建筑使用功能和性能的基本要求。其中，对于教育、医疗等建筑类型，在设计阶段即可明确建筑功能空间在使用和性能方面的要求和标准，其所有区域均视为可装修区域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/>
                <w:szCs w:val="20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本项目未采用全装修施工，因此此项得分为Q3=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  <w:jc w:val="center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仿宋" w:hAnsi="仿宋" w:eastAsia="仿宋" w:cs="Times New Roman"/>
                <w:sz w:val="24"/>
                <w:szCs w:val="24"/>
              </w:rPr>
            </w:pPr>
            <w:r>
              <w:rPr>
                <w:rFonts w:hint="default" w:ascii="仿宋" w:hAnsi="仿宋" w:eastAsia="仿宋" w:cs="Times New Roman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．技术创新应用情况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4.1、本项目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1#、2#、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#、1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2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13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#楼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在设计阶段及施工阶段均采用BIM技术，建模细度达到LOD3.0的全专业BIM模型，得1分；满足钢筋碰撞检查要求的预制构件BIM模型及碰撞检查报告得2分；在施工阶段提供：评价得分项相关的预制构件深化设计BIM模型（建模细度达到LOD4.0），得2分；内隔墙BIM模型（建模细度达到LOD4.0），得1分；根据《福建省装配式建筑评价管理办法（试行）》规定可得分6分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4.2、本项目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  <w:t>生产施工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过程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采用可追溯管理系统，得分2分；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本项目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1#、2#、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#、1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2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13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#、</w:t>
            </w:r>
            <w:r>
              <w:rPr>
                <w:rFonts w:hint="default" w:ascii="仿宋" w:hAnsi="仿宋" w:eastAsia="仿宋" w:cs="仿宋_GB2312"/>
                <w:sz w:val="24"/>
                <w:szCs w:val="22"/>
              </w:rPr>
              <w:t>15</w:t>
            </w:r>
            <w:r>
              <w:rPr>
                <w:rFonts w:hint="eastAsia" w:ascii="仿宋" w:hAnsi="仿宋" w:eastAsia="仿宋" w:cs="仿宋_GB2312"/>
                <w:sz w:val="24"/>
                <w:szCs w:val="22"/>
              </w:rPr>
              <w:t>#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楼技术创新应用总得分均为Q4=6</w:t>
            </w:r>
            <w:r>
              <w:rPr>
                <w:rFonts w:hint="default" w:ascii="仿宋" w:hAnsi="仿宋" w:eastAsia="仿宋" w:cs="仿宋_GB2312"/>
                <w:sz w:val="24"/>
                <w:szCs w:val="24"/>
              </w:rPr>
              <w:t>+2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=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  <w:t>，不低于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5分的要求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40" w:lineRule="exact"/>
              <w:ind w:left="0" w:right="0"/>
              <w:rPr>
                <w:rFonts w:hint="default" w:ascii="仿宋_GB2312" w:hAnsi="Times New Roman" w:cs="Times New Roman"/>
                <w:sz w:val="30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30"/>
                <w:szCs w:val="30"/>
              </w:rPr>
              <w:t>五、申报单位概况</w:t>
            </w:r>
            <w:r>
              <w:rPr>
                <w:rFonts w:hint="eastAsia" w:ascii="仿宋_GB2312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cs="Times New Roman"/>
                <w:sz w:val="24"/>
                <w:szCs w:val="24"/>
              </w:rPr>
              <w:t>（多个单位联合申报应分别介绍）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3" w:hRule="atLeast"/>
          <w:jc w:val="center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福州新投海新开发建设有限公司成立于2022年03月07日，注册地位于福建省福州市长乐区漳港街道万新路99号新投商务中心20层，法定代表人为陈福。经营范围包括许可项目：房地产开发经营（依法须经批准的项目，经相关部门批准后方可开展经营活动，具体经营项目以相关部门批准文件或许可证件为准）一般项目：房地产评估（除依法须经批准的项目外，凭营业执照依法自主开展经营活动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default" w:ascii="仿宋" w:hAnsi="仿宋" w:eastAsia="仿宋" w:cs="仿宋_GB2312"/>
                <w:color w:val="FF0000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_GB2312" w:cs="仿宋_GB2312"/>
                <w:color w:val="FF0000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suppressLineNumbers w:val="0"/>
              <w:ind w:left="0" w:right="0"/>
              <w:rPr>
                <w:rFonts w:hint="default" w:cs="Times New Roman"/>
                <w:color w:val="FF000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Times New Roman" w:cs="Times New Roman"/>
                <w:sz w:val="30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30"/>
                <w:szCs w:val="30"/>
              </w:rPr>
              <w:t>六、项目主要参加人员</w:t>
            </w:r>
            <w:r>
              <w:rPr>
                <w:rFonts w:hint="eastAsia" w:ascii="仿宋_GB2312" w:hAnsi="宋体" w:cs="Times New Roman"/>
                <w:sz w:val="24"/>
                <w:szCs w:val="20"/>
              </w:rPr>
              <w:t>（包括建设、代建、工程总承包、设计、主要构件生产、施工、监理、咨询单位技术负责人）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hAnsi="仿宋" w:eastAsia="仿宋" w:cs="Times New Roman"/>
                <w:color w:val="auto"/>
                <w:sz w:val="30"/>
                <w:szCs w:val="22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0"/>
              </w:rPr>
              <w:t>姓   名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hAnsi="仿宋" w:eastAsia="仿宋" w:cs="Times New Roman"/>
                <w:color w:val="auto"/>
                <w:sz w:val="30"/>
                <w:szCs w:val="22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0"/>
              </w:rPr>
              <w:t>职   务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hAnsi="仿宋" w:eastAsia="仿宋" w:cs="Times New Roman"/>
                <w:color w:val="auto"/>
                <w:sz w:val="30"/>
                <w:szCs w:val="22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0"/>
              </w:rPr>
              <w:t>职   称</w:t>
            </w:r>
          </w:p>
        </w:tc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hAnsi="仿宋" w:eastAsia="仿宋" w:cs="Times New Roman"/>
                <w:color w:val="auto"/>
                <w:sz w:val="30"/>
                <w:szCs w:val="22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0"/>
              </w:rPr>
              <w:t>承担主要工作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韦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达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建设单位项目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/</w:t>
            </w:r>
          </w:p>
        </w:tc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>董晨耕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设计单位项目负责人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高级工程师</w:t>
            </w:r>
          </w:p>
        </w:tc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>施工图设计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>陈国栋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设计单位专业负责人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高级工程师</w:t>
            </w:r>
          </w:p>
        </w:tc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>装配式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深化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>设计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>周  莺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仿宋" w:hAnsi="仿宋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Times New Roman"/>
                <w:sz w:val="24"/>
                <w:szCs w:val="20"/>
              </w:rPr>
              <w:t>工程总承包</w:t>
            </w:r>
            <w:r>
              <w:rPr>
                <w:rFonts w:hint="eastAsia" w:ascii="仿宋_GB2312" w:hAnsi="宋体" w:cs="Times New Roman"/>
                <w:sz w:val="24"/>
                <w:szCs w:val="20"/>
                <w:lang w:val="en-US" w:eastAsia="zh-CN"/>
              </w:rPr>
              <w:t>单位项目负责人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高级工程师</w:t>
            </w:r>
          </w:p>
        </w:tc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>工程负责人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谢灵裕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监理单位项目负责人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高级工程师</w:t>
            </w:r>
          </w:p>
        </w:tc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总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>监理工程师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姜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松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_GB2312" w:hAnsi="宋体" w:cs="Times New Roman"/>
                <w:sz w:val="24"/>
                <w:szCs w:val="20"/>
              </w:rPr>
            </w:pPr>
            <w:r>
              <w:rPr>
                <w:rFonts w:hint="eastAsia" w:ascii="仿宋_GB2312" w:hAnsi="宋体" w:cs="Times New Roman"/>
                <w:sz w:val="24"/>
                <w:szCs w:val="20"/>
              </w:rPr>
              <w:t>施工单位项目经理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工程师</w:t>
            </w:r>
          </w:p>
        </w:tc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Style w:val="23"/>
                <w:rFonts w:hint="default" w:ascii="仿宋_GB2312" w:hAnsi="仿宋_GB2312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eastAsia="仿宋" w:cs="Times New Roman"/>
                <w:color w:val="auto"/>
                <w:sz w:val="24"/>
                <w:szCs w:val="24"/>
                <w:lang w:val="en-US" w:eastAsia="zh-CN"/>
              </w:rPr>
              <w:t>赵承钧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仿宋_GB2312" w:hAnsi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宋体" w:cs="Times New Roman"/>
                <w:sz w:val="24"/>
                <w:szCs w:val="20"/>
                <w:lang w:val="en-US" w:eastAsia="zh-CN"/>
              </w:rPr>
              <w:t>施工单位项目技术负责人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Style w:val="23"/>
                <w:rFonts w:hint="default" w:ascii="仿宋_GB2312" w:hAnsi="仿宋_GB2312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</w:rPr>
              <w:t>高级工程师</w:t>
            </w:r>
          </w:p>
        </w:tc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Style w:val="23"/>
                <w:rFonts w:hint="default" w:ascii="仿宋_GB2312" w:hAnsi="仿宋_GB2312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Style w:val="23"/>
                <w:rFonts w:hint="eastAsia" w:ascii="仿宋_GB2312" w:hAnsi="仿宋_GB2312" w:cs="Times New Roman"/>
                <w:color w:val="auto"/>
                <w:sz w:val="24"/>
                <w:szCs w:val="24"/>
                <w:lang w:val="en-US"/>
              </w:rPr>
              <w:t>项目技术负责人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Style w:val="23"/>
                <w:rFonts w:hint="default" w:ascii="仿宋_GB2312" w:hAnsi="仿宋_GB2312" w:eastAsia="仿宋_GB2312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Times New Roman"/>
                <w:sz w:val="24"/>
                <w:szCs w:val="20"/>
                <w:lang w:val="en-US" w:eastAsia="zh-CN"/>
              </w:rPr>
              <w:t>陈星瑞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_GB2312" w:hAnsi="宋体" w:cs="Times New Roman"/>
                <w:sz w:val="24"/>
                <w:szCs w:val="20"/>
              </w:rPr>
            </w:pPr>
            <w:r>
              <w:rPr>
                <w:rFonts w:hint="eastAsia" w:ascii="仿宋_GB2312" w:hAnsi="宋体" w:cs="Times New Roman"/>
                <w:sz w:val="24"/>
                <w:szCs w:val="20"/>
              </w:rPr>
              <w:t>预制构件供应方项目负责人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Style w:val="23"/>
                <w:rFonts w:hint="default" w:ascii="仿宋_GB2312" w:hAnsi="仿宋_GB2312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Style w:val="23"/>
                <w:rFonts w:hint="eastAsia" w:ascii="仿宋_GB2312" w:hAnsi="仿宋_GB2312" w:cs="Times New Roman"/>
                <w:color w:val="auto"/>
                <w:sz w:val="24"/>
                <w:szCs w:val="24"/>
                <w:lang w:val="en-US"/>
              </w:rPr>
              <w:t>工程师</w:t>
            </w:r>
          </w:p>
        </w:tc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Style w:val="23"/>
                <w:rFonts w:hint="eastAsia" w:ascii="仿宋_GB2312" w:hAnsi="仿宋_GB2312" w:eastAsia="仿宋_GB2312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Times New Roman"/>
                <w:sz w:val="24"/>
                <w:szCs w:val="20"/>
              </w:rPr>
              <w:t>预制构件供应</w:t>
            </w:r>
            <w:r>
              <w:rPr>
                <w:rFonts w:hint="eastAsia" w:ascii="仿宋_GB2312" w:hAnsi="宋体" w:cs="Times New Roman"/>
                <w:sz w:val="24"/>
                <w:szCs w:val="20"/>
                <w:lang w:val="en-US" w:eastAsia="zh-CN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Style w:val="23"/>
                <w:rFonts w:hint="default" w:ascii="仿宋_GB2312" w:hAnsi="仿宋_GB2312" w:cs="Times New Roman"/>
                <w:color w:val="FF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Style w:val="23"/>
                <w:rFonts w:hint="eastAsia" w:ascii="仿宋_GB2312" w:hAnsi="仿宋_GB2312" w:cs="Times New Roman"/>
                <w:color w:val="FF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Style w:val="23"/>
                <w:rFonts w:hint="eastAsia" w:ascii="仿宋_GB2312" w:hAnsi="仿宋_GB2312" w:cs="Times New Roman"/>
                <w:color w:val="FF0000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Style w:val="23"/>
                <w:rFonts w:hint="eastAsia" w:ascii="仿宋_GB2312" w:hAnsi="仿宋_GB2312" w:cs="Times New Roman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Style w:val="23"/>
                <w:rFonts w:hint="default" w:ascii="仿宋_GB2312" w:hAnsi="仿宋_GB2312" w:cs="Times New Roman"/>
                <w:color w:val="FF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Style w:val="23"/>
                <w:rFonts w:hint="eastAsia" w:ascii="仿宋_GB2312" w:hAnsi="仿宋_GB2312" w:cs="Times New Roman"/>
                <w:color w:val="FF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Style w:val="23"/>
                <w:rFonts w:hint="eastAsia" w:ascii="仿宋_GB2312" w:hAnsi="仿宋_GB2312" w:cs="Times New Roman"/>
                <w:color w:val="FF0000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Style w:val="23"/>
                <w:rFonts w:hint="eastAsia" w:ascii="仿宋_GB2312" w:hAnsi="仿宋_GB2312" w:cs="Times New Roman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6" w:hRule="atLeast"/>
          <w:jc w:val="center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suppressLineNumbers w:val="0"/>
              <w:ind w:left="0" w:right="0"/>
              <w:rPr>
                <w:rFonts w:hint="eastAsia" w:cs="Times New Roman"/>
              </w:rPr>
            </w:pPr>
          </w:p>
          <w:p>
            <w:pPr>
              <w:pStyle w:val="3"/>
              <w:keepNext w:val="0"/>
              <w:keepLines w:val="0"/>
              <w:suppressLineNumbers w:val="0"/>
              <w:ind w:left="0" w:right="0"/>
              <w:rPr>
                <w:rFonts w:hint="eastAsia" w:cs="Times New Roman"/>
              </w:rPr>
            </w:pPr>
          </w:p>
          <w:p>
            <w:pPr>
              <w:pStyle w:val="3"/>
              <w:keepNext w:val="0"/>
              <w:keepLines w:val="0"/>
              <w:suppressLineNumbers w:val="0"/>
              <w:ind w:left="0" w:right="0"/>
              <w:rPr>
                <w:rFonts w:hint="eastAsia" w:cs="Times New Roman"/>
              </w:rPr>
            </w:pPr>
          </w:p>
          <w:p>
            <w:pPr>
              <w:pStyle w:val="3"/>
              <w:keepNext w:val="0"/>
              <w:keepLines w:val="0"/>
              <w:suppressLineNumbers w:val="0"/>
              <w:ind w:left="0" w:right="0"/>
              <w:rPr>
                <w:rFonts w:hint="default" w:cs="Times New Roman"/>
              </w:rPr>
            </w:pPr>
            <w:r>
              <w:rPr>
                <w:rFonts w:hint="eastAsia" w:cs="Times New Roman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黑体" w:hAnsi="黑体" w:eastAsia="黑体" w:cs="Times New Roman"/>
                <w:sz w:val="30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30"/>
                <w:szCs w:val="30"/>
              </w:rPr>
              <w:t>七、项目综合效益分析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="仿宋" w:hAnsi="仿宋" w:eastAsia="仿宋" w:cs="仿宋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</w:rPr>
              <w:t>本项目采用装配式混凝土结构，大部分混凝土构件采用工厂规格化生产后现场吊装拼接，施工速度快，绿色环保。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="仿宋" w:hAnsi="仿宋" w:eastAsia="仿宋" w:cs="仿宋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</w:rPr>
              <w:t>本项目装配式内隔墙</w:t>
            </w:r>
            <w:r>
              <w:rPr>
                <w:rFonts w:hint="eastAsia" w:ascii="仿宋" w:hAnsi="仿宋" w:eastAsia="仿宋" w:cs="仿宋"/>
                <w:sz w:val="24"/>
                <w:szCs w:val="20"/>
                <w:lang w:eastAsia="zh-CN"/>
              </w:rPr>
              <w:t>采用</w:t>
            </w:r>
            <w:r>
              <w:rPr>
                <w:rFonts w:hint="eastAsia" w:ascii="仿宋" w:hAnsi="仿宋" w:eastAsia="仿宋" w:cs="仿宋"/>
                <w:sz w:val="24"/>
                <w:szCs w:val="20"/>
              </w:rPr>
              <w:t>ALC墙板，ALC 板采用工厂规格化生产，现场装配式安装，可以有效减少现场湿作业，加快施工效率，缩短工期，减少环境污染。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  <w:lang w:eastAsia="zh-CN"/>
              </w:rPr>
              <w:t>本项目还</w:t>
            </w:r>
            <w:r>
              <w:rPr>
                <w:rFonts w:hint="eastAsia" w:ascii="仿宋" w:hAnsi="仿宋" w:eastAsia="仿宋" w:cs="仿宋"/>
                <w:sz w:val="24"/>
                <w:szCs w:val="20"/>
              </w:rPr>
              <w:t>通过 BIM 技术的三维空间特性，对复杂结构进行碰撞检查，对关键部位节点进行碰撞检查，有效提高装配式建筑构件生产、施工吊装、工程造价、运维等生命周期的效率与质量。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Times New Roman" w:cs="Times New Roman"/>
                <w:sz w:val="3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黑体" w:hAnsi="黑体" w:eastAsia="黑体" w:cs="Times New Roman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 w:cs="Times New Roman"/>
                <w:bCs/>
                <w:sz w:val="30"/>
                <w:szCs w:val="30"/>
              </w:rPr>
              <w:t>八、申报单位意见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0" w:hRule="atLeast"/>
          <w:jc w:val="center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="仿宋" w:hAnsi="仿宋" w:eastAsia="仿宋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color w:val="auto"/>
                <w:sz w:val="24"/>
                <w:szCs w:val="24"/>
              </w:rPr>
              <w:t>本项目1#、2#、5#、12#、13#、15#楼实施装配式建造，其中主体结构部分的分值不低于30分，围护墙和内隔墙部分的分值不低于10分，技术创新的分值不低于5分，装配率不低于50%，符合《福建省装配式建筑评价管理办法（试行）》闽建〔2020〕4号文中规定的要求，现申请装配式建筑</w:t>
            </w:r>
            <w:r>
              <w:rPr>
                <w:rFonts w:hint="eastAsia" w:ascii="仿宋" w:hAnsi="仿宋" w:eastAsia="仿宋" w:cs="仿宋_GB2312"/>
                <w:bCs/>
                <w:color w:val="auto"/>
                <w:sz w:val="24"/>
                <w:szCs w:val="24"/>
                <w:lang w:eastAsia="zh-CN"/>
              </w:rPr>
              <w:t>施工阶段评价为装配式建筑</w:t>
            </w:r>
            <w:r>
              <w:rPr>
                <w:rFonts w:hint="eastAsia" w:ascii="仿宋" w:hAnsi="仿宋" w:eastAsia="仿宋" w:cs="仿宋_GB2312"/>
                <w:bCs/>
                <w:color w:val="auto"/>
                <w:sz w:val="24"/>
                <w:szCs w:val="24"/>
              </w:rPr>
              <w:t>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_GB2312" w:hAnsi="仿宋_GB2312" w:cs="仿宋_GB2312"/>
                <w:bCs/>
                <w:sz w:val="28"/>
                <w:szCs w:val="28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cs="仿宋_GB2312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_GB2312" w:hAnsi="仿宋_GB2312" w:cs="仿宋_GB2312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_GB2312" w:hAnsi="仿宋_GB2312" w:cs="仿宋_GB2312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280"/>
              <w:jc w:val="right"/>
              <w:rPr>
                <w:rFonts w:hint="eastAsia" w:ascii="仿宋" w:hAnsi="仿宋" w:eastAsia="仿宋" w:cs="仿宋_GB2312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>福州新投海新开发建设有限公司（盖章）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仿宋" w:hAnsi="仿宋" w:eastAsia="仿宋" w:cs="Times New Roman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sz w:val="24"/>
                <w:szCs w:val="20"/>
              </w:rPr>
              <w:t xml:space="preserve">                                                     </w:t>
            </w:r>
            <w:r>
              <w:rPr>
                <w:rFonts w:hint="eastAsia" w:ascii="仿宋" w:hAnsi="仿宋" w:eastAsia="仿宋" w:cs="仿宋_GB2312"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_GB2312"/>
                <w:bCs/>
                <w:color w:val="auto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_GB2312"/>
                <w:bCs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0"/>
              </w:rPr>
              <w:t>年</w:t>
            </w:r>
            <w:r>
              <w:rPr>
                <w:rFonts w:hint="default" w:ascii="仿宋" w:hAnsi="仿宋" w:eastAsia="仿宋" w:cs="仿宋_GB2312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_GB2312"/>
                <w:bCs/>
                <w:color w:val="auto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0"/>
              </w:rPr>
              <w:t>月</w:t>
            </w:r>
            <w:r>
              <w:rPr>
                <w:rFonts w:hint="default" w:ascii="仿宋" w:hAnsi="仿宋" w:eastAsia="仿宋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0"/>
              </w:rPr>
              <w:t>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黑体" w:hAnsi="黑体" w:eastAsia="黑体" w:cs="Times New Roman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 w:cs="Times New Roman"/>
                <w:bCs/>
                <w:sz w:val="30"/>
                <w:szCs w:val="30"/>
              </w:rPr>
              <w:t>九、专家组意见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0" w:hRule="atLeast"/>
          <w:jc w:val="center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keepNext w:val="0"/>
              <w:keepLines w:val="0"/>
              <w:suppressLineNumbers w:val="0"/>
              <w:ind w:left="0" w:right="0"/>
              <w:rPr>
                <w:rFonts w:hint="eastAsia" w:ascii="仿宋" w:hAnsi="仿宋" w:eastAsia="仿宋" w:cs="仿宋_GB2312"/>
                <w:bCs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default" w:ascii="仿宋" w:hAnsi="仿宋" w:eastAsia="仿宋" w:cs="仿宋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  <w:lang w:eastAsia="zh-CN"/>
              </w:rPr>
              <w:t>该</w:t>
            </w:r>
            <w:r>
              <w:rPr>
                <w:rFonts w:hint="eastAsia" w:ascii="仿宋" w:hAnsi="仿宋" w:eastAsia="仿宋" w:cs="仿宋"/>
                <w:sz w:val="24"/>
                <w:szCs w:val="20"/>
              </w:rPr>
              <w:t>项目1#、2#、5#、12#、13#、15#楼实施装配式建造，装配式</w:t>
            </w: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>建筑</w:t>
            </w:r>
            <w:r>
              <w:rPr>
                <w:rFonts w:hint="eastAsia" w:ascii="仿宋" w:hAnsi="仿宋" w:eastAsia="仿宋" w:cs="仿宋"/>
                <w:sz w:val="24"/>
                <w:szCs w:val="20"/>
                <w:lang w:eastAsia="zh-CN"/>
              </w:rPr>
              <w:t>计容</w:t>
            </w:r>
            <w:r>
              <w:rPr>
                <w:rFonts w:hint="eastAsia" w:ascii="仿宋" w:hAnsi="仿宋" w:eastAsia="仿宋" w:cs="仿宋"/>
                <w:sz w:val="24"/>
                <w:szCs w:val="20"/>
              </w:rPr>
              <w:t>面积</w:t>
            </w: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>为41225.45m</w:t>
            </w:r>
            <w:r>
              <w:rPr>
                <w:rFonts w:hint="eastAsia" w:ascii="仿宋" w:hAnsi="仿宋" w:eastAsia="仿宋" w:cs="仿宋"/>
                <w:sz w:val="24"/>
                <w:szCs w:val="20"/>
                <w:vertAlign w:val="superscript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>，占比项目总计容建筑面积比例为52.30%</w:t>
            </w:r>
            <w:r>
              <w:rPr>
                <w:rFonts w:hint="eastAsia" w:ascii="仿宋" w:hAnsi="仿宋" w:eastAsia="仿宋" w:cs="仿宋"/>
                <w:sz w:val="24"/>
                <w:szCs w:val="20"/>
                <w:lang w:eastAsia="zh-CN"/>
              </w:rPr>
              <w:t>，大于项目总计容建筑面积的</w:t>
            </w: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>50%，满足国有建设用地使用权出让合同（合同编号：35018220211213P025）及《福州市长乐区人民政府关于加快发展装配式建筑的实施意见（试行）的通知》（长政综[2019]221号）的相关要求。</w:t>
            </w:r>
          </w:p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default" w:ascii="仿宋" w:hAnsi="仿宋" w:eastAsia="仿宋" w:cs="仿宋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  <w:lang w:eastAsia="zh-CN"/>
              </w:rPr>
              <w:t>该项目装配式建筑设计相关资料完整，各评价单体</w:t>
            </w: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>主体结构、围护墙和内隔墙、技术创新等评分项均满足最低分值要求，单体</w:t>
            </w:r>
            <w:r>
              <w:rPr>
                <w:rFonts w:hint="eastAsia" w:ascii="仿宋" w:hAnsi="仿宋" w:eastAsia="仿宋" w:cs="仿宋"/>
                <w:sz w:val="24"/>
                <w:szCs w:val="20"/>
                <w:lang w:eastAsia="zh-CN"/>
              </w:rPr>
              <w:t>装配率均不低于50%，符合</w:t>
            </w:r>
            <w:r>
              <w:rPr>
                <w:rFonts w:hint="eastAsia" w:ascii="仿宋" w:hAnsi="仿宋" w:eastAsia="仿宋" w:cs="仿宋"/>
                <w:sz w:val="24"/>
                <w:szCs w:val="20"/>
              </w:rPr>
              <w:t>《福建省装配式建筑评价管理办法（试行）》闽建〔2020〕4号文中规定的要求，</w:t>
            </w: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>施工过程按照设计阶段预评价意见实施。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40"/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>同意新投·臻樾府1#楼、2#楼、5#楼、12#楼、13#楼、15#楼施工阶段评价为装配式建筑。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40"/>
              <w:rPr>
                <w:rFonts w:hint="default" w:ascii="仿宋" w:hAnsi="仿宋" w:eastAsia="仿宋" w:cs="仿宋"/>
                <w:sz w:val="24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exact"/>
              <w:ind w:left="640" w:leftChars="200" w:right="0" w:rightChars="0"/>
              <w:rPr>
                <w:rFonts w:hint="default" w:ascii="仿宋" w:hAnsi="仿宋" w:eastAsia="仿宋" w:cs="仿宋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>专家名单：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exact"/>
              <w:ind w:left="640" w:leftChars="200" w:right="0" w:rightChars="0"/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>曾庆友   福建建工集团有限责任公司福州分公司   教授级高工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exact"/>
              <w:ind w:left="640" w:leftChars="200" w:right="0" w:rightChars="0"/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>张书锋   中建海峡建设发展有限公司             正高级工程师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exact"/>
              <w:ind w:left="640" w:leftChars="200" w:right="0" w:rightChars="0"/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>洪 志    嘉博联合设计股份有限公司             高级工程师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exact"/>
              <w:ind w:left="640" w:leftChars="200" w:right="0" w:rightChars="0"/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exact"/>
              <w:ind w:left="640" w:leftChars="200" w:right="0" w:rightChars="0"/>
              <w:jc w:val="right"/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>2026年7月7日</w:t>
            </w: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cs="Times New Roman"/>
                <w:szCs w:val="20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cs="Times New Roman"/>
                <w:szCs w:val="2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黑体" w:hAnsi="黑体" w:eastAsia="黑体" w:cs="Times New Roman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 w:cs="Times New Roman"/>
                <w:bCs/>
                <w:sz w:val="30"/>
                <w:szCs w:val="30"/>
              </w:rPr>
              <w:t>十、设区市住房城乡建设主管部门意见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7" w:hRule="atLeast"/>
          <w:jc w:val="center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cs="Times New Roman"/>
                <w:sz w:val="30"/>
                <w:szCs w:val="2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cs="Times New Roman"/>
                <w:sz w:val="30"/>
                <w:szCs w:val="2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cs="Times New Roman"/>
                <w:sz w:val="30"/>
                <w:szCs w:val="2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cs="Times New Roman"/>
                <w:sz w:val="30"/>
                <w:szCs w:val="2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cs="Times New Roman"/>
                <w:sz w:val="30"/>
                <w:szCs w:val="2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cs="Times New Roman"/>
                <w:sz w:val="30"/>
                <w:szCs w:val="20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30"/>
                <w:szCs w:val="20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30"/>
                <w:szCs w:val="20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30"/>
                <w:szCs w:val="20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30"/>
                <w:szCs w:val="20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30"/>
                <w:szCs w:val="20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30"/>
                <w:szCs w:val="20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30"/>
                <w:szCs w:val="20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30"/>
                <w:szCs w:val="2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cs="Times New Roman"/>
                <w:sz w:val="30"/>
                <w:szCs w:val="2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Times New Roman" w:cs="Times New Roman"/>
                <w:sz w:val="30"/>
                <w:szCs w:val="2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7200" w:firstLineChars="3000"/>
              <w:rPr>
                <w:rFonts w:hint="eastAsia" w:ascii="仿宋_GB2312" w:hAnsi="Times New Roman" w:cs="Times New Roman"/>
                <w:sz w:val="24"/>
                <w:szCs w:val="20"/>
              </w:rPr>
            </w:pPr>
            <w:r>
              <w:rPr>
                <w:rFonts w:hint="eastAsia" w:ascii="仿宋_GB2312" w:hAnsi="宋体" w:cs="Times New Roman"/>
                <w:sz w:val="24"/>
                <w:szCs w:val="20"/>
              </w:rPr>
              <w:t>（盖章）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cs="Times New Roman"/>
                <w:sz w:val="30"/>
                <w:szCs w:val="22"/>
              </w:rPr>
            </w:pPr>
            <w:r>
              <w:rPr>
                <w:rFonts w:hint="eastAsia" w:ascii="仿宋_GB2312" w:hAnsi="Times New Roman" w:cs="Times New Roman"/>
                <w:sz w:val="24"/>
                <w:szCs w:val="20"/>
              </w:rPr>
              <w:t xml:space="preserve">                                                  </w:t>
            </w:r>
            <w:r>
              <w:rPr>
                <w:rFonts w:hint="eastAsia" w:ascii="仿宋_GB2312" w:cs="Times New Roman"/>
                <w:sz w:val="24"/>
                <w:szCs w:val="20"/>
                <w:lang w:val="en-US" w:eastAsia="zh-CN"/>
              </w:rPr>
              <w:t xml:space="preserve">      </w:t>
            </w:r>
            <w:r>
              <w:rPr>
                <w:rFonts w:hint="eastAsia" w:ascii="仿宋_GB2312" w:hAnsi="Times New Roman" w:cs="Times New Roman"/>
                <w:sz w:val="24"/>
                <w:szCs w:val="20"/>
              </w:rPr>
              <w:t xml:space="preserve">     </w:t>
            </w:r>
            <w:r>
              <w:rPr>
                <w:rFonts w:hint="eastAsia" w:ascii="仿宋_GB2312" w:hAnsi="宋体" w:cs="Times New Roman"/>
                <w:sz w:val="24"/>
                <w:szCs w:val="20"/>
              </w:rPr>
              <w:t>年</w:t>
            </w:r>
            <w:r>
              <w:rPr>
                <w:rFonts w:hint="eastAsia" w:ascii="仿宋_GB2312" w:hAnsi="Times New Roman" w:cs="Times New Roman"/>
                <w:sz w:val="24"/>
                <w:szCs w:val="20"/>
              </w:rPr>
              <w:t xml:space="preserve">   </w:t>
            </w:r>
            <w:r>
              <w:rPr>
                <w:rFonts w:hint="eastAsia" w:ascii="仿宋_GB2312" w:hAnsi="宋体" w:cs="Times New Roman"/>
                <w:sz w:val="24"/>
                <w:szCs w:val="20"/>
              </w:rPr>
              <w:t>月</w:t>
            </w:r>
            <w:r>
              <w:rPr>
                <w:rFonts w:hint="eastAsia" w:ascii="仿宋_GB2312" w:hAnsi="Times New Roman" w:cs="Times New Roman"/>
                <w:sz w:val="24"/>
                <w:szCs w:val="20"/>
              </w:rPr>
              <w:t xml:space="preserve">   </w:t>
            </w:r>
            <w:r>
              <w:rPr>
                <w:rFonts w:hint="eastAsia" w:ascii="仿宋_GB2312" w:hAnsi="宋体" w:cs="Times New Roman"/>
                <w:sz w:val="24"/>
                <w:szCs w:val="20"/>
              </w:rPr>
              <w:t>日</w:t>
            </w:r>
          </w:p>
        </w:tc>
      </w:tr>
    </w:tbl>
    <w:p>
      <w:pPr>
        <w:spacing w:before="50" w:line="500" w:lineRule="exact"/>
        <w:rPr>
          <w:rFonts w:hint="eastAsia"/>
          <w:sz w:val="28"/>
          <w:szCs w:val="28"/>
        </w:rPr>
      </w:pPr>
      <w:bookmarkStart w:id="4" w:name="img"/>
      <w:bookmarkEnd w:id="4"/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98" w:right="1474" w:bottom="1985" w:left="1588" w:header="851" w:footer="1588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Verdana">
    <w:altName w:val="Ubuntu Light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Ubuntu Light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altName w:val="MathJax_Vector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MS Mincho">
    <w:altName w:val="方正书宋_GBK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outside" w:y="1"/>
      <w:rPr>
        <w:rStyle w:val="15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5"/>
        <w:rFonts w:ascii="宋体" w:hAnsi="宋体"/>
        <w:sz w:val="28"/>
        <w:szCs w:val="28"/>
      </w:rPr>
      <w:t>- 5 -</w:t>
    </w:r>
    <w:r>
      <w:rPr>
        <w:rFonts w:ascii="宋体" w:hAnsi="宋体"/>
        <w:sz w:val="28"/>
        <w:szCs w:val="28"/>
      </w:rPr>
      <w:fldChar w:fldCharType="end"/>
    </w:r>
  </w:p>
  <w:p>
    <w:pPr>
      <w:pStyle w:val="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outside" w:y="1"/>
      <w:rPr>
        <w:rStyle w:val="15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5"/>
        <w:rFonts w:ascii="宋体" w:hAnsi="宋体"/>
        <w:sz w:val="28"/>
        <w:szCs w:val="28"/>
      </w:rPr>
      <w:t>- 4 -</w:t>
    </w:r>
    <w:r>
      <w:rPr>
        <w:rFonts w:ascii="宋体" w:hAnsi="宋体"/>
        <w:sz w:val="28"/>
        <w:szCs w:val="28"/>
      </w:rPr>
      <w:fldChar w:fldCharType="end"/>
    </w:r>
  </w:p>
  <w:p>
    <w:pPr>
      <w:pStyle w:val="8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outside" w:y="1"/>
      <w:ind w:right="320" w:rightChars="100"/>
      <w:rPr>
        <w:rStyle w:val="15"/>
        <w:rFonts w:hint="eastAsia" w:ascii="宋体"/>
        <w:sz w:val="28"/>
        <w:szCs w:val="28"/>
      </w:rPr>
    </w:pPr>
    <w:r>
      <w:rPr>
        <w:rFonts w:hint="eastAsia" w:ascii="宋体"/>
        <w:sz w:val="28"/>
        <w:szCs w:val="28"/>
      </w:rPr>
      <w:fldChar w:fldCharType="begin"/>
    </w:r>
    <w:r>
      <w:rPr>
        <w:rStyle w:val="15"/>
        <w:rFonts w:hint="eastAsia" w:ascii="宋体"/>
        <w:sz w:val="28"/>
        <w:szCs w:val="28"/>
      </w:rPr>
      <w:instrText xml:space="preserve">PAGE  </w:instrText>
    </w:r>
    <w:r>
      <w:rPr>
        <w:rFonts w:hint="eastAsia" w:ascii="宋体"/>
        <w:sz w:val="28"/>
        <w:szCs w:val="28"/>
      </w:rPr>
      <w:fldChar w:fldCharType="separate"/>
    </w:r>
    <w:r>
      <w:rPr>
        <w:rStyle w:val="15"/>
        <w:rFonts w:ascii="宋体"/>
        <w:sz w:val="28"/>
        <w:szCs w:val="28"/>
      </w:rPr>
      <w:t>- 11 -</w:t>
    </w:r>
    <w:r>
      <w:rPr>
        <w:rFonts w:hint="eastAsia" w:ascii="宋体"/>
        <w:sz w:val="28"/>
        <w:szCs w:val="28"/>
      </w:rPr>
      <w:fldChar w:fldCharType="end"/>
    </w:r>
  </w:p>
  <w:p>
    <w:pPr>
      <w:pStyle w:val="8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outside" w:y="1"/>
      <w:ind w:firstLine="280" w:firstLineChars="100"/>
      <w:rPr>
        <w:rStyle w:val="15"/>
        <w:rFonts w:hint="eastAsia" w:ascii="宋体"/>
        <w:sz w:val="28"/>
        <w:szCs w:val="28"/>
      </w:rPr>
    </w:pPr>
    <w:r>
      <w:rPr>
        <w:rFonts w:hint="eastAsia" w:ascii="宋体"/>
        <w:sz w:val="28"/>
        <w:szCs w:val="28"/>
      </w:rPr>
      <w:fldChar w:fldCharType="begin"/>
    </w:r>
    <w:r>
      <w:rPr>
        <w:rStyle w:val="15"/>
        <w:rFonts w:hint="eastAsia" w:ascii="宋体"/>
        <w:sz w:val="28"/>
        <w:szCs w:val="28"/>
      </w:rPr>
      <w:instrText xml:space="preserve">PAGE  </w:instrText>
    </w:r>
    <w:r>
      <w:rPr>
        <w:rFonts w:hint="eastAsia" w:ascii="宋体"/>
        <w:sz w:val="28"/>
        <w:szCs w:val="28"/>
      </w:rPr>
      <w:fldChar w:fldCharType="separate"/>
    </w:r>
    <w:r>
      <w:rPr>
        <w:rStyle w:val="15"/>
        <w:rFonts w:ascii="宋体"/>
        <w:sz w:val="28"/>
        <w:szCs w:val="28"/>
      </w:rPr>
      <w:t>- 6 -</w:t>
    </w:r>
    <w:r>
      <w:rPr>
        <w:rFonts w:hint="eastAsia" w:ascii="宋体"/>
        <w:sz w:val="28"/>
        <w:szCs w:val="28"/>
      </w:rPr>
      <w:fldChar w:fldCharType="end"/>
    </w:r>
  </w:p>
  <w:p>
    <w:pPr>
      <w:pStyle w:val="8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A6C19E"/>
    <w:multiLevelType w:val="singleLevel"/>
    <w:tmpl w:val="BEA6C19E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68A1D700"/>
    <w:multiLevelType w:val="singleLevel"/>
    <w:tmpl w:val="68A1D700"/>
    <w:lvl w:ilvl="0" w:tentative="0">
      <w:start w:val="2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hMTAwZDk5ZTIzNGEyNGU2NWJkMjI2MDZiN2NmNDIifQ=="/>
  </w:docVars>
  <w:rsids>
    <w:rsidRoot w:val="00172A27"/>
    <w:rsid w:val="00004495"/>
    <w:rsid w:val="00013A74"/>
    <w:rsid w:val="00017C0C"/>
    <w:rsid w:val="000218B6"/>
    <w:rsid w:val="00021E2E"/>
    <w:rsid w:val="00022502"/>
    <w:rsid w:val="00024B2B"/>
    <w:rsid w:val="00033E36"/>
    <w:rsid w:val="00043878"/>
    <w:rsid w:val="00044BE9"/>
    <w:rsid w:val="00047646"/>
    <w:rsid w:val="00063177"/>
    <w:rsid w:val="000733E7"/>
    <w:rsid w:val="00076E4A"/>
    <w:rsid w:val="0008387A"/>
    <w:rsid w:val="000B364E"/>
    <w:rsid w:val="000B4489"/>
    <w:rsid w:val="000B7564"/>
    <w:rsid w:val="000D14DE"/>
    <w:rsid w:val="000F5614"/>
    <w:rsid w:val="00130770"/>
    <w:rsid w:val="00140E02"/>
    <w:rsid w:val="00153A1E"/>
    <w:rsid w:val="00154AEA"/>
    <w:rsid w:val="00161E99"/>
    <w:rsid w:val="00162C49"/>
    <w:rsid w:val="00164DA5"/>
    <w:rsid w:val="00173A5D"/>
    <w:rsid w:val="0019647A"/>
    <w:rsid w:val="00197A58"/>
    <w:rsid w:val="001A01BC"/>
    <w:rsid w:val="001B20CB"/>
    <w:rsid w:val="001B5530"/>
    <w:rsid w:val="001C634F"/>
    <w:rsid w:val="00200F21"/>
    <w:rsid w:val="0021094A"/>
    <w:rsid w:val="00213CFE"/>
    <w:rsid w:val="00215F45"/>
    <w:rsid w:val="00220637"/>
    <w:rsid w:val="002251A9"/>
    <w:rsid w:val="00232B0B"/>
    <w:rsid w:val="00245B04"/>
    <w:rsid w:val="002476E0"/>
    <w:rsid w:val="00262AD8"/>
    <w:rsid w:val="00264CF3"/>
    <w:rsid w:val="00272250"/>
    <w:rsid w:val="00276F35"/>
    <w:rsid w:val="0028354F"/>
    <w:rsid w:val="00283ABE"/>
    <w:rsid w:val="002A390D"/>
    <w:rsid w:val="002A3B3A"/>
    <w:rsid w:val="002B232E"/>
    <w:rsid w:val="002B7C0A"/>
    <w:rsid w:val="002C0E22"/>
    <w:rsid w:val="002D6657"/>
    <w:rsid w:val="002D7582"/>
    <w:rsid w:val="002E0950"/>
    <w:rsid w:val="002F4E4B"/>
    <w:rsid w:val="00315788"/>
    <w:rsid w:val="00326EE2"/>
    <w:rsid w:val="00334DF4"/>
    <w:rsid w:val="0035199D"/>
    <w:rsid w:val="00353997"/>
    <w:rsid w:val="00355B8A"/>
    <w:rsid w:val="00361E56"/>
    <w:rsid w:val="0037638C"/>
    <w:rsid w:val="00380B19"/>
    <w:rsid w:val="003A61DD"/>
    <w:rsid w:val="003B363B"/>
    <w:rsid w:val="003C2790"/>
    <w:rsid w:val="003C34F4"/>
    <w:rsid w:val="003F5313"/>
    <w:rsid w:val="004069FA"/>
    <w:rsid w:val="0041116F"/>
    <w:rsid w:val="00412434"/>
    <w:rsid w:val="0041246C"/>
    <w:rsid w:val="004221BE"/>
    <w:rsid w:val="004352B1"/>
    <w:rsid w:val="004358B9"/>
    <w:rsid w:val="00441A1C"/>
    <w:rsid w:val="00451ADF"/>
    <w:rsid w:val="00456502"/>
    <w:rsid w:val="00490242"/>
    <w:rsid w:val="0049435A"/>
    <w:rsid w:val="0049522F"/>
    <w:rsid w:val="004A1D3B"/>
    <w:rsid w:val="004A41E2"/>
    <w:rsid w:val="004A4BED"/>
    <w:rsid w:val="004B109B"/>
    <w:rsid w:val="004C4577"/>
    <w:rsid w:val="004D2180"/>
    <w:rsid w:val="004D2ABB"/>
    <w:rsid w:val="004D7B5A"/>
    <w:rsid w:val="004E4FFA"/>
    <w:rsid w:val="004F02EF"/>
    <w:rsid w:val="004F0E20"/>
    <w:rsid w:val="004F2329"/>
    <w:rsid w:val="004F2AA8"/>
    <w:rsid w:val="004F7E82"/>
    <w:rsid w:val="00522D1D"/>
    <w:rsid w:val="005379E2"/>
    <w:rsid w:val="00554AF4"/>
    <w:rsid w:val="00580F74"/>
    <w:rsid w:val="00583C66"/>
    <w:rsid w:val="00594D57"/>
    <w:rsid w:val="00597CF7"/>
    <w:rsid w:val="005A27E1"/>
    <w:rsid w:val="005A34E4"/>
    <w:rsid w:val="005B0E27"/>
    <w:rsid w:val="005B7B10"/>
    <w:rsid w:val="005C4A2B"/>
    <w:rsid w:val="005C5AC8"/>
    <w:rsid w:val="005C6831"/>
    <w:rsid w:val="005D0DDB"/>
    <w:rsid w:val="005D5174"/>
    <w:rsid w:val="005D74B9"/>
    <w:rsid w:val="005D7C8D"/>
    <w:rsid w:val="0060117A"/>
    <w:rsid w:val="0060535D"/>
    <w:rsid w:val="0062227B"/>
    <w:rsid w:val="006341A1"/>
    <w:rsid w:val="0064349A"/>
    <w:rsid w:val="00645F37"/>
    <w:rsid w:val="006560A6"/>
    <w:rsid w:val="00675714"/>
    <w:rsid w:val="006B2CE1"/>
    <w:rsid w:val="006C58DF"/>
    <w:rsid w:val="006C626E"/>
    <w:rsid w:val="006C7991"/>
    <w:rsid w:val="006D54AB"/>
    <w:rsid w:val="006E5555"/>
    <w:rsid w:val="006E6724"/>
    <w:rsid w:val="00713BC3"/>
    <w:rsid w:val="00722576"/>
    <w:rsid w:val="00722B6F"/>
    <w:rsid w:val="00724CF9"/>
    <w:rsid w:val="00727ECF"/>
    <w:rsid w:val="00730B90"/>
    <w:rsid w:val="00737F5D"/>
    <w:rsid w:val="007417A7"/>
    <w:rsid w:val="00754F61"/>
    <w:rsid w:val="0075681F"/>
    <w:rsid w:val="00760FCA"/>
    <w:rsid w:val="00766B98"/>
    <w:rsid w:val="007749AB"/>
    <w:rsid w:val="00774E78"/>
    <w:rsid w:val="0078748F"/>
    <w:rsid w:val="007A2972"/>
    <w:rsid w:val="007A6D9D"/>
    <w:rsid w:val="007C2AB4"/>
    <w:rsid w:val="007C3BDA"/>
    <w:rsid w:val="007D1475"/>
    <w:rsid w:val="007D1E81"/>
    <w:rsid w:val="007D2C9E"/>
    <w:rsid w:val="007D53ED"/>
    <w:rsid w:val="007D5F09"/>
    <w:rsid w:val="007E73A5"/>
    <w:rsid w:val="007F0237"/>
    <w:rsid w:val="008002FD"/>
    <w:rsid w:val="00802720"/>
    <w:rsid w:val="0080560F"/>
    <w:rsid w:val="008214D7"/>
    <w:rsid w:val="00832A4F"/>
    <w:rsid w:val="008404F2"/>
    <w:rsid w:val="008412EE"/>
    <w:rsid w:val="00866CDD"/>
    <w:rsid w:val="00873D0B"/>
    <w:rsid w:val="00877AD5"/>
    <w:rsid w:val="00880372"/>
    <w:rsid w:val="00887E9E"/>
    <w:rsid w:val="0089076D"/>
    <w:rsid w:val="00895068"/>
    <w:rsid w:val="008975EA"/>
    <w:rsid w:val="008A3E28"/>
    <w:rsid w:val="008A69E4"/>
    <w:rsid w:val="008B18E9"/>
    <w:rsid w:val="008B618C"/>
    <w:rsid w:val="008C0B00"/>
    <w:rsid w:val="008D2486"/>
    <w:rsid w:val="008D2DE6"/>
    <w:rsid w:val="008D4EA2"/>
    <w:rsid w:val="008E70D1"/>
    <w:rsid w:val="009149FC"/>
    <w:rsid w:val="00916AF7"/>
    <w:rsid w:val="00926751"/>
    <w:rsid w:val="0093296B"/>
    <w:rsid w:val="0094095B"/>
    <w:rsid w:val="009510A4"/>
    <w:rsid w:val="00966645"/>
    <w:rsid w:val="0098172A"/>
    <w:rsid w:val="0098693C"/>
    <w:rsid w:val="00986F6E"/>
    <w:rsid w:val="009A0F83"/>
    <w:rsid w:val="009A2215"/>
    <w:rsid w:val="009A50BC"/>
    <w:rsid w:val="009B023A"/>
    <w:rsid w:val="009D263F"/>
    <w:rsid w:val="009E0BDC"/>
    <w:rsid w:val="00A1671A"/>
    <w:rsid w:val="00A20AFF"/>
    <w:rsid w:val="00A217AE"/>
    <w:rsid w:val="00A270F5"/>
    <w:rsid w:val="00A278EB"/>
    <w:rsid w:val="00A50C60"/>
    <w:rsid w:val="00A5459B"/>
    <w:rsid w:val="00A67CB7"/>
    <w:rsid w:val="00A71DD1"/>
    <w:rsid w:val="00A81FA0"/>
    <w:rsid w:val="00AB7D72"/>
    <w:rsid w:val="00AD0E99"/>
    <w:rsid w:val="00AE2CCE"/>
    <w:rsid w:val="00AE5E66"/>
    <w:rsid w:val="00B066FD"/>
    <w:rsid w:val="00B070B3"/>
    <w:rsid w:val="00B33D90"/>
    <w:rsid w:val="00B43E7E"/>
    <w:rsid w:val="00B56BB2"/>
    <w:rsid w:val="00B72FD5"/>
    <w:rsid w:val="00B76961"/>
    <w:rsid w:val="00B95C8C"/>
    <w:rsid w:val="00BA1568"/>
    <w:rsid w:val="00BA32D3"/>
    <w:rsid w:val="00BC47B5"/>
    <w:rsid w:val="00BD51A9"/>
    <w:rsid w:val="00BE04A6"/>
    <w:rsid w:val="00BE3306"/>
    <w:rsid w:val="00C00749"/>
    <w:rsid w:val="00C02D06"/>
    <w:rsid w:val="00C063FF"/>
    <w:rsid w:val="00C10348"/>
    <w:rsid w:val="00C14737"/>
    <w:rsid w:val="00C34B09"/>
    <w:rsid w:val="00C36B22"/>
    <w:rsid w:val="00C5144E"/>
    <w:rsid w:val="00C53D7B"/>
    <w:rsid w:val="00C847FE"/>
    <w:rsid w:val="00CA1AEB"/>
    <w:rsid w:val="00CB2AF5"/>
    <w:rsid w:val="00CD3A2A"/>
    <w:rsid w:val="00CD7213"/>
    <w:rsid w:val="00CF0867"/>
    <w:rsid w:val="00D4220F"/>
    <w:rsid w:val="00D43060"/>
    <w:rsid w:val="00D430C5"/>
    <w:rsid w:val="00D55269"/>
    <w:rsid w:val="00D5775B"/>
    <w:rsid w:val="00D77B91"/>
    <w:rsid w:val="00DB32A1"/>
    <w:rsid w:val="00DC0A65"/>
    <w:rsid w:val="00DD70FE"/>
    <w:rsid w:val="00E04D16"/>
    <w:rsid w:val="00E17EC2"/>
    <w:rsid w:val="00E22FD3"/>
    <w:rsid w:val="00E46E2F"/>
    <w:rsid w:val="00E810F2"/>
    <w:rsid w:val="00E82283"/>
    <w:rsid w:val="00E87F05"/>
    <w:rsid w:val="00EA3B5E"/>
    <w:rsid w:val="00EA700C"/>
    <w:rsid w:val="00EB0787"/>
    <w:rsid w:val="00EB6B49"/>
    <w:rsid w:val="00EB711D"/>
    <w:rsid w:val="00EC374C"/>
    <w:rsid w:val="00EC5A4E"/>
    <w:rsid w:val="00EC7727"/>
    <w:rsid w:val="00ED1167"/>
    <w:rsid w:val="00EE37FF"/>
    <w:rsid w:val="00EE58AA"/>
    <w:rsid w:val="00EF5879"/>
    <w:rsid w:val="00EF64FE"/>
    <w:rsid w:val="00F152B1"/>
    <w:rsid w:val="00F47D5F"/>
    <w:rsid w:val="00F6472D"/>
    <w:rsid w:val="00F67A83"/>
    <w:rsid w:val="00F745BB"/>
    <w:rsid w:val="00F77688"/>
    <w:rsid w:val="00F92263"/>
    <w:rsid w:val="00FA2C1D"/>
    <w:rsid w:val="00FB1A20"/>
    <w:rsid w:val="00FC1C54"/>
    <w:rsid w:val="00FC45CD"/>
    <w:rsid w:val="00FE37A1"/>
    <w:rsid w:val="00FE5750"/>
    <w:rsid w:val="03C46AD0"/>
    <w:rsid w:val="05D20D24"/>
    <w:rsid w:val="0615589E"/>
    <w:rsid w:val="072E3B8B"/>
    <w:rsid w:val="079E6331"/>
    <w:rsid w:val="084644F7"/>
    <w:rsid w:val="087A14EC"/>
    <w:rsid w:val="09FE56C2"/>
    <w:rsid w:val="0AD21746"/>
    <w:rsid w:val="0C0418A5"/>
    <w:rsid w:val="0C9720AE"/>
    <w:rsid w:val="0D334E8B"/>
    <w:rsid w:val="0ED06375"/>
    <w:rsid w:val="0F1522CE"/>
    <w:rsid w:val="0F253E9B"/>
    <w:rsid w:val="0F8A7E5B"/>
    <w:rsid w:val="111A01E3"/>
    <w:rsid w:val="11C424D6"/>
    <w:rsid w:val="11D75A6B"/>
    <w:rsid w:val="139E4F28"/>
    <w:rsid w:val="148E7CB1"/>
    <w:rsid w:val="152B32B0"/>
    <w:rsid w:val="15EF45D7"/>
    <w:rsid w:val="16361298"/>
    <w:rsid w:val="163C56DE"/>
    <w:rsid w:val="164C15A3"/>
    <w:rsid w:val="16B852C9"/>
    <w:rsid w:val="17330B39"/>
    <w:rsid w:val="1868147E"/>
    <w:rsid w:val="1A8D6DA6"/>
    <w:rsid w:val="1ABE4C19"/>
    <w:rsid w:val="1AC01C46"/>
    <w:rsid w:val="1AD8379B"/>
    <w:rsid w:val="1C572FA7"/>
    <w:rsid w:val="1CB14CEC"/>
    <w:rsid w:val="1CBC703E"/>
    <w:rsid w:val="1D1B34E4"/>
    <w:rsid w:val="1DCD2B8C"/>
    <w:rsid w:val="1DD273DF"/>
    <w:rsid w:val="1E110F0F"/>
    <w:rsid w:val="1EDC41E1"/>
    <w:rsid w:val="23F52AE1"/>
    <w:rsid w:val="24837624"/>
    <w:rsid w:val="24EC014E"/>
    <w:rsid w:val="252B0CC0"/>
    <w:rsid w:val="26786AF4"/>
    <w:rsid w:val="272716CA"/>
    <w:rsid w:val="28616AD6"/>
    <w:rsid w:val="295C191D"/>
    <w:rsid w:val="29760C1E"/>
    <w:rsid w:val="29CD2787"/>
    <w:rsid w:val="2C2A241C"/>
    <w:rsid w:val="2D12002E"/>
    <w:rsid w:val="2E9259C0"/>
    <w:rsid w:val="2F0D6F1D"/>
    <w:rsid w:val="2F7F0C6A"/>
    <w:rsid w:val="2FEC451A"/>
    <w:rsid w:val="311A6BFA"/>
    <w:rsid w:val="3175714F"/>
    <w:rsid w:val="32102B3B"/>
    <w:rsid w:val="32A81BDE"/>
    <w:rsid w:val="333B1F9A"/>
    <w:rsid w:val="33690C52"/>
    <w:rsid w:val="347A43A1"/>
    <w:rsid w:val="36B422AD"/>
    <w:rsid w:val="38095D95"/>
    <w:rsid w:val="39BA4973"/>
    <w:rsid w:val="3AFC7F08"/>
    <w:rsid w:val="3BEF3050"/>
    <w:rsid w:val="3C433E4B"/>
    <w:rsid w:val="3CB873FA"/>
    <w:rsid w:val="3E0520BC"/>
    <w:rsid w:val="3E0908F3"/>
    <w:rsid w:val="41664731"/>
    <w:rsid w:val="43A65519"/>
    <w:rsid w:val="45216735"/>
    <w:rsid w:val="464E07EF"/>
    <w:rsid w:val="46FC32FC"/>
    <w:rsid w:val="47ED75E2"/>
    <w:rsid w:val="487618C5"/>
    <w:rsid w:val="4C8D69F7"/>
    <w:rsid w:val="4D8551B6"/>
    <w:rsid w:val="4F5A0E53"/>
    <w:rsid w:val="4FC94613"/>
    <w:rsid w:val="51B92A02"/>
    <w:rsid w:val="52B64B02"/>
    <w:rsid w:val="52D269CE"/>
    <w:rsid w:val="53A03C9A"/>
    <w:rsid w:val="53FB1A7B"/>
    <w:rsid w:val="54494D54"/>
    <w:rsid w:val="54B87E7C"/>
    <w:rsid w:val="54CD56A4"/>
    <w:rsid w:val="551C7453"/>
    <w:rsid w:val="55760234"/>
    <w:rsid w:val="57725988"/>
    <w:rsid w:val="58372993"/>
    <w:rsid w:val="589F3507"/>
    <w:rsid w:val="5B338E3F"/>
    <w:rsid w:val="5B3DA101"/>
    <w:rsid w:val="5B8854A8"/>
    <w:rsid w:val="5EAF45F7"/>
    <w:rsid w:val="5EEE18EE"/>
    <w:rsid w:val="5FBB641C"/>
    <w:rsid w:val="61580253"/>
    <w:rsid w:val="625214A5"/>
    <w:rsid w:val="62674A6B"/>
    <w:rsid w:val="64064709"/>
    <w:rsid w:val="6444454C"/>
    <w:rsid w:val="6465600B"/>
    <w:rsid w:val="646A7934"/>
    <w:rsid w:val="647E0D38"/>
    <w:rsid w:val="65166C67"/>
    <w:rsid w:val="658B1E1C"/>
    <w:rsid w:val="66BE099E"/>
    <w:rsid w:val="673E1E2B"/>
    <w:rsid w:val="67EE2789"/>
    <w:rsid w:val="6B080889"/>
    <w:rsid w:val="6B4E541A"/>
    <w:rsid w:val="6BE20851"/>
    <w:rsid w:val="6CBA3ECA"/>
    <w:rsid w:val="6E274F23"/>
    <w:rsid w:val="6FFB88EB"/>
    <w:rsid w:val="70275578"/>
    <w:rsid w:val="710018B1"/>
    <w:rsid w:val="71A55F62"/>
    <w:rsid w:val="720A3CD9"/>
    <w:rsid w:val="73356CD6"/>
    <w:rsid w:val="735C4A7E"/>
    <w:rsid w:val="74657670"/>
    <w:rsid w:val="76562678"/>
    <w:rsid w:val="77BE3AB1"/>
    <w:rsid w:val="783837AA"/>
    <w:rsid w:val="7881133C"/>
    <w:rsid w:val="7AAB1123"/>
    <w:rsid w:val="7B1D4D40"/>
    <w:rsid w:val="7C452EBD"/>
    <w:rsid w:val="7C7D4595"/>
    <w:rsid w:val="7DEDBCE8"/>
    <w:rsid w:val="7E9F0BDB"/>
    <w:rsid w:val="7EDF3ACA"/>
    <w:rsid w:val="7FA87C8A"/>
    <w:rsid w:val="7FFC33B4"/>
    <w:rsid w:val="AC9B5C2A"/>
    <w:rsid w:val="BFCB7142"/>
    <w:rsid w:val="C77E684D"/>
    <w:rsid w:val="DF5F684B"/>
    <w:rsid w:val="EBF80D3F"/>
    <w:rsid w:val="F7FBA0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1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/>
      <w:b/>
      <w:bCs/>
      <w:kern w:val="0"/>
      <w:sz w:val="36"/>
      <w:szCs w:val="36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unhideWhenUsed/>
    <w:qFormat/>
    <w:uiPriority w:val="1"/>
    <w:pPr>
      <w:ind w:firstLine="420" w:firstLineChars="200"/>
    </w:pPr>
    <w:rPr>
      <w:rFonts w:ascii="仿宋_GB2312" w:hAnsi="Times New Roman" w:eastAsia="仿宋_GB2312"/>
      <w:sz w:val="32"/>
    </w:rPr>
  </w:style>
  <w:style w:type="paragraph" w:styleId="4">
    <w:name w:val="annotation text"/>
    <w:basedOn w:val="1"/>
    <w:link w:val="17"/>
    <w:semiHidden/>
    <w:qFormat/>
    <w:uiPriority w:val="0"/>
    <w:pPr>
      <w:jc w:val="left"/>
    </w:pPr>
    <w:rPr>
      <w:rFonts w:ascii="Calibri" w:hAnsi="Calibri" w:eastAsia="微软雅黑"/>
      <w:sz w:val="21"/>
      <w:szCs w:val="22"/>
    </w:rPr>
  </w:style>
  <w:style w:type="paragraph" w:styleId="5">
    <w:name w:val="Body Text"/>
    <w:basedOn w:val="1"/>
    <w:link w:val="18"/>
    <w:qFormat/>
    <w:uiPriority w:val="0"/>
    <w:pPr>
      <w:ind w:left="120"/>
      <w:jc w:val="left"/>
    </w:pPr>
    <w:rPr>
      <w:rFonts w:ascii="宋体" w:hAnsi="宋体" w:eastAsia="宋体"/>
      <w:kern w:val="0"/>
      <w:sz w:val="20"/>
      <w:lang w:eastAsia="en-US"/>
    </w:r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9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  <w:szCs w:val="21"/>
    </w:rPr>
  </w:style>
  <w:style w:type="paragraph" w:styleId="11">
    <w:name w:val="annotation subject"/>
    <w:basedOn w:val="4"/>
    <w:next w:val="4"/>
    <w:link w:val="22"/>
    <w:semiHidden/>
    <w:qFormat/>
    <w:uiPriority w:val="0"/>
    <w:rPr>
      <w:rFonts w:ascii="宋体" w:hAnsi="宋体" w:eastAsia="宋体"/>
      <w:b/>
      <w:bCs/>
      <w:sz w:val="20"/>
      <w:szCs w:val="20"/>
    </w:rPr>
  </w:style>
  <w:style w:type="character" w:styleId="14">
    <w:name w:val="Strong"/>
    <w:qFormat/>
    <w:uiPriority w:val="0"/>
    <w:rPr>
      <w:rFonts w:hint="default" w:ascii="Times New Roman" w:hAnsi="Times New Roman" w:cs="Times New Roman"/>
      <w:b/>
      <w:bCs/>
    </w:rPr>
  </w:style>
  <w:style w:type="character" w:styleId="15">
    <w:name w:val="page number"/>
    <w:qFormat/>
    <w:uiPriority w:val="0"/>
  </w:style>
  <w:style w:type="character" w:styleId="16">
    <w:name w:val="Hyperlink"/>
    <w:unhideWhenUsed/>
    <w:qFormat/>
    <w:uiPriority w:val="99"/>
    <w:rPr>
      <w:color w:val="0000FF"/>
      <w:u w:val="single"/>
    </w:rPr>
  </w:style>
  <w:style w:type="character" w:customStyle="1" w:styleId="17">
    <w:name w:val="批注文字 字符"/>
    <w:link w:val="4"/>
    <w:semiHidden/>
    <w:qFormat/>
    <w:locked/>
    <w:uiPriority w:val="0"/>
    <w:rPr>
      <w:rFonts w:ascii="Calibri" w:hAnsi="Calibri" w:eastAsia="微软雅黑"/>
      <w:kern w:val="2"/>
      <w:sz w:val="21"/>
      <w:szCs w:val="22"/>
      <w:lang w:val="en-US" w:eastAsia="zh-CN" w:bidi="ar-SA"/>
    </w:rPr>
  </w:style>
  <w:style w:type="character" w:customStyle="1" w:styleId="18">
    <w:name w:val="正文文本 字符"/>
    <w:link w:val="5"/>
    <w:qFormat/>
    <w:locked/>
    <w:uiPriority w:val="0"/>
    <w:rPr>
      <w:rFonts w:ascii="宋体" w:hAnsi="宋体" w:eastAsia="宋体"/>
      <w:lang w:eastAsia="en-US" w:bidi="ar-SA"/>
    </w:rPr>
  </w:style>
  <w:style w:type="character" w:customStyle="1" w:styleId="19">
    <w:name w:val="批注框文本 字符"/>
    <w:link w:val="7"/>
    <w:semiHidden/>
    <w:qFormat/>
    <w:locked/>
    <w:uiPriority w:val="0"/>
    <w:rPr>
      <w:rFonts w:eastAsia="仿宋_GB2312"/>
      <w:kern w:val="2"/>
      <w:sz w:val="18"/>
      <w:szCs w:val="18"/>
      <w:lang w:val="en-US" w:eastAsia="zh-CN" w:bidi="ar-SA"/>
    </w:rPr>
  </w:style>
  <w:style w:type="character" w:customStyle="1" w:styleId="20">
    <w:name w:val="页脚 字符"/>
    <w:link w:val="8"/>
    <w:qFormat/>
    <w:locked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21">
    <w:name w:val="页眉 字符"/>
    <w:link w:val="9"/>
    <w:semiHidden/>
    <w:qFormat/>
    <w:locked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22">
    <w:name w:val="批注主题 字符"/>
    <w:link w:val="11"/>
    <w:semiHidden/>
    <w:qFormat/>
    <w:locked/>
    <w:uiPriority w:val="0"/>
    <w:rPr>
      <w:rFonts w:ascii="宋体" w:hAnsi="宋体" w:eastAsia="宋体"/>
      <w:b/>
      <w:bCs/>
      <w:kern w:val="2"/>
      <w:lang w:bidi="ar-SA"/>
    </w:rPr>
  </w:style>
  <w:style w:type="character" w:customStyle="1" w:styleId="23">
    <w:name w:val="NormalCharacter"/>
    <w:qFormat/>
    <w:uiPriority w:val="0"/>
    <w:rPr>
      <w:rFonts w:eastAsia="仿宋_GB2312"/>
      <w:kern w:val="2"/>
      <w:sz w:val="32"/>
      <w:lang w:val="en-US" w:eastAsia="zh-CN" w:bidi="ar-SA"/>
    </w:rPr>
  </w:style>
  <w:style w:type="character" w:customStyle="1" w:styleId="24">
    <w:name w:val="unnamed11"/>
    <w:qFormat/>
    <w:uiPriority w:val="0"/>
    <w:rPr>
      <w:rFonts w:ascii="宋体" w:eastAsia="宋体"/>
      <w:sz w:val="21"/>
      <w:szCs w:val="21"/>
    </w:rPr>
  </w:style>
  <w:style w:type="paragraph" w:customStyle="1" w:styleId="25">
    <w:name w:val="List Paragraph1"/>
    <w:basedOn w:val="1"/>
    <w:qFormat/>
    <w:uiPriority w:val="0"/>
    <w:pPr>
      <w:ind w:firstLine="420" w:firstLineChars="200"/>
    </w:pPr>
    <w:rPr>
      <w:rFonts w:eastAsia="微软雅黑"/>
      <w:sz w:val="21"/>
    </w:rPr>
  </w:style>
  <w:style w:type="paragraph" w:customStyle="1" w:styleId="26">
    <w:name w:val="列出段落11"/>
    <w:basedOn w:val="1"/>
    <w:qFormat/>
    <w:uiPriority w:val="0"/>
    <w:pPr>
      <w:ind w:firstLine="420" w:firstLineChars="200"/>
    </w:pPr>
    <w:rPr>
      <w:rFonts w:eastAsia="微软雅黑"/>
      <w:sz w:val="21"/>
    </w:rPr>
  </w:style>
  <w:style w:type="paragraph" w:customStyle="1" w:styleId="27">
    <w:name w:val="正文（正式）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8"/>
      <w:lang w:eastAsia="en-US"/>
    </w:rPr>
  </w:style>
  <w:style w:type="paragraph" w:customStyle="1" w:styleId="28">
    <w:name w:val="列出段落12"/>
    <w:basedOn w:val="1"/>
    <w:qFormat/>
    <w:uiPriority w:val="0"/>
    <w:pPr>
      <w:ind w:firstLine="420" w:firstLineChars="200"/>
    </w:pPr>
    <w:rPr>
      <w:rFonts w:eastAsia="微软雅黑" w:cs="Calibri"/>
      <w:sz w:val="21"/>
      <w:szCs w:val="21"/>
    </w:rPr>
  </w:style>
  <w:style w:type="paragraph" w:customStyle="1" w:styleId="29">
    <w:name w:val="List Paragraph2"/>
    <w:basedOn w:val="1"/>
    <w:qFormat/>
    <w:uiPriority w:val="0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fjjsxxzx</Company>
  <Pages>12</Pages>
  <Words>207</Words>
  <Characters>208</Characters>
  <Lines>34</Lines>
  <Paragraphs>9</Paragraphs>
  <TotalTime>7</TotalTime>
  <ScaleCrop>false</ScaleCrop>
  <LinksUpToDate>false</LinksUpToDate>
  <CharactersWithSpaces>295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2021-03-18T09:06:00Z</dcterms:created>
  <dc:creator>fjjsxxzx</dc:creator>
  <cp:lastModifiedBy>LS</cp:lastModifiedBy>
  <cp:lastPrinted>2026-07-08T15:39:00Z</cp:lastPrinted>
  <dcterms:modified xsi:type="dcterms:W3CDTF">2026-07-27T10:09:42Z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980FC89F59423A7B8AC4626A3D2BA4F4</vt:lpwstr>
  </property>
  <property fmtid="{D5CDD505-2E9C-101B-9397-08002B2CF9AE}" pid="4" name="KSOTemplateDocerSaveRecord">
    <vt:lpwstr>eyJoZGlkIjoiMDIyYWFhZjFlNjdjNGI3Y2Y5Njc0Y2I1OTQ2YzEyZTQiLCJ1c2VySWQiOiI5ODkxOTEyMzMifQ==</vt:lpwstr>
  </property>
</Properties>
</file>