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eastAsia="Times New Roman"/>
          <w:bCs/>
          <w:szCs w:val="28"/>
        </w:rPr>
      </w:pPr>
      <w:r>
        <w:rPr>
          <w:rFonts w:hint="eastAsia" w:ascii="宋体" w:hAnsi="宋体" w:eastAsia="宋体" w:cs="宋体"/>
          <w:szCs w:val="32"/>
        </w:rPr>
        <w:t>附件</w:t>
      </w:r>
      <w:r>
        <w:rPr>
          <w:rFonts w:eastAsia="Times New Roman"/>
          <w:szCs w:val="32"/>
        </w:rPr>
        <w:t>2</w:t>
      </w:r>
      <w:r>
        <w:rPr>
          <w:rFonts w:hint="eastAsia" w:ascii="宋体" w:hAnsi="宋体" w:eastAsia="宋体" w:cs="宋体"/>
          <w:szCs w:val="32"/>
        </w:rPr>
        <w:t>：</w:t>
      </w:r>
    </w:p>
    <w:p>
      <w:pPr>
        <w:spacing w:line="540" w:lineRule="exact"/>
        <w:jc w:val="center"/>
        <w:rPr>
          <w:rFonts w:hint="eastAsia" w:eastAsia="黑体"/>
          <w:bCs/>
          <w:sz w:val="44"/>
          <w:szCs w:val="44"/>
        </w:rPr>
      </w:pPr>
    </w:p>
    <w:p>
      <w:pPr>
        <w:spacing w:line="540" w:lineRule="exact"/>
        <w:jc w:val="center"/>
        <w:rPr>
          <w:rFonts w:eastAsia="黑体"/>
          <w:bCs/>
          <w:sz w:val="44"/>
          <w:szCs w:val="44"/>
        </w:rPr>
      </w:pPr>
    </w:p>
    <w:p>
      <w:pPr>
        <w:spacing w:line="540" w:lineRule="exact"/>
        <w:jc w:val="center"/>
        <w:rPr>
          <w:rFonts w:eastAsia="黑体"/>
          <w:bCs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装配式建筑评价申请表</w:t>
      </w:r>
    </w:p>
    <w:p>
      <w:pPr>
        <w:spacing w:line="420" w:lineRule="exact"/>
        <w:jc w:val="center"/>
        <w:rPr>
          <w:rFonts w:hint="eastAsia"/>
          <w:b/>
          <w:szCs w:val="22"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rPr>
          <w:b/>
        </w:rPr>
      </w:pP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rFonts w:eastAsia="微软雅黑"/>
          <w:b/>
          <w:u w:val="single"/>
        </w:rPr>
      </w:pPr>
      <w:r>
        <w:rPr>
          <w:rFonts w:hint="eastAsia"/>
          <w:b/>
        </w:rPr>
        <w:t>报建编号</w:t>
      </w:r>
      <w:r>
        <w:rPr>
          <w:rFonts w:eastAsia="Times New Roman"/>
          <w:b/>
          <w:u w:val="single"/>
        </w:rPr>
        <w:t xml:space="preserve">  </w:t>
      </w:r>
      <w:r>
        <w:rPr>
          <w:rFonts w:hint="eastAsia" w:eastAsia="宋体"/>
          <w:b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/>
          <w:u w:val="single"/>
          <w:lang w:val="en-US" w:eastAsia="zh-CN"/>
        </w:rPr>
        <w:t>3501122405281403</w:t>
      </w:r>
      <w:r>
        <w:rPr>
          <w:rFonts w:hint="default" w:ascii="仿宋" w:hAnsi="仿宋" w:eastAsia="仿宋" w:cs="宋体"/>
          <w:b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u w:val="single"/>
          <w:lang w:val="en-US" w:eastAsia="zh-CN"/>
        </w:rPr>
        <w:t xml:space="preserve">   </w:t>
      </w:r>
      <w:r>
        <w:rPr>
          <w:rFonts w:eastAsia="Times New Roman"/>
          <w:b/>
          <w:u w:val="single"/>
        </w:rPr>
        <w:t xml:space="preserve">   </w:t>
      </w: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b/>
        </w:rPr>
      </w:pP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b/>
          <w:u w:val="single"/>
        </w:rPr>
      </w:pPr>
      <w:r>
        <w:rPr>
          <w:rFonts w:hint="eastAsia" w:hAnsi="宋体"/>
          <w:b/>
        </w:rPr>
        <w:t>项目名称</w:t>
      </w:r>
      <w:r>
        <w:rPr>
          <w:rFonts w:eastAsia="Times New Roman"/>
          <w:b/>
          <w:u w:val="single"/>
        </w:rPr>
        <w:t xml:space="preserve">  </w:t>
      </w:r>
      <w:r>
        <w:rPr>
          <w:rFonts w:hint="default" w:ascii="仿宋" w:hAnsi="仿宋" w:eastAsia="仿宋" w:cs="宋体"/>
          <w:b/>
          <w:u w:val="single"/>
          <w:lang w:val="en-US" w:eastAsia="zh-CN"/>
        </w:rPr>
        <w:t>空港综保物流分拨中心一区</w:t>
      </w:r>
      <w:r>
        <w:rPr>
          <w:rFonts w:hint="eastAsia" w:eastAsia="宋体"/>
          <w:b/>
          <w:u w:val="single"/>
          <w:lang w:val="en-US" w:eastAsia="zh-CN"/>
        </w:rPr>
        <w:t xml:space="preserve">  </w:t>
      </w:r>
      <w:r>
        <w:rPr>
          <w:rFonts w:eastAsia="Times New Roman"/>
          <w:b/>
          <w:u w:val="single"/>
        </w:rPr>
        <w:t xml:space="preserve">  </w:t>
      </w: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b/>
        </w:rPr>
      </w:pP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rFonts w:hAnsi="宋体"/>
          <w:b/>
        </w:rPr>
      </w:pPr>
      <w:r>
        <w:rPr>
          <w:rFonts w:hint="eastAsia" w:hAnsi="宋体"/>
          <w:b/>
        </w:rPr>
        <w:t>申报单位</w:t>
      </w:r>
      <w:r>
        <w:rPr>
          <w:rFonts w:hint="eastAsia" w:ascii="仿宋" w:hAnsi="仿宋" w:eastAsia="仿宋" w:cs="宋体"/>
          <w:b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/>
          <w:u w:val="single"/>
          <w:lang w:eastAsia="zh-CN"/>
        </w:rPr>
        <w:t>福州空港综保区开发有限公司</w:t>
      </w:r>
      <w:r>
        <w:rPr>
          <w:rFonts w:hint="eastAsia" w:ascii="仿宋" w:hAnsi="仿宋" w:eastAsia="仿宋" w:cs="宋体"/>
          <w:b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宋体"/>
          <w:b/>
          <w:u w:val="single"/>
          <w:lang w:val="en-US" w:eastAsia="zh-CN"/>
        </w:rPr>
        <w:t xml:space="preserve"> </w:t>
      </w:r>
      <w:r>
        <w:rPr>
          <w:rFonts w:hint="eastAsia" w:hAnsi="宋体"/>
          <w:b/>
        </w:rPr>
        <w:t>（盖章）</w:t>
      </w:r>
    </w:p>
    <w:p>
      <w:pPr>
        <w:tabs>
          <w:tab w:val="left" w:pos="6580"/>
          <w:tab w:val="left" w:pos="6780"/>
        </w:tabs>
        <w:spacing w:line="360" w:lineRule="auto"/>
        <w:ind w:firstLine="1600" w:firstLineChars="500"/>
        <w:rPr>
          <w:rFonts w:eastAsia="Times New Roman"/>
          <w:b/>
        </w:rPr>
      </w:pP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rFonts w:hint="default" w:eastAsia="微软雅黑"/>
          <w:b/>
          <w:u w:val="single"/>
          <w:lang w:val="en-US"/>
        </w:rPr>
      </w:pPr>
      <w:r>
        <w:rPr>
          <w:rFonts w:hint="eastAsia" w:hAnsi="宋体"/>
          <w:b/>
        </w:rPr>
        <w:t>主管部门</w:t>
      </w:r>
      <w:r>
        <w:rPr>
          <w:rFonts w:eastAsia="Times New Roman"/>
          <w:b/>
          <w:u w:val="single"/>
        </w:rPr>
        <w:t xml:space="preserve"> </w:t>
      </w:r>
      <w:r>
        <w:rPr>
          <w:rFonts w:hint="eastAsia" w:ascii="仿宋" w:hAnsi="仿宋" w:eastAsia="仿宋" w:cs="宋体"/>
          <w:b/>
          <w:u w:val="single"/>
          <w:lang w:val="en-US" w:eastAsia="zh-CN"/>
        </w:rPr>
        <w:t xml:space="preserve">福州市长乐区住房和城乡建设局 </w:t>
      </w: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b/>
        </w:rPr>
      </w:pPr>
    </w:p>
    <w:p>
      <w:pPr>
        <w:tabs>
          <w:tab w:val="left" w:pos="6580"/>
          <w:tab w:val="left" w:pos="6780"/>
        </w:tabs>
        <w:spacing w:line="360" w:lineRule="auto"/>
        <w:ind w:firstLine="1606" w:firstLineChars="500"/>
        <w:rPr>
          <w:rFonts w:eastAsia="Times New Roman"/>
          <w:b/>
        </w:rPr>
      </w:pPr>
      <w:r>
        <w:rPr>
          <w:rFonts w:hint="eastAsia" w:hAnsi="宋体"/>
          <w:b/>
        </w:rPr>
        <w:t>申报时间</w:t>
      </w:r>
      <w:r>
        <w:rPr>
          <w:rFonts w:eastAsia="Times New Roman"/>
          <w:b/>
          <w:u w:val="single"/>
        </w:rPr>
        <w:t xml:space="preserve">  </w:t>
      </w:r>
      <w:r>
        <w:rPr>
          <w:rFonts w:ascii="仿宋" w:hAnsi="仿宋" w:eastAsia="仿宋"/>
          <w:b/>
          <w:u w:val="single"/>
        </w:rPr>
        <w:t xml:space="preserve"> 202</w:t>
      </w:r>
      <w:r>
        <w:rPr>
          <w:rFonts w:hint="eastAsia" w:ascii="仿宋" w:hAnsi="仿宋" w:eastAsia="仿宋"/>
          <w:b/>
          <w:u w:val="single"/>
          <w:lang w:val="en-US" w:eastAsia="zh-CN"/>
        </w:rPr>
        <w:t>6</w:t>
      </w:r>
      <w:r>
        <w:rPr>
          <w:rFonts w:ascii="仿宋" w:hAnsi="仿宋" w:eastAsia="仿宋"/>
          <w:b/>
          <w:u w:val="single"/>
        </w:rPr>
        <w:t xml:space="preserve">  </w:t>
      </w:r>
      <w:r>
        <w:rPr>
          <w:rFonts w:hint="eastAsia" w:hAnsi="宋体"/>
          <w:b/>
        </w:rPr>
        <w:t>年</w:t>
      </w:r>
      <w:r>
        <w:rPr>
          <w:rFonts w:ascii="仿宋" w:hAnsi="仿宋" w:eastAsia="仿宋"/>
          <w:b/>
          <w:szCs w:val="22"/>
          <w:u w:val="thick"/>
        </w:rPr>
        <w:t xml:space="preserve">   </w:t>
      </w:r>
      <w:r>
        <w:rPr>
          <w:rFonts w:hint="eastAsia" w:ascii="仿宋" w:hAnsi="仿宋" w:eastAsia="仿宋"/>
          <w:b/>
          <w:szCs w:val="22"/>
          <w:u w:val="thick"/>
          <w:lang w:val="en-US" w:eastAsia="zh-CN"/>
        </w:rPr>
        <w:t>04</w:t>
      </w:r>
      <w:r>
        <w:rPr>
          <w:rFonts w:ascii="仿宋" w:hAnsi="仿宋" w:eastAsia="仿宋"/>
          <w:b/>
          <w:szCs w:val="22"/>
          <w:u w:val="thick"/>
        </w:rPr>
        <w:t xml:space="preserve">   </w:t>
      </w:r>
      <w:r>
        <w:rPr>
          <w:rFonts w:hint="eastAsia" w:hAnsi="宋体"/>
          <w:b/>
        </w:rPr>
        <w:t>月</w:t>
      </w:r>
      <w:r>
        <w:rPr>
          <w:rFonts w:ascii="仿宋" w:hAnsi="仿宋" w:eastAsia="仿宋"/>
          <w:b/>
          <w:u w:val="thick"/>
        </w:rPr>
        <w:t xml:space="preserve">  </w:t>
      </w:r>
      <w:r>
        <w:rPr>
          <w:rFonts w:hint="eastAsia" w:ascii="仿宋" w:hAnsi="仿宋" w:eastAsia="仿宋"/>
          <w:b/>
          <w:u w:val="thick"/>
          <w:lang w:val="en-US" w:eastAsia="zh-CN"/>
        </w:rPr>
        <w:t>20</w:t>
      </w:r>
      <w:r>
        <w:rPr>
          <w:rFonts w:ascii="仿宋" w:hAnsi="仿宋" w:eastAsia="仿宋"/>
          <w:b/>
          <w:u w:val="thick"/>
        </w:rPr>
        <w:t xml:space="preserve">  </w:t>
      </w:r>
      <w:r>
        <w:rPr>
          <w:rFonts w:hint="eastAsia" w:hAnsi="宋体"/>
          <w:b/>
        </w:rPr>
        <w:t>日</w:t>
      </w:r>
    </w:p>
    <w:p>
      <w:pPr>
        <w:tabs>
          <w:tab w:val="left" w:pos="6580"/>
          <w:tab w:val="left" w:pos="6780"/>
        </w:tabs>
        <w:spacing w:line="420" w:lineRule="exact"/>
        <w:ind w:firstLine="1347" w:firstLineChars="421"/>
        <w:rPr>
          <w:rFonts w:eastAsia="Times New Roman"/>
          <w:b/>
        </w:rPr>
      </w:pPr>
    </w:p>
    <w:p>
      <w:pPr>
        <w:tabs>
          <w:tab w:val="left" w:pos="6580"/>
          <w:tab w:val="left" w:pos="6780"/>
        </w:tabs>
        <w:rPr>
          <w:rFonts w:eastAsia="Times New Roman"/>
          <w:b/>
        </w:rPr>
      </w:pPr>
    </w:p>
    <w:p>
      <w:pPr>
        <w:tabs>
          <w:tab w:val="left" w:pos="6580"/>
          <w:tab w:val="left" w:pos="6780"/>
        </w:tabs>
        <w:rPr>
          <w:rFonts w:eastAsia="Times New Roman"/>
          <w:b/>
        </w:rPr>
      </w:pPr>
    </w:p>
    <w:p>
      <w:pPr>
        <w:spacing w:line="540" w:lineRule="exact"/>
        <w:rPr>
          <w:rFonts w:eastAsia="Times New Roman"/>
          <w:bCs/>
          <w:sz w:val="44"/>
        </w:rPr>
      </w:pPr>
    </w:p>
    <w:p>
      <w:pPr>
        <w:spacing w:line="540" w:lineRule="exact"/>
        <w:rPr>
          <w:rFonts w:eastAsia="等线"/>
          <w:bCs/>
          <w:sz w:val="44"/>
        </w:rPr>
      </w:pPr>
    </w:p>
    <w:p>
      <w:pPr>
        <w:spacing w:line="540" w:lineRule="exact"/>
        <w:rPr>
          <w:rFonts w:eastAsia="等线"/>
          <w:bCs/>
          <w:sz w:val="44"/>
        </w:rPr>
      </w:pPr>
    </w:p>
    <w:p>
      <w:pPr>
        <w:spacing w:line="540" w:lineRule="exact"/>
        <w:rPr>
          <w:rFonts w:eastAsia="等线"/>
          <w:bCs/>
          <w:sz w:val="44"/>
        </w:rPr>
      </w:pPr>
    </w:p>
    <w:p>
      <w:pPr>
        <w:spacing w:line="540" w:lineRule="exact"/>
        <w:rPr>
          <w:rFonts w:hint="eastAsia" w:ascii="黑体" w:hAnsi="黑体" w:eastAsia="等线" w:cs="黑体"/>
          <w:bCs/>
          <w:sz w:val="44"/>
        </w:rPr>
      </w:pPr>
    </w:p>
    <w:p>
      <w:pPr>
        <w:spacing w:line="440" w:lineRule="atLeast"/>
        <w:jc w:val="center"/>
        <w:rPr>
          <w:rFonts w:ascii="黑体" w:hAnsi="黑体" w:eastAsia="黑体" w:cs="黑体"/>
          <w:bCs/>
          <w:sz w:val="44"/>
        </w:rPr>
      </w:pPr>
      <w:r>
        <w:rPr>
          <w:rFonts w:hint="eastAsia" w:ascii="黑体" w:hAnsi="黑体" w:eastAsia="黑体" w:cs="黑体"/>
          <w:bCs/>
          <w:sz w:val="44"/>
        </w:rPr>
        <w:t>填写说明</w:t>
      </w:r>
    </w:p>
    <w:p>
      <w:pPr>
        <w:spacing w:line="440" w:lineRule="atLeast"/>
        <w:jc w:val="center"/>
        <w:rPr>
          <w:rFonts w:ascii="黑体" w:hAnsi="黑体" w:eastAsia="黑体" w:cs="黑体"/>
          <w:bCs/>
          <w:sz w:val="44"/>
        </w:rPr>
      </w:pP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1</w:t>
      </w:r>
      <w:r>
        <w:rPr>
          <w:rFonts w:hint="eastAsia" w:ascii="仿宋_GB2312" w:hAnsi="仿宋_GB2312" w:cs="仿宋_GB2312"/>
          <w:szCs w:val="32"/>
        </w:rPr>
        <w:t>、申报表一律采用小四号仿宋字体填写，以</w:t>
      </w:r>
      <w:r>
        <w:rPr>
          <w:rFonts w:ascii="仿宋_GB2312" w:hAnsi="仿宋_GB2312" w:cs="仿宋_GB2312"/>
          <w:szCs w:val="32"/>
        </w:rPr>
        <w:t>A4</w:t>
      </w:r>
      <w:r>
        <w:rPr>
          <w:rFonts w:hint="eastAsia" w:ascii="仿宋_GB2312" w:hAnsi="仿宋_GB2312" w:cs="仿宋_GB2312"/>
          <w:szCs w:val="32"/>
        </w:rPr>
        <w:t>纸打印，一式四份。</w:t>
      </w: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2</w:t>
      </w:r>
      <w:r>
        <w:rPr>
          <w:rFonts w:hint="eastAsia" w:ascii="仿宋_GB2312" w:hAnsi="仿宋_GB2312" w:cs="仿宋_GB2312"/>
          <w:szCs w:val="32"/>
        </w:rPr>
        <w:t>、申报表封面的“项目名称”与施工许可证的“工程名称”应一致。</w:t>
      </w: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3</w:t>
      </w:r>
      <w:r>
        <w:rPr>
          <w:rFonts w:hint="eastAsia" w:ascii="仿宋_GB2312" w:hAnsi="仿宋_GB2312" w:cs="仿宋_GB2312"/>
          <w:szCs w:val="32"/>
        </w:rPr>
        <w:t>、项目涉及的设计、施工、监理、部品部件生产单位暂未确定的填写“未确定”。</w:t>
      </w: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ascii="仿宋_GB2312" w:hAnsi="仿宋_GB2312" w:cs="仿宋_GB2312"/>
          <w:sz w:val="30"/>
        </w:rPr>
      </w:pPr>
    </w:p>
    <w:p>
      <w:pPr>
        <w:spacing w:line="240" w:lineRule="atLeast"/>
        <w:rPr>
          <w:rFonts w:hint="eastAsia" w:ascii="仿宋_GB2312" w:hAnsi="仿宋_GB2312" w:cs="仿宋_GB2312"/>
          <w:sz w:val="30"/>
        </w:rPr>
      </w:pPr>
    </w:p>
    <w:tbl>
      <w:tblPr>
        <w:tblStyle w:val="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52"/>
        <w:gridCol w:w="284"/>
        <w:gridCol w:w="141"/>
        <w:gridCol w:w="511"/>
        <w:gridCol w:w="1377"/>
        <w:gridCol w:w="159"/>
        <w:gridCol w:w="614"/>
        <w:gridCol w:w="174"/>
        <w:gridCol w:w="48"/>
        <w:gridCol w:w="718"/>
        <w:gridCol w:w="227"/>
        <w:gridCol w:w="635"/>
        <w:gridCol w:w="1066"/>
        <w:gridCol w:w="114"/>
        <w:gridCol w:w="102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建筑类型</w:t>
            </w:r>
          </w:p>
        </w:tc>
        <w:tc>
          <w:tcPr>
            <w:tcW w:w="7144" w:type="dxa"/>
            <w:gridSpan w:val="12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MS Mincho" w:hAnsi="MS Mincho" w:eastAsia="宋体" w:cs="MS Minch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居住建筑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公共建筑    □其他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</w:rPr>
              <w:t>（选项打</w:t>
            </w: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，下同）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申请评价阶段</w:t>
            </w:r>
          </w:p>
        </w:tc>
        <w:tc>
          <w:tcPr>
            <w:tcW w:w="7144" w:type="dxa"/>
            <w:gridSpan w:val="12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☑</w:t>
            </w:r>
            <w:r>
              <w:rPr>
                <w:rFonts w:hint="eastAsia" w:ascii="宋体" w:hAnsi="宋体" w:eastAsia="宋体" w:cs="宋体"/>
                <w:sz w:val="24"/>
              </w:rPr>
              <w:t>设计阶段预评价            □施工阶段评价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7144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空港综保物流分拨中心一区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项目所在地</w:t>
            </w:r>
          </w:p>
        </w:tc>
        <w:tc>
          <w:tcPr>
            <w:tcW w:w="7144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福州市长乐区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实施装配式建造情况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装配式建筑栋号</w:t>
            </w:r>
          </w:p>
        </w:tc>
        <w:tc>
          <w:tcPr>
            <w:tcW w:w="9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结构类型</w:t>
            </w:r>
          </w:p>
        </w:tc>
        <w:tc>
          <w:tcPr>
            <w:tcW w:w="13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面积（m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）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主体结构Q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9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围护墙和内隔墙Q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装修与设备管线Q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10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技术创新Q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得分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单体建筑装配率（%）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评价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2#楼</w:t>
            </w:r>
          </w:p>
        </w:tc>
        <w:tc>
          <w:tcPr>
            <w:tcW w:w="936" w:type="dxa"/>
            <w:gridSpan w:val="3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MS Mincho" w:hAnsi="MS Mincho" w:eastAsia="宋体" w:cs="MS Mincho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装配式混凝土建筑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装配式钢结构建筑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□装配式木结构建筑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装配式混合结构建筑</w:t>
            </w: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9816.94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4#楼</w:t>
            </w:r>
          </w:p>
        </w:tc>
        <w:tc>
          <w:tcPr>
            <w:tcW w:w="9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13666.65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5#楼</w:t>
            </w:r>
          </w:p>
        </w:tc>
        <w:tc>
          <w:tcPr>
            <w:tcW w:w="9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13666.72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建设单位</w:t>
            </w:r>
          </w:p>
        </w:tc>
        <w:tc>
          <w:tcPr>
            <w:tcW w:w="3952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福州空港综保区开发有限公司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传真</w:t>
            </w:r>
          </w:p>
        </w:tc>
        <w:tc>
          <w:tcPr>
            <w:tcW w:w="20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pStyle w:val="19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福州长乐区东南大数据产业园13号楼4层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pStyle w:val="19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pStyle w:val="19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龚晓明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电话</w:t>
            </w:r>
          </w:p>
        </w:tc>
        <w:tc>
          <w:tcPr>
            <w:tcW w:w="158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1776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****</w:t>
            </w:r>
            <w:r>
              <w:rPr>
                <w:rFonts w:hint="default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黄金苟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电话</w:t>
            </w:r>
          </w:p>
        </w:tc>
        <w:tc>
          <w:tcPr>
            <w:tcW w:w="1580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auto"/>
            <w:vAlign w:val="top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szCs w:val="20"/>
                <w:lang w:val="en-US" w:eastAsia="zh-CN" w:bidi="ar-SA"/>
              </w:rPr>
              <w:t>1395****181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代建单位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传真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电话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37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电话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设计单位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福州工业园区开发集团有限公司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传真</w:t>
            </w:r>
          </w:p>
        </w:tc>
        <w:tc>
          <w:tcPr>
            <w:tcW w:w="20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  <w:t>福州市晋安区湖塘科创园1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栋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曾丽珍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1366****699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程善庚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1366****933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深化设计单位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福州工业园区开发集团有限公司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传真</w:t>
            </w:r>
          </w:p>
        </w:tc>
        <w:tc>
          <w:tcPr>
            <w:tcW w:w="2012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  <w:t>福州市晋安区湖塘科创园1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栋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曾丽珍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1366****699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程善庚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1366****933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/>
                <w:bCs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施工单位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福州工业园区开发集团有限公司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传真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福州市晋安区湖塘科创园1栋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王梓铭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1329****355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王梓铭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1329****355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监理单位</w:t>
            </w:r>
          </w:p>
        </w:tc>
        <w:tc>
          <w:tcPr>
            <w:tcW w:w="3952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福州市建设工程管理有限公司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传真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福州市晋安区福新中路126号岳峰工贸大厦B座6层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张斌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1351****053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张斌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  <w:t>1351****053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部品部件生产单位</w:t>
            </w:r>
          </w:p>
        </w:tc>
        <w:tc>
          <w:tcPr>
            <w:tcW w:w="3952" w:type="dxa"/>
            <w:gridSpan w:val="8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福建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左海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科技有限公司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传真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952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福州市晋安区湖塘科创园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栋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邮编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3500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负责人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杨涛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1306****251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联系人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杨涛</w:t>
            </w:r>
          </w:p>
        </w:tc>
        <w:tc>
          <w:tcPr>
            <w:tcW w:w="8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/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1306****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二、进度计划安排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阶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段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05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4"/>
              </w:rPr>
              <w:t>计划安排内容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4"/>
              </w:rPr>
              <w:t>设计阶段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405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项目方案，扩初，施工图设计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4"/>
              </w:rPr>
              <w:t>建设准备阶段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405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项目报批，建设单位进场准备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4"/>
              </w:rPr>
              <w:t>建设实施阶段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405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项目实际施工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24"/>
              </w:rPr>
              <w:t>竣工验收阶段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405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工程预验收，竣工验收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  <w:vAlign w:val="center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三、单位工程概况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9464" w:type="dxa"/>
            <w:gridSpan w:val="17"/>
            <w:vAlign w:val="center"/>
          </w:tcPr>
          <w:p>
            <w:pPr>
              <w:spacing w:line="540" w:lineRule="exact"/>
              <w:ind w:firstLine="480" w:firstLineChars="200"/>
              <w:rPr>
                <w:rFonts w:hint="eastAsia" w:ascii="仿宋_GB2312"/>
                <w:sz w:val="24"/>
                <w:szCs w:val="22"/>
                <w:lang w:val="zh-CN"/>
              </w:rPr>
            </w:pPr>
            <w:r>
              <w:rPr>
                <w:rFonts w:hint="eastAsia" w:ascii="仿宋_GB2312"/>
                <w:sz w:val="24"/>
                <w:szCs w:val="22"/>
              </w:rPr>
              <w:t>本项目位于福州市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长乐</w:t>
            </w:r>
            <w:r>
              <w:rPr>
                <w:rFonts w:hint="eastAsia" w:ascii="仿宋_GB2312"/>
                <w:sz w:val="24"/>
                <w:szCs w:val="22"/>
              </w:rPr>
              <w:t>区。</w:t>
            </w:r>
          </w:p>
          <w:p>
            <w:pPr>
              <w:spacing w:line="540" w:lineRule="exact"/>
              <w:ind w:firstLine="480" w:firstLineChars="200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本项目总建筑面积为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61465.38</w:t>
            </w:r>
            <w:r>
              <w:rPr>
                <w:rFonts w:hint="eastAsia" w:ascii="仿宋_GB2312"/>
                <w:sz w:val="24"/>
                <w:szCs w:val="22"/>
              </w:rPr>
              <w:t>㎡，地下建筑面积为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851.16</w:t>
            </w:r>
            <w:r>
              <w:rPr>
                <w:rFonts w:hint="eastAsia" w:ascii="仿宋_GB2312"/>
                <w:sz w:val="24"/>
                <w:szCs w:val="22"/>
              </w:rPr>
              <w:t>㎡，地上建筑面积为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60614.22</w:t>
            </w:r>
            <w:r>
              <w:rPr>
                <w:rFonts w:hint="eastAsia" w:ascii="仿宋_GB2312"/>
                <w:sz w:val="24"/>
                <w:szCs w:val="22"/>
              </w:rPr>
              <w:t>㎡。其</w:t>
            </w:r>
            <w:r>
              <w:rPr>
                <w:rFonts w:hint="eastAsia" w:ascii="仿宋_GB2312" w:hAnsi="Times New Roman" w:cs="Times New Roman"/>
                <w:sz w:val="24"/>
                <w:szCs w:val="22"/>
              </w:rPr>
              <w:t>中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#楼、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4#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楼、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#楼</w:t>
            </w:r>
            <w:r>
              <w:rPr>
                <w:rFonts w:hint="eastAsia" w:ascii="仿宋_GB2312" w:hAnsi="Times New Roman" w:cs="Times New Roman"/>
                <w:sz w:val="24"/>
                <w:szCs w:val="22"/>
              </w:rPr>
              <w:t>共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  <w:szCs w:val="22"/>
              </w:rPr>
              <w:t>栋为装配式建筑，装配式建筑的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建筑</w:t>
            </w:r>
            <w:r>
              <w:rPr>
                <w:rFonts w:hint="eastAsia" w:ascii="仿宋_GB2312"/>
                <w:sz w:val="24"/>
                <w:szCs w:val="22"/>
              </w:rPr>
              <w:t>面积为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37150.31</w:t>
            </w:r>
            <w:r>
              <w:rPr>
                <w:rFonts w:hint="eastAsia" w:ascii="仿宋_GB2312"/>
                <w:sz w:val="24"/>
                <w:szCs w:val="22"/>
              </w:rPr>
              <w:t>㎡，装配式建筑的比例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为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37150.31</w:t>
            </w:r>
            <w:r>
              <w:rPr>
                <w:rFonts w:hint="default" w:ascii="仿宋_GB2312"/>
                <w:sz w:val="24"/>
                <w:szCs w:val="22"/>
                <w:lang w:val="en-US"/>
              </w:rPr>
              <w:t>/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60614.22</w:t>
            </w:r>
            <w:r>
              <w:rPr>
                <w:rFonts w:hint="default" w:ascii="仿宋_GB2312"/>
                <w:sz w:val="24"/>
                <w:szCs w:val="22"/>
                <w:lang w:val="en-US"/>
              </w:rPr>
              <w:t>=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61.29</w:t>
            </w:r>
            <w:r>
              <w:rPr>
                <w:rFonts w:hint="eastAsia" w:ascii="仿宋_GB2312"/>
                <w:sz w:val="24"/>
                <w:szCs w:val="22"/>
              </w:rPr>
              <w:t>%&gt;50%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eastAsia" w:ascii="仿宋_GB2312"/>
                <w:sz w:val="24"/>
                <w:szCs w:val="22"/>
              </w:rPr>
              <w:t>结构体系：装配式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钢</w:t>
            </w:r>
            <w:r>
              <w:rPr>
                <w:rFonts w:hint="eastAsia" w:ascii="仿宋_GB2312"/>
                <w:sz w:val="24"/>
                <w:szCs w:val="22"/>
              </w:rPr>
              <w:t>结构。本项目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主要预制构件为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钢结构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，</w:t>
            </w:r>
            <w:r>
              <w:rPr>
                <w:rFonts w:hint="eastAsia" w:ascii="仿宋_GB2312"/>
                <w:sz w:val="24"/>
                <w:szCs w:val="22"/>
              </w:rPr>
              <w:t>各单体装配率均不低于50%。</w:t>
            </w:r>
          </w:p>
          <w:p>
            <w:pPr>
              <w:spacing w:line="540" w:lineRule="exact"/>
              <w:ind w:firstLine="480" w:firstLineChars="200"/>
              <w:rPr>
                <w:rFonts w:hint="eastAsia" w:ascii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/>
                <w:color w:val="auto"/>
                <w:sz w:val="24"/>
                <w:szCs w:val="22"/>
              </w:rPr>
              <w:t>本工程施工图设计文件已通过审图机构审查。审查机构：福州成建工程咨询有限公司，合格证编号:3501122405281403-TX-005。</w:t>
            </w:r>
          </w:p>
          <w:p>
            <w:pPr>
              <w:spacing w:line="540" w:lineRule="exact"/>
              <w:ind w:firstLine="480" w:firstLineChars="200"/>
              <w:rPr>
                <w:rFonts w:hint="eastAsia" w:ascii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四、评价内容简介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、主体结构应用情况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1.1、本项目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主要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竖向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预制构件为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钢柱。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等线" w:hAnsi="等线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竖向</w:t>
            </w:r>
            <w:r>
              <w:rPr>
                <w:rFonts w:hint="eastAsia" w:ascii="仿宋_GB2312"/>
                <w:sz w:val="24"/>
                <w:szCs w:val="24"/>
              </w:rPr>
              <w:t>构件中预制部品部件的</w:t>
            </w:r>
            <w:r>
              <w:rPr>
                <w:rFonts w:hint="eastAsia" w:ascii="等线" w:hAnsi="等线" w:cs="仿宋_GB2312"/>
                <w:sz w:val="24"/>
                <w:szCs w:val="24"/>
              </w:rPr>
              <w:t>应用比例计算如下表</w:t>
            </w:r>
            <w:r>
              <w:rPr>
                <w:rFonts w:hint="eastAsia" w:ascii="等线" w:hAnsi="等线"/>
                <w:sz w:val="24"/>
                <w:szCs w:val="24"/>
              </w:rPr>
              <w:t>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18" w:space="0"/>
                <w:left w:val="single" w:color="000000" w:sz="18" w:space="0"/>
                <w:bottom w:val="single" w:color="000000" w:sz="18" w:space="0"/>
                <w:right w:val="single" w:color="000000" w:sz="18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4"/>
              <w:gridCol w:w="1467"/>
              <w:gridCol w:w="1583"/>
              <w:gridCol w:w="1645"/>
              <w:gridCol w:w="1278"/>
            </w:tblGrid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6" w:hRule="atLeast"/>
                <w:jc w:val="center"/>
              </w:trPr>
              <w:tc>
                <w:tcPr>
                  <w:tcW w:w="14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楼栋</w:t>
                  </w:r>
                </w:p>
              </w:tc>
              <w:tc>
                <w:tcPr>
                  <w:tcW w:w="1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cs="Times New Roman"/>
                      <w:sz w:val="24"/>
                      <w:szCs w:val="22"/>
                      <w:lang w:val="en-US" w:eastAsia="zh-CN"/>
                    </w:rPr>
                    <w:t>竖向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预制构件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长度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cs="Times New Roman"/>
                      <w:sz w:val="24"/>
                      <w:szCs w:val="22"/>
                      <w:lang w:val="en-US" w:eastAsia="zh-CN"/>
                    </w:rPr>
                    <w:t>竖向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预制构件总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长度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(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m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预制部品部件的应用比例Q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c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装配率</w:t>
                  </w:r>
                </w:p>
                <w:p>
                  <w:pPr>
                    <w:shd w:val="clear" w:color="auto" w:fill="FFFFFF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评价分值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14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2#楼</w:t>
                  </w:r>
                </w:p>
              </w:tc>
              <w:tc>
                <w:tcPr>
                  <w:tcW w:w="1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531.408</w:t>
                  </w:r>
                </w:p>
              </w:tc>
              <w:tc>
                <w:tcPr>
                  <w:tcW w:w="1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579.408</w:t>
                  </w:r>
                </w:p>
              </w:tc>
              <w:tc>
                <w:tcPr>
                  <w:tcW w:w="1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91.7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30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14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4#楼</w:t>
                  </w:r>
                </w:p>
              </w:tc>
              <w:tc>
                <w:tcPr>
                  <w:tcW w:w="1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632.258</w:t>
                  </w:r>
                </w:p>
              </w:tc>
              <w:tc>
                <w:tcPr>
                  <w:tcW w:w="1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940.458</w:t>
                  </w:r>
                </w:p>
              </w:tc>
              <w:tc>
                <w:tcPr>
                  <w:tcW w:w="1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67.2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27.2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  <w:jc w:val="center"/>
              </w:trPr>
              <w:tc>
                <w:tcPr>
                  <w:tcW w:w="14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5#楼</w:t>
                  </w:r>
                </w:p>
              </w:tc>
              <w:tc>
                <w:tcPr>
                  <w:tcW w:w="14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632.258</w:t>
                  </w:r>
                </w:p>
              </w:tc>
              <w:tc>
                <w:tcPr>
                  <w:tcW w:w="15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940.458</w:t>
                  </w:r>
                </w:p>
              </w:tc>
              <w:tc>
                <w:tcPr>
                  <w:tcW w:w="1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67.2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 w:eastAsia="仿宋_GB2312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27.2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1.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、本项目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主要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水平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预制构件为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钢结构。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等线" w:hAnsi="等线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水</w:t>
            </w:r>
            <w:r>
              <w:rPr>
                <w:rFonts w:hint="eastAsia" w:ascii="仿宋_GB2312"/>
                <w:sz w:val="24"/>
                <w:szCs w:val="24"/>
              </w:rPr>
              <w:t>平构件中预制部品部件的</w:t>
            </w:r>
            <w:r>
              <w:rPr>
                <w:rFonts w:hint="eastAsia" w:ascii="等线" w:hAnsi="等线" w:cs="仿宋_GB2312"/>
                <w:sz w:val="24"/>
                <w:szCs w:val="24"/>
              </w:rPr>
              <w:t>应用比例计算如下表</w:t>
            </w:r>
            <w:r>
              <w:rPr>
                <w:rFonts w:hint="eastAsia" w:ascii="等线" w:hAnsi="等线"/>
                <w:sz w:val="24"/>
                <w:szCs w:val="24"/>
              </w:rPr>
              <w:t>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18" w:space="0"/>
                <w:left w:val="single" w:color="000000" w:sz="18" w:space="0"/>
                <w:bottom w:val="single" w:color="000000" w:sz="18" w:space="0"/>
                <w:right w:val="single" w:color="000000" w:sz="18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1"/>
              <w:gridCol w:w="1572"/>
              <w:gridCol w:w="1278"/>
              <w:gridCol w:w="1278"/>
              <w:gridCol w:w="1278"/>
            </w:tblGrid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6" w:hRule="atLeast"/>
                <w:jc w:val="center"/>
              </w:trPr>
              <w:tc>
                <w:tcPr>
                  <w:tcW w:w="20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楼栋</w:t>
                  </w:r>
                </w:p>
              </w:tc>
              <w:tc>
                <w:tcPr>
                  <w:tcW w:w="15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预制构件水平投影总面积(㎡)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建筑外轮廓总面积(㎡)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预制部品部件的应用比例Q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1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c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装配率</w:t>
                  </w:r>
                </w:p>
                <w:p>
                  <w:pPr>
                    <w:shd w:val="clear" w:color="auto" w:fill="FFFFFF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评价分值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20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2#楼</w:t>
                  </w:r>
                </w:p>
              </w:tc>
              <w:tc>
                <w:tcPr>
                  <w:tcW w:w="15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10382.63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10440.07 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99.5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  <w:jc w:val="center"/>
              </w:trPr>
              <w:tc>
                <w:tcPr>
                  <w:tcW w:w="20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4#楼</w:t>
                  </w:r>
                </w:p>
              </w:tc>
              <w:tc>
                <w:tcPr>
                  <w:tcW w:w="15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13298.72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14731.31 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90.3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40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69" w:hRule="atLeast"/>
                <w:jc w:val="center"/>
              </w:trPr>
              <w:tc>
                <w:tcPr>
                  <w:tcW w:w="20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5#楼</w:t>
                  </w:r>
                </w:p>
              </w:tc>
              <w:tc>
                <w:tcPr>
                  <w:tcW w:w="15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13298.72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14729.91 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90.3</w:t>
                  </w:r>
                </w:p>
              </w:tc>
              <w:tc>
                <w:tcPr>
                  <w:tcW w:w="12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 w:eastAsia="仿宋_GB2312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40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、本项目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层高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轴线尺寸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楼梯间开间及进深的轴线尺寸均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符合标准化及模数化要求，得分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-6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、本项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/>
                <w:sz w:val="24"/>
                <w:szCs w:val="24"/>
              </w:rPr>
              <w:t>轮廓尺寸相同的预制构件个数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仿宋_GB2312"/>
                <w:sz w:val="24"/>
                <w:szCs w:val="24"/>
              </w:rPr>
              <w:t>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sz w:val="24"/>
                <w:szCs w:val="24"/>
              </w:rPr>
              <w:t>00，得分均为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/>
                <w:sz w:val="24"/>
                <w:szCs w:val="24"/>
              </w:rPr>
              <w:t>本项目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未采用预制楼梯，得分为0分。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/>
                <w:sz w:val="24"/>
                <w:szCs w:val="24"/>
              </w:rPr>
              <w:t>《福建省装配式建筑评价标准》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规定，本项目主体结构总得分分别为：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#楼为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>分</w:t>
            </w:r>
            <w:r>
              <w:rPr>
                <w:rFonts w:hint="eastAsia" w:ascii="仿宋_GB2312"/>
                <w:sz w:val="24"/>
                <w:szCs w:val="24"/>
              </w:rPr>
              <w:t>，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#楼</w:t>
            </w:r>
            <w:r>
              <w:rPr>
                <w:rFonts w:hint="eastAsia" w:ascii="仿宋_GB2312"/>
                <w:sz w:val="24"/>
                <w:szCs w:val="24"/>
              </w:rPr>
              <w:t>为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>分</w:t>
            </w:r>
            <w:bookmarkStart w:id="1" w:name="OLE_LINK2"/>
            <w:r>
              <w:rPr>
                <w:rFonts w:hint="eastAsia" w:ascii="仿宋_GB2312"/>
                <w:sz w:val="24"/>
                <w:szCs w:val="24"/>
              </w:rPr>
              <w:t>，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val="en-US" w:eastAsia="zh-CN"/>
              </w:rPr>
              <w:t>#楼</w:t>
            </w:r>
            <w:r>
              <w:rPr>
                <w:rFonts w:hint="eastAsia" w:ascii="仿宋_GB2312"/>
                <w:sz w:val="24"/>
                <w:szCs w:val="24"/>
              </w:rPr>
              <w:t>为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>50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>分</w:t>
            </w:r>
            <w:bookmarkEnd w:id="1"/>
            <w:r>
              <w:rPr>
                <w:rFonts w:hint="eastAsia" w:ascii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、围护墙和内隔墙应用情况</w:t>
            </w:r>
          </w:p>
          <w:p>
            <w:pPr>
              <w:spacing w:line="560" w:lineRule="exact"/>
              <w:ind w:firstLine="480"/>
              <w:rPr>
                <w:rFonts w:ascii="等线" w:hAnsi="等线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本项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目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均采用非承重围护墙非砌筑，各楼栋非承重围护墙非砌筑应用比例计算如下表</w:t>
            </w:r>
            <w:r>
              <w:rPr>
                <w:rFonts w:hint="eastAsia" w:ascii="等线" w:hAnsi="等线" w:cs="仿宋_GB2312"/>
                <w:sz w:val="24"/>
                <w:szCs w:val="24"/>
              </w:rPr>
              <w:t>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18" w:space="0"/>
                <w:left w:val="single" w:color="000000" w:sz="18" w:space="0"/>
                <w:bottom w:val="single" w:color="000000" w:sz="18" w:space="0"/>
                <w:right w:val="single" w:color="000000" w:sz="18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5"/>
              <w:gridCol w:w="1562"/>
              <w:gridCol w:w="1270"/>
              <w:gridCol w:w="1270"/>
              <w:gridCol w:w="1270"/>
            </w:tblGrid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7" w:hRule="atLeast"/>
                <w:jc w:val="center"/>
              </w:trPr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楼栋</w:t>
                  </w:r>
                </w:p>
              </w:tc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cs="Times New Roman"/>
                      <w:sz w:val="24"/>
                      <w:szCs w:val="24"/>
                    </w:rPr>
                    <w:t>非承重围护墙非砌筑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面积(㎡)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cs="Times New Roman"/>
                      <w:sz w:val="24"/>
                      <w:szCs w:val="24"/>
                    </w:rPr>
                    <w:t>非承重围护墙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总面积(㎡)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Times New Roman" w:cs="Times New Roman"/>
                      <w:sz w:val="24"/>
                      <w:szCs w:val="24"/>
                    </w:rPr>
                    <w:t>非承重围护墙非砌筑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应用比例Q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c</w:t>
                  </w:r>
                  <w:r>
                    <w:rPr>
                      <w:rFonts w:ascii="仿宋_GB2312" w:hAnsi="仿宋"/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装配率</w:t>
                  </w:r>
                </w:p>
                <w:p>
                  <w:pPr>
                    <w:shd w:val="clear" w:color="auto" w:fill="FFFFFF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</w:rPr>
                    <w:t>评价分值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2#楼</w:t>
                  </w:r>
                </w:p>
              </w:tc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3217.72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3435.24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93.7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"/>
                      <w:sz w:val="24"/>
                      <w:szCs w:val="24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_GB2312" w:hAnsi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4#楼</w:t>
                  </w:r>
                </w:p>
              </w:tc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1211.40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1503.75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80.56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ascii="仿宋_GB2312" w:hAnsi="仿宋"/>
                      <w:sz w:val="24"/>
                      <w:szCs w:val="24"/>
                    </w:rPr>
                  </w:pPr>
                  <w:r>
                    <w:rPr>
                      <w:rFonts w:ascii="仿宋_GB2312" w:hAnsi="仿宋"/>
                      <w:sz w:val="24"/>
                      <w:szCs w:val="24"/>
                    </w:rPr>
                    <w:t>10</w:t>
                  </w:r>
                </w:p>
              </w:tc>
            </w:tr>
            <w:tr>
              <w:tblPrEx>
                <w:tblBorders>
                  <w:top w:val="single" w:color="000000" w:sz="18" w:space="0"/>
                  <w:left w:val="single" w:color="000000" w:sz="18" w:space="0"/>
                  <w:bottom w:val="single" w:color="000000" w:sz="18" w:space="0"/>
                  <w:right w:val="single" w:color="000000" w:sz="18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  <w:jc w:val="center"/>
              </w:trPr>
              <w:tc>
                <w:tcPr>
                  <w:tcW w:w="21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仿宋_GB2312"/>
                      <w:sz w:val="24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宋体"/>
                      <w:sz w:val="24"/>
                      <w:szCs w:val="24"/>
                      <w:lang w:val="en-US" w:eastAsia="zh-CN"/>
                    </w:rPr>
                    <w:t>5#楼</w:t>
                  </w:r>
                </w:p>
              </w:tc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978.00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 xml:space="preserve">1199.48 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default" w:ascii="仿宋_GB2312" w:hAnsi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/>
                      <w:sz w:val="24"/>
                      <w:szCs w:val="24"/>
                      <w:lang w:val="en-US" w:eastAsia="zh-CN"/>
                    </w:rPr>
                    <w:t>81.54</w:t>
                  </w:r>
                </w:p>
              </w:tc>
              <w:tc>
                <w:tcPr>
                  <w:tcW w:w="12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shd w:val="clear" w:color="auto" w:fill="FFFFFF"/>
                    <w:jc w:val="center"/>
                    <w:rPr>
                      <w:rFonts w:hint="eastAsia" w:ascii="仿宋_GB2312" w:hAnsi="仿宋" w:eastAsia="仿宋_GB2312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ascii="仿宋_GB2312" w:hAnsi="仿宋"/>
                      <w:sz w:val="24"/>
                      <w:szCs w:val="24"/>
                    </w:rPr>
                    <w:t>10</w:t>
                  </w:r>
                </w:p>
              </w:tc>
            </w:tr>
          </w:tbl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cs="Times New Roman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非承重围护墙非砌筑应用比例均大于80%，根据《</w:t>
            </w:r>
            <w:r>
              <w:rPr>
                <w:rFonts w:hint="eastAsia" w:ascii="仿宋_GB2312"/>
                <w:sz w:val="24"/>
                <w:szCs w:val="24"/>
              </w:rPr>
              <w:t>福建省装配式建筑评价标准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》规定，本项目</w:t>
            </w:r>
            <w:r>
              <w:rPr>
                <w:rFonts w:hint="eastAsia" w:ascii="仿宋_GB2312" w:hAnsi="Times New Roman" w:cs="Times New Roman"/>
                <w:sz w:val="24"/>
                <w:szCs w:val="24"/>
                <w:lang w:eastAsia="zh-CN"/>
              </w:rPr>
              <w:t>围护墙和内隔墙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得分均为10分。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、装修和设备管线应用情况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全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装修应满足下列要求：建筑功能空间的固定面装修和设备设施安装全部完成，达到建筑使用功能和性能的基本要求。其中，对于教育、医疗等建筑类型，在设计阶段即可明确建筑功能空间在使用和性能方面的要求和标准，其所有区域均视为可装修区域。</w:t>
            </w: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本项目均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采用全装修，因此此项得分为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分。</w:t>
            </w: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、技术创新应用情况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4.1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、本项目在设计阶段及施工阶段均采用B</w:t>
            </w:r>
            <w:r>
              <w:rPr>
                <w:rFonts w:ascii="仿宋_GB2312" w:hAnsi="仿宋_GB2312" w:cs="仿宋_GB2312"/>
                <w:sz w:val="24"/>
                <w:szCs w:val="24"/>
              </w:rPr>
              <w:t>IM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技术，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在设计阶段提供：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建模精度达到LOD3.0的全专业BIM模型，得1分；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满足钢筋碰撞检查要求的预制构件BIM模型及碰撞检查报告，得 2 分;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在施工阶段提供（详建设单位承诺函）：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评分项相关的预制构件深化设计BIM模型（建模精度达到LOD4.0），得2分；</w:t>
            </w:r>
          </w:p>
          <w:p>
            <w:pPr>
              <w:spacing w:line="560" w:lineRule="exact"/>
              <w:ind w:firstLine="48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根据</w:t>
            </w:r>
            <w:r>
              <w:rPr>
                <w:rFonts w:hint="eastAsia" w:ascii="仿宋_GB2312"/>
                <w:sz w:val="24"/>
                <w:szCs w:val="24"/>
              </w:rPr>
              <w:t>《福建省装配式建筑评价标准》规定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本项目技术创新应用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2#楼、4#楼、5#楼</w:t>
            </w:r>
            <w:r>
              <w:rPr>
                <w:rFonts w:hint="eastAsia" w:ascii="仿宋_GB2312"/>
                <w:sz w:val="24"/>
                <w:szCs w:val="24"/>
              </w:rPr>
              <w:t>可得分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。</w:t>
            </w: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464" w:type="dxa"/>
            <w:gridSpan w:val="17"/>
          </w:tcPr>
          <w:p>
            <w:pPr>
              <w:spacing w:line="54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五、申报单位概况</w:t>
            </w:r>
            <w:r>
              <w:rPr>
                <w:rFonts w:ascii="黑体" w:hAnsi="黑体" w:eastAsia="黑体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（多个单位联合申报应分别介绍）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</w:trPr>
        <w:tc>
          <w:tcPr>
            <w:tcW w:w="9464" w:type="dxa"/>
            <w:gridSpan w:val="17"/>
          </w:tcPr>
          <w:p>
            <w:pPr>
              <w:spacing w:line="56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福州空港综保区开发有限公司成立于2024年01月26日，注册地位于福建省福州市长乐区湖南镇鹏程路18号长乐航空港工业集中区51号厂房1-27。经营范围包括许可项目：建设工程施工；保税仓库经营；保税物流中心经营；出口监管仓库经营；海关监管货物仓储服务（不含危险化学品、危险货物）；房地产开发经营；道路货物运输（不含危险货物）。（依法须经批准的项目，经相关部门批准后方可开展经营活动，具体经营项目以相关部门批准文件或许可证件为准）一般项目：非居住房地产租赁；供应链管理服务；物业管理；装卸搬运；国内货物运输代理；国际货物运输代理；会议及展览服务；停车场服务；机械设备租赁；仓储设备租赁服务；运输设备租赁服务。（除依法须经批准的项目外，凭营业执照依法自主开展经营活动）</w:t>
            </w:r>
          </w:p>
          <w:p>
            <w:pPr>
              <w:spacing w:line="56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六、项目主要参加人员</w:t>
            </w:r>
            <w:r>
              <w:rPr>
                <w:rFonts w:hint="eastAsia" w:ascii="仿宋_GB2312" w:hAnsi="宋体"/>
                <w:sz w:val="24"/>
              </w:rPr>
              <w:t>（包括建设、代建、工程总承包、设计、主要构件生产、施工、监理、咨询单位技术负责人）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务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宋体" w:hAnsi="宋体" w:cs="宋体"/>
                <w:sz w:val="24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龚晓明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建设单位项目负责人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曾丽珍</w:t>
            </w:r>
          </w:p>
        </w:tc>
        <w:tc>
          <w:tcPr>
            <w:tcW w:w="202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3827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cs="Times New Roman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设计单位项目负责人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曾丽珍</w:t>
            </w:r>
          </w:p>
        </w:tc>
        <w:tc>
          <w:tcPr>
            <w:tcW w:w="2029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高级工程师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设计单位深化设计负责人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王梓铭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工程师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施工总承包单位项目负责人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24"/>
                <w:lang w:val="en-US" w:eastAsia="zh-CN"/>
              </w:rPr>
              <w:t>张斌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工程师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监理单位项目负责人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kern w:val="2"/>
                <w:sz w:val="24"/>
                <w:lang w:val="en-US" w:eastAsia="zh-CN" w:bidi="ar-SA"/>
              </w:rPr>
              <w:t>杨涛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项目负责人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</w:rPr>
              <w:t>工程师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构件生产</w:t>
            </w:r>
            <w:r>
              <w:rPr>
                <w:rFonts w:hint="eastAsia" w:ascii="仿宋_GB2312"/>
                <w:color w:val="auto"/>
                <w:sz w:val="24"/>
              </w:rPr>
              <w:t>单位项目负责人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9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29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40" w:type="dxa"/>
            <w:gridSpan w:val="6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  <w:szCs w:val="22"/>
              </w:rPr>
            </w:pPr>
          </w:p>
        </w:tc>
        <w:tc>
          <w:tcPr>
            <w:tcW w:w="3827" w:type="dxa"/>
            <w:gridSpan w:val="5"/>
          </w:tcPr>
          <w:p>
            <w:pPr>
              <w:spacing w:line="560" w:lineRule="exact"/>
              <w:jc w:val="center"/>
              <w:rPr>
                <w:rFonts w:hint="eastAsia" w:ascii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FF0000"/>
                <w:sz w:val="30"/>
              </w:rPr>
            </w:pPr>
          </w:p>
        </w:tc>
        <w:tc>
          <w:tcPr>
            <w:tcW w:w="2029" w:type="dxa"/>
            <w:gridSpan w:val="3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FF0000"/>
                <w:sz w:val="30"/>
              </w:rPr>
            </w:pPr>
          </w:p>
        </w:tc>
        <w:tc>
          <w:tcPr>
            <w:tcW w:w="1940" w:type="dxa"/>
            <w:gridSpan w:val="6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FF0000"/>
                <w:sz w:val="30"/>
              </w:rPr>
            </w:pPr>
          </w:p>
        </w:tc>
        <w:tc>
          <w:tcPr>
            <w:tcW w:w="3827" w:type="dxa"/>
            <w:gridSpan w:val="5"/>
          </w:tcPr>
          <w:p>
            <w:pPr>
              <w:spacing w:line="560" w:lineRule="exact"/>
              <w:rPr>
                <w:rFonts w:hint="eastAsia" w:ascii="仿宋_GB2312" w:hAnsi="仿宋_GB2312" w:cs="仿宋_GB2312"/>
                <w:color w:val="FF000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七、项目综合效益分析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4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/>
                <w:sz w:val="24"/>
                <w:szCs w:val="22"/>
              </w:rPr>
              <w:t>本项目位于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福州市长乐区</w:t>
            </w:r>
            <w:r>
              <w:rPr>
                <w:rFonts w:hint="eastAsia" w:ascii="仿宋_GB2312"/>
                <w:sz w:val="24"/>
                <w:szCs w:val="22"/>
              </w:rPr>
              <w:t>。</w:t>
            </w:r>
            <w:r>
              <w:rPr>
                <w:rFonts w:hint="eastAsia" w:ascii="仿宋_GB2312" w:hAnsi="仿宋_GB2312" w:cs="仿宋_GB2312"/>
                <w:sz w:val="24"/>
              </w:rPr>
              <w:t>结构类型为</w:t>
            </w:r>
            <w:r>
              <w:rPr>
                <w:rFonts w:hint="eastAsia" w:ascii="仿宋_GB2312" w:hAnsi="Times New Roman" w:cs="Times New Roman"/>
                <w:sz w:val="24"/>
                <w:szCs w:val="22"/>
                <w:lang w:val="en-US" w:eastAsia="zh-CN"/>
              </w:rPr>
              <w:t>装</w:t>
            </w:r>
            <w:r>
              <w:rPr>
                <w:rFonts w:hint="eastAsia" w:ascii="仿宋_GB2312"/>
                <w:sz w:val="24"/>
                <w:szCs w:val="24"/>
              </w:rPr>
              <w:t>配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式</w:t>
            </w:r>
            <w:r>
              <w:rPr>
                <w:rFonts w:hint="eastAsia" w:ascii="仿宋_GB2312"/>
                <w:sz w:val="24"/>
                <w:szCs w:val="22"/>
                <w:lang w:val="en-US" w:eastAsia="zh-CN"/>
              </w:rPr>
              <w:t>钢</w:t>
            </w:r>
            <w:r>
              <w:rPr>
                <w:rFonts w:hint="eastAsia" w:ascii="仿宋_GB2312"/>
                <w:sz w:val="24"/>
                <w:szCs w:val="24"/>
              </w:rPr>
              <w:t>结构</w:t>
            </w:r>
            <w:r>
              <w:rPr>
                <w:rFonts w:hint="eastAsia" w:ascii="仿宋_GB2312" w:hAnsi="仿宋_GB2312" w:cs="仿宋_GB2312"/>
                <w:sz w:val="24"/>
              </w:rPr>
              <w:t>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装配式方案采用</w:t>
            </w:r>
            <w:r>
              <w:rPr>
                <w:rFonts w:hint="eastAsia" w:ascii="仿宋_GB2312" w:cs="Times New Roman"/>
                <w:sz w:val="24"/>
                <w:szCs w:val="22"/>
                <w:lang w:val="en-US" w:eastAsia="zh-CN"/>
              </w:rPr>
              <w:t>钢结构</w:t>
            </w:r>
            <w:r>
              <w:rPr>
                <w:rFonts w:hint="eastAsia" w:ascii="仿宋_GB2312"/>
                <w:sz w:val="24"/>
                <w:szCs w:val="24"/>
              </w:rPr>
              <w:t>、</w:t>
            </w:r>
            <w:r>
              <w:rPr>
                <w:rFonts w:hint="eastAsia" w:ascii="仿宋_GB2312" w:hAnsi="Times New Roman" w:cs="Times New Roman"/>
                <w:sz w:val="24"/>
                <w:szCs w:val="24"/>
              </w:rPr>
              <w:t>非承重围护墙非砌筑</w:t>
            </w:r>
            <w:r>
              <w:rPr>
                <w:rFonts w:hint="eastAsia" w:ascii="仿宋_GB2312"/>
                <w:sz w:val="24"/>
                <w:szCs w:val="22"/>
              </w:rPr>
              <w:t>等较成熟地体系及技术手段，设计阶段及施工阶段均采用BIM技术。</w:t>
            </w:r>
          </w:p>
          <w:p>
            <w:pPr>
              <w:spacing w:line="540" w:lineRule="exact"/>
              <w:ind w:firstLine="480" w:firstLineChars="200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设计遵循少规格、多组合的原则，力求做到安全适用、技术先进、经济合理、质量可靠。</w:t>
            </w: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八、申报单位意见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本项目自评可满足《</w:t>
            </w:r>
            <w:r>
              <w:rPr>
                <w:rFonts w:hint="eastAsia" w:ascii="仿宋_GB2312"/>
                <w:sz w:val="24"/>
                <w:szCs w:val="24"/>
              </w:rPr>
              <w:t>福建省装配式建筑评价标准</w:t>
            </w:r>
            <w:r>
              <w:rPr>
                <w:rFonts w:hint="eastAsia" w:ascii="仿宋_GB2312" w:hAnsi="仿宋_GB2312" w:cs="仿宋_GB2312"/>
                <w:sz w:val="24"/>
              </w:rPr>
              <w:t>》关于装配式建筑的要求，申请设计阶段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预评价为</w:t>
            </w:r>
            <w:r>
              <w:rPr>
                <w:rFonts w:hint="eastAsia" w:ascii="仿宋_GB2312" w:hAnsi="仿宋_GB2312" w:cs="仿宋_GB2312"/>
                <w:sz w:val="24"/>
              </w:rPr>
              <w:t>装配式建筑。</w:t>
            </w: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ind w:firstLine="6840" w:firstLineChars="28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ind w:firstLine="6840" w:firstLineChars="285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九、专家组意见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1、该工程装配式建造的建筑面积不小于地上总建筑面积的50%，满足装配式建筑监管协议的相关规定。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、该工程2#楼、4#楼、5#楼装配式建筑设计相关资料完整，其主体结构、围护墙和内隔墙、技术创新部分的分值均不低于最低分值要求，各单体建筑装配率均不低于50%，符合《福建省装配式建筑和装配式内装修工程评价管理办法（试行）》（闽建〔2024〕6号）和《福建省装配式建筑评价标准》（DBJ/T 13-426-2023）的相关规定，同意该工程2#楼、4#楼、5#楼设计阶段预评价为装配式建筑。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专家名单：  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bookmarkStart w:id="2" w:name="_Hlk37145059"/>
          </w:p>
          <w:bookmarkEnd w:id="2"/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吕胜利   高级工程师      金强(福建)绿色人居集团有限公司  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洪志     高级工程师      嘉博联合设计股份有限公司             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default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林征宇   高级工程师      中建海峡建设发展有限公司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</w:t>
            </w: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27</w:t>
            </w:r>
            <w:r>
              <w:rPr>
                <w:rFonts w:hint="eastAsia" w:ascii="仿宋_GB2312" w:hAnsi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</w:t>
            </w: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</w:p>
          <w:p>
            <w:pPr>
              <w:wordWrap w:val="0"/>
              <w:spacing w:line="560" w:lineRule="exact"/>
              <w:jc w:val="both"/>
              <w:rPr>
                <w:rFonts w:hint="eastAsia" w:ascii="仿宋_GB2312" w:hAnsi="仿宋_GB2312" w:cs="仿宋_GB2312"/>
                <w:sz w:val="24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十、设区市住房城乡建设主管部门意见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17"/>
          </w:tcPr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</w:p>
          <w:p>
            <w:pPr>
              <w:ind w:firstLine="6480" w:firstLineChars="2700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rPr>
                <w:rFonts w:ascii="宋体" w:eastAsia="宋体" w:cs="宋体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仿宋_GB2312" w:cs="仿宋_GB2312"/>
                <w:sz w:val="30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rPr>
          <w:rFonts w:hint="eastAsia" w:ascii="宋体" w:eastAsia="宋体" w:cs="宋体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pgNumType w:start="2"/>
          <w:cols w:space="720" w:num="1"/>
        </w:sectPr>
      </w:pPr>
    </w:p>
    <w:p>
      <w:pPr>
        <w:pStyle w:val="18"/>
        <w:spacing w:line="360" w:lineRule="auto"/>
        <w:ind w:firstLine="0" w:firstLineChars="0"/>
        <w:rPr>
          <w:rFonts w:hint="eastAsia" w:ascii="仿宋_GB2312" w:hAnsi="仿宋_GB2312" w:cs="仿宋_GB231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797" w:bottom="1440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方正书宋_GBK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75" w:y="-44"/>
      <w:ind w:right="320" w:rightChars="100"/>
      <w:rPr>
        <w:rStyle w:val="11"/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- 9 -</w:t>
    </w:r>
    <w:r>
      <w:rPr>
        <w:rFonts w:hint="eastAsia" w:asci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280" w:firstLineChars="100"/>
      <w:rPr>
        <w:rStyle w:val="11"/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- 6 -</w:t>
    </w:r>
    <w:r>
      <w:rPr>
        <w:rFonts w:hint="eastAsia" w:asci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2JmMTE2MGFiNjYwNGE1MTZlZjM0ZjlmNWRkOWIifQ=="/>
  </w:docVars>
  <w:rsids>
    <w:rsidRoot w:val="00000000"/>
    <w:rsid w:val="031D2852"/>
    <w:rsid w:val="03324081"/>
    <w:rsid w:val="034A4A3C"/>
    <w:rsid w:val="03EA356B"/>
    <w:rsid w:val="0461011C"/>
    <w:rsid w:val="05D2339D"/>
    <w:rsid w:val="06436049"/>
    <w:rsid w:val="064E048F"/>
    <w:rsid w:val="06AC3A5C"/>
    <w:rsid w:val="07683FB9"/>
    <w:rsid w:val="07DB0BC7"/>
    <w:rsid w:val="07E5493F"/>
    <w:rsid w:val="08671C48"/>
    <w:rsid w:val="08EF7E21"/>
    <w:rsid w:val="0B5E54A2"/>
    <w:rsid w:val="0C281F69"/>
    <w:rsid w:val="0D8A2613"/>
    <w:rsid w:val="0E153A9D"/>
    <w:rsid w:val="0E861133"/>
    <w:rsid w:val="108F0808"/>
    <w:rsid w:val="11A872DE"/>
    <w:rsid w:val="11AF409B"/>
    <w:rsid w:val="13D02910"/>
    <w:rsid w:val="1419679E"/>
    <w:rsid w:val="14495172"/>
    <w:rsid w:val="15DE2356"/>
    <w:rsid w:val="1637436D"/>
    <w:rsid w:val="1664144B"/>
    <w:rsid w:val="1689027A"/>
    <w:rsid w:val="17167E37"/>
    <w:rsid w:val="173A61CC"/>
    <w:rsid w:val="173A643E"/>
    <w:rsid w:val="19423CF7"/>
    <w:rsid w:val="19A83753"/>
    <w:rsid w:val="1A2F2CDE"/>
    <w:rsid w:val="1A4025EE"/>
    <w:rsid w:val="1AAB623F"/>
    <w:rsid w:val="1AB32AB7"/>
    <w:rsid w:val="1AB656E4"/>
    <w:rsid w:val="1B3064BA"/>
    <w:rsid w:val="1B8F5D21"/>
    <w:rsid w:val="1BA054C4"/>
    <w:rsid w:val="1D402762"/>
    <w:rsid w:val="1DBC7663"/>
    <w:rsid w:val="1EE805DD"/>
    <w:rsid w:val="1FA375B7"/>
    <w:rsid w:val="1FE7265A"/>
    <w:rsid w:val="206C0B34"/>
    <w:rsid w:val="213D0DC0"/>
    <w:rsid w:val="213F6C51"/>
    <w:rsid w:val="21FF50C2"/>
    <w:rsid w:val="23325965"/>
    <w:rsid w:val="2409090C"/>
    <w:rsid w:val="252F6D8E"/>
    <w:rsid w:val="29A22F02"/>
    <w:rsid w:val="2B0A66E7"/>
    <w:rsid w:val="2C183BEE"/>
    <w:rsid w:val="2D575342"/>
    <w:rsid w:val="2D6C6407"/>
    <w:rsid w:val="2DE11007"/>
    <w:rsid w:val="2E6D2068"/>
    <w:rsid w:val="2EB05775"/>
    <w:rsid w:val="2F5E5B1E"/>
    <w:rsid w:val="2F6852A8"/>
    <w:rsid w:val="30137EAD"/>
    <w:rsid w:val="30424531"/>
    <w:rsid w:val="30914397"/>
    <w:rsid w:val="31B07A2F"/>
    <w:rsid w:val="3202787B"/>
    <w:rsid w:val="32A34BAA"/>
    <w:rsid w:val="34077978"/>
    <w:rsid w:val="340A7D03"/>
    <w:rsid w:val="34AC57CA"/>
    <w:rsid w:val="355B1A66"/>
    <w:rsid w:val="36AE5298"/>
    <w:rsid w:val="37930BDB"/>
    <w:rsid w:val="39CA4947"/>
    <w:rsid w:val="3BC60CD2"/>
    <w:rsid w:val="3BDF2CAD"/>
    <w:rsid w:val="3DC51DFB"/>
    <w:rsid w:val="3F116709"/>
    <w:rsid w:val="3F4B6220"/>
    <w:rsid w:val="40742EEC"/>
    <w:rsid w:val="40840218"/>
    <w:rsid w:val="40A62E81"/>
    <w:rsid w:val="41700B79"/>
    <w:rsid w:val="41907B4C"/>
    <w:rsid w:val="42655563"/>
    <w:rsid w:val="439B2A66"/>
    <w:rsid w:val="449E2BEF"/>
    <w:rsid w:val="45533312"/>
    <w:rsid w:val="460E1B40"/>
    <w:rsid w:val="472A7306"/>
    <w:rsid w:val="47ED3506"/>
    <w:rsid w:val="47F94765"/>
    <w:rsid w:val="480D3BD9"/>
    <w:rsid w:val="4B162340"/>
    <w:rsid w:val="4B92518B"/>
    <w:rsid w:val="4BD27F54"/>
    <w:rsid w:val="4D3101FC"/>
    <w:rsid w:val="4D3E5B13"/>
    <w:rsid w:val="4DE33966"/>
    <w:rsid w:val="4DE91F83"/>
    <w:rsid w:val="4DFA6B73"/>
    <w:rsid w:val="4F8A6BE7"/>
    <w:rsid w:val="4FDD6193"/>
    <w:rsid w:val="511D14D7"/>
    <w:rsid w:val="520C2D5F"/>
    <w:rsid w:val="53BA5F9C"/>
    <w:rsid w:val="53BC2CEE"/>
    <w:rsid w:val="53F51CFD"/>
    <w:rsid w:val="54427AD8"/>
    <w:rsid w:val="54FE4BE1"/>
    <w:rsid w:val="556B08A1"/>
    <w:rsid w:val="557B3A73"/>
    <w:rsid w:val="55AA3CF8"/>
    <w:rsid w:val="563F132A"/>
    <w:rsid w:val="565E1D52"/>
    <w:rsid w:val="569B7B81"/>
    <w:rsid w:val="56C80086"/>
    <w:rsid w:val="57975055"/>
    <w:rsid w:val="579B0E0D"/>
    <w:rsid w:val="57A45883"/>
    <w:rsid w:val="5804073F"/>
    <w:rsid w:val="58C54444"/>
    <w:rsid w:val="59C15C83"/>
    <w:rsid w:val="5B2F30F9"/>
    <w:rsid w:val="5B577001"/>
    <w:rsid w:val="5B7B362D"/>
    <w:rsid w:val="5D1539D1"/>
    <w:rsid w:val="5D7A2046"/>
    <w:rsid w:val="5DAC44F3"/>
    <w:rsid w:val="5F96391E"/>
    <w:rsid w:val="5FD87063"/>
    <w:rsid w:val="609923A6"/>
    <w:rsid w:val="609F781A"/>
    <w:rsid w:val="61144A29"/>
    <w:rsid w:val="65533877"/>
    <w:rsid w:val="66ED4AB6"/>
    <w:rsid w:val="671A1B18"/>
    <w:rsid w:val="67466700"/>
    <w:rsid w:val="67EB3D34"/>
    <w:rsid w:val="681F4EFD"/>
    <w:rsid w:val="696E52AE"/>
    <w:rsid w:val="6A900728"/>
    <w:rsid w:val="6AA53ED1"/>
    <w:rsid w:val="6B7651DB"/>
    <w:rsid w:val="6B934A00"/>
    <w:rsid w:val="6BB03F7E"/>
    <w:rsid w:val="6C0377B5"/>
    <w:rsid w:val="6D9D51D9"/>
    <w:rsid w:val="6E2C2368"/>
    <w:rsid w:val="6F537EF4"/>
    <w:rsid w:val="7025639F"/>
    <w:rsid w:val="70A36E38"/>
    <w:rsid w:val="70CC548E"/>
    <w:rsid w:val="70F2429C"/>
    <w:rsid w:val="70F255F9"/>
    <w:rsid w:val="7141612A"/>
    <w:rsid w:val="717B1694"/>
    <w:rsid w:val="724B410E"/>
    <w:rsid w:val="73D0483F"/>
    <w:rsid w:val="743B4017"/>
    <w:rsid w:val="74802012"/>
    <w:rsid w:val="75A816BF"/>
    <w:rsid w:val="760F2255"/>
    <w:rsid w:val="761A2C99"/>
    <w:rsid w:val="77E7584A"/>
    <w:rsid w:val="77F10AAF"/>
    <w:rsid w:val="786848E4"/>
    <w:rsid w:val="79181E66"/>
    <w:rsid w:val="792B3C7D"/>
    <w:rsid w:val="79567E54"/>
    <w:rsid w:val="7A1536D5"/>
    <w:rsid w:val="7A3074EF"/>
    <w:rsid w:val="7A4B5CDF"/>
    <w:rsid w:val="7B4F790E"/>
    <w:rsid w:val="7B594FCC"/>
    <w:rsid w:val="7BAE6AB2"/>
    <w:rsid w:val="7C1A7CA3"/>
    <w:rsid w:val="7CC125C2"/>
    <w:rsid w:val="7DD97620"/>
    <w:rsid w:val="7E272E76"/>
    <w:rsid w:val="7FBE5FBC"/>
    <w:rsid w:val="FB93C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  <w:lang w:bidi="ar-SA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99"/>
    <w:rPr>
      <w:color w:val="333333"/>
      <w:u w:val="none"/>
    </w:rPr>
  </w:style>
  <w:style w:type="character" w:customStyle="1" w:styleId="13">
    <w:name w:val="标题 2 Char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4">
    <w:name w:val="日期 Char"/>
    <w:link w:val="3"/>
    <w:qFormat/>
    <w:uiPriority w:val="0"/>
    <w:rPr>
      <w:rFonts w:eastAsia="仿宋_GB2312"/>
      <w:kern w:val="2"/>
      <w:sz w:val="32"/>
    </w:rPr>
  </w:style>
  <w:style w:type="character" w:customStyle="1" w:styleId="15">
    <w:name w:val="页脚 Char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6">
    <w:name w:val="unnamed11"/>
    <w:qFormat/>
    <w:uiPriority w:val="0"/>
    <w:rPr>
      <w:rFonts w:ascii="宋体" w:eastAsia="宋体"/>
      <w:sz w:val="21"/>
      <w:szCs w:val="21"/>
    </w:rPr>
  </w:style>
  <w:style w:type="paragraph" w:customStyle="1" w:styleId="17">
    <w:name w:val="正文（正式）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8"/>
      <w:lang w:eastAsia="en-US"/>
    </w:rPr>
  </w:style>
  <w:style w:type="paragraph" w:customStyle="1" w:styleId="18">
    <w:name w:val="List Paragraph_655a563d-c76b-4219-9920-1f1a8aa83116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fjjsxxzx</Company>
  <Pages>12</Pages>
  <Words>118</Words>
  <Characters>139</Characters>
  <Paragraphs>591</Paragraphs>
  <TotalTime>2</TotalTime>
  <ScaleCrop>false</ScaleCrop>
  <LinksUpToDate>false</LinksUpToDate>
  <CharactersWithSpaces>179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2019-05-20T18:04:00Z</dcterms:created>
  <dc:creator>fjjsxxzx</dc:creator>
  <cp:lastModifiedBy>LS</cp:lastModifiedBy>
  <cp:lastPrinted>2018-11-26T22:40:00Z</cp:lastPrinted>
  <dcterms:modified xsi:type="dcterms:W3CDTF">2026-05-07T11:02:00Z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9CAE39FC35BE38ED81FBFB6993A2271E</vt:lpwstr>
  </property>
  <property fmtid="{D5CDD505-2E9C-101B-9397-08002B2CF9AE}" pid="4" name="KSOTemplateDocerSaveRecord">
    <vt:lpwstr>eyJoZGlkIjoiYTVkY2JmMTE2MGFiNjYwNGE1MTZlZjM0ZjlmNWRkOWIiLCJ1c2VySWQiOiI3NjczMjkxODEifQ==</vt:lpwstr>
  </property>
</Properties>
</file>