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30E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727769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val="en-US" w:eastAsia="zh-CN"/>
        </w:rPr>
        <w:t>长乐区</w:t>
      </w:r>
      <w:r>
        <w:rPr>
          <w:rFonts w:hint="eastAsia" w:ascii="方正小标宋简体" w:hAnsi="方正小标宋简体" w:eastAsia="方正小标宋简体" w:cs="方正小标宋简体"/>
          <w:b w:val="0"/>
          <w:bCs/>
          <w:sz w:val="44"/>
          <w:szCs w:val="44"/>
        </w:rPr>
        <w:t>城市公共汽电车运营服务质量年度考核工作情况</w:t>
      </w:r>
    </w:p>
    <w:p w14:paraId="65FB8344">
      <w:pPr>
        <w:ind w:firstLine="640" w:firstLineChars="200"/>
        <w:jc w:val="center"/>
        <w:rPr>
          <w:rFonts w:ascii="仿宋" w:hAnsi="仿宋" w:eastAsia="仿宋"/>
          <w:sz w:val="32"/>
          <w:szCs w:val="32"/>
        </w:rPr>
      </w:pPr>
    </w:p>
    <w:p w14:paraId="0E04EE5D">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w:t>
      </w:r>
      <w:r>
        <w:rPr>
          <w:rFonts w:hint="eastAsia" w:ascii="仿宋" w:hAnsi="仿宋" w:eastAsia="仿宋" w:cs="Times New Roman"/>
          <w:sz w:val="32"/>
          <w:szCs w:val="32"/>
          <w:lang w:val="en-US" w:eastAsia="zh-CN"/>
        </w:rPr>
        <w:t>福州市长乐区</w:t>
      </w:r>
      <w:r>
        <w:rPr>
          <w:rFonts w:hint="eastAsia" w:ascii="仿宋" w:hAnsi="仿宋" w:eastAsia="仿宋" w:cs="Times New Roman"/>
          <w:sz w:val="32"/>
          <w:szCs w:val="32"/>
        </w:rPr>
        <w:t xml:space="preserve">交通运输局 </w:t>
      </w:r>
      <w:r>
        <w:rPr>
          <w:rFonts w:hint="eastAsia" w:ascii="仿宋" w:hAnsi="仿宋" w:eastAsia="仿宋" w:cs="Times New Roman"/>
          <w:sz w:val="32"/>
          <w:szCs w:val="32"/>
          <w:lang w:val="en-US" w:eastAsia="zh-CN"/>
        </w:rPr>
        <w:t>福州市长乐区</w:t>
      </w:r>
      <w:r>
        <w:rPr>
          <w:rFonts w:hint="eastAsia" w:ascii="仿宋" w:hAnsi="仿宋" w:eastAsia="仿宋" w:cs="Times New Roman"/>
          <w:sz w:val="32"/>
          <w:szCs w:val="32"/>
        </w:rPr>
        <w:t>财政局关于印发〈</w:t>
      </w:r>
      <w:r>
        <w:rPr>
          <w:rFonts w:hint="eastAsia" w:ascii="仿宋" w:hAnsi="仿宋" w:eastAsia="仿宋" w:cs="Times New Roman"/>
          <w:sz w:val="32"/>
          <w:szCs w:val="32"/>
          <w:lang w:val="en-US" w:eastAsia="zh-CN"/>
        </w:rPr>
        <w:t>长乐区城市</w:t>
      </w:r>
      <w:r>
        <w:rPr>
          <w:rFonts w:hint="eastAsia" w:ascii="仿宋" w:hAnsi="仿宋" w:eastAsia="仿宋" w:cs="Times New Roman"/>
          <w:sz w:val="32"/>
          <w:szCs w:val="32"/>
        </w:rPr>
        <w:t>公共汽电车客运服务成本规制实施办法〉等三个办法的通知》（</w:t>
      </w:r>
      <w:r>
        <w:rPr>
          <w:rFonts w:hint="eastAsia" w:ascii="仿宋" w:hAnsi="仿宋" w:eastAsia="仿宋" w:cs="Times New Roman"/>
          <w:sz w:val="32"/>
          <w:szCs w:val="32"/>
          <w:lang w:val="en-US" w:eastAsia="zh-CN"/>
        </w:rPr>
        <w:t>长交</w:t>
      </w:r>
      <w:r>
        <w:rPr>
          <w:rFonts w:hint="eastAsia" w:ascii="仿宋" w:hAnsi="仿宋" w:eastAsia="仿宋" w:cs="Times New Roman"/>
          <w:sz w:val="32"/>
          <w:szCs w:val="32"/>
        </w:rPr>
        <w:t>公〔</w:t>
      </w:r>
      <w:r>
        <w:rPr>
          <w:rFonts w:hint="eastAsia" w:ascii="仿宋" w:hAnsi="仿宋" w:eastAsia="仿宋" w:cs="Times New Roman"/>
          <w:sz w:val="32"/>
          <w:szCs w:val="32"/>
          <w:lang w:val="en-US" w:eastAsia="zh-CN"/>
        </w:rPr>
        <w:t>2025</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号）的规定，年度考核组对公交企业运营服务质量年度考核自评报告进行了核查。具体工作开展情况如下：</w:t>
      </w:r>
    </w:p>
    <w:p w14:paraId="270E1C76">
      <w:pPr>
        <w:ind w:firstLine="800" w:firstLineChars="250"/>
        <w:jc w:val="left"/>
        <w:rPr>
          <w:rFonts w:ascii="黑体" w:hAnsi="黑体" w:eastAsia="黑体" w:cs="Times New Roman"/>
          <w:sz w:val="32"/>
          <w:szCs w:val="32"/>
        </w:rPr>
      </w:pPr>
      <w:r>
        <w:rPr>
          <w:rFonts w:hint="eastAsia" w:ascii="黑体" w:hAnsi="黑体" w:eastAsia="黑体" w:cs="Times New Roman"/>
          <w:sz w:val="32"/>
          <w:szCs w:val="32"/>
        </w:rPr>
        <w:t>一、考核总成绩</w:t>
      </w:r>
    </w:p>
    <w:tbl>
      <w:tblPr>
        <w:tblStyle w:val="4"/>
        <w:tblW w:w="0" w:type="auto"/>
        <w:tblInd w:w="3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0"/>
        <w:gridCol w:w="5934"/>
      </w:tblGrid>
      <w:tr w14:paraId="465C7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1950" w:type="dxa"/>
            <w:vAlign w:val="center"/>
          </w:tcPr>
          <w:p w14:paraId="7D36D5A4">
            <w:pPr>
              <w:jc w:val="center"/>
              <w:rPr>
                <w:rFonts w:ascii="仿宋" w:hAnsi="仿宋" w:eastAsia="仿宋" w:cs="Times New Roman"/>
                <w:sz w:val="24"/>
                <w:szCs w:val="24"/>
              </w:rPr>
            </w:pPr>
            <w:r>
              <w:rPr>
                <w:rFonts w:hint="eastAsia" w:ascii="仿宋" w:hAnsi="仿宋" w:eastAsia="仿宋" w:cs="Times New Roman"/>
                <w:sz w:val="24"/>
                <w:szCs w:val="24"/>
              </w:rPr>
              <w:t>公交企业</w:t>
            </w:r>
          </w:p>
        </w:tc>
        <w:tc>
          <w:tcPr>
            <w:tcW w:w="5934" w:type="dxa"/>
            <w:vAlign w:val="center"/>
          </w:tcPr>
          <w:p w14:paraId="70397C1D">
            <w:pPr>
              <w:jc w:val="center"/>
              <w:rPr>
                <w:rFonts w:ascii="仿宋" w:hAnsi="仿宋" w:eastAsia="仿宋" w:cs="Times New Roman"/>
                <w:sz w:val="24"/>
                <w:szCs w:val="24"/>
              </w:rPr>
            </w:pPr>
            <w:r>
              <w:rPr>
                <w:rFonts w:hint="eastAsia" w:ascii="仿宋" w:hAnsi="仿宋" w:eastAsia="仿宋"/>
                <w:sz w:val="24"/>
                <w:szCs w:val="24"/>
                <w:lang w:val="en-US" w:eastAsia="zh-CN"/>
              </w:rPr>
              <w:t>长乐区闽运公共交通有限公司</w:t>
            </w:r>
          </w:p>
        </w:tc>
      </w:tr>
      <w:tr w14:paraId="20252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1950" w:type="dxa"/>
            <w:vAlign w:val="center"/>
          </w:tcPr>
          <w:p w14:paraId="2DC71196">
            <w:pPr>
              <w:jc w:val="center"/>
              <w:rPr>
                <w:rFonts w:ascii="仿宋" w:hAnsi="仿宋" w:eastAsia="仿宋" w:cs="Times New Roman"/>
                <w:sz w:val="24"/>
                <w:szCs w:val="24"/>
              </w:rPr>
            </w:pPr>
            <w:r>
              <w:rPr>
                <w:rFonts w:hint="eastAsia" w:ascii="仿宋" w:hAnsi="仿宋" w:eastAsia="仿宋" w:cs="Times New Roman"/>
                <w:sz w:val="24"/>
                <w:szCs w:val="24"/>
              </w:rPr>
              <w:t>得分</w:t>
            </w:r>
          </w:p>
        </w:tc>
        <w:tc>
          <w:tcPr>
            <w:tcW w:w="5934" w:type="dxa"/>
            <w:vAlign w:val="center"/>
          </w:tcPr>
          <w:p w14:paraId="40975848">
            <w:pPr>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98.5</w:t>
            </w:r>
          </w:p>
        </w:tc>
      </w:tr>
    </w:tbl>
    <w:p w14:paraId="544F7B0E">
      <w:pPr>
        <w:ind w:firstLine="640" w:firstLineChars="200"/>
        <w:jc w:val="left"/>
        <w:rPr>
          <w:rFonts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、考核指标得分情况</w:t>
      </w:r>
    </w:p>
    <w:p w14:paraId="4F17E995">
      <w:pPr>
        <w:ind w:firstLine="470" w:firstLineChars="147"/>
        <w:rPr>
          <w:rFonts w:ascii="楷体" w:hAnsi="楷体" w:eastAsia="楷体" w:cs="Times New Roman"/>
          <w:sz w:val="32"/>
          <w:szCs w:val="32"/>
        </w:rPr>
      </w:pPr>
      <w:r>
        <w:rPr>
          <w:rFonts w:hint="eastAsia" w:ascii="楷体" w:hAnsi="楷体" w:eastAsia="楷体" w:cs="Times New Roman"/>
          <w:sz w:val="32"/>
          <w:szCs w:val="32"/>
        </w:rPr>
        <w:t>（一）城市公共汽电车责任事故死亡率（15分）</w:t>
      </w:r>
    </w:p>
    <w:p w14:paraId="2D5BC88C">
      <w:p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sz w:val="32"/>
          <w:szCs w:val="32"/>
        </w:rPr>
        <w:t>1、考核标准：</w:t>
      </w:r>
      <w:r>
        <w:rPr>
          <w:rFonts w:hint="eastAsia" w:ascii="仿宋" w:hAnsi="仿宋" w:eastAsia="仿宋" w:cs="Times New Roman"/>
          <w:sz w:val="32"/>
          <w:szCs w:val="32"/>
        </w:rPr>
        <w:t>公共汽电车责任事故死亡率在0.08（不含0.08）以下得15分，0.08-0.15（不含0.15）人/百万公里之间扣5分，0.15-0.25（不含0.25）人/百万公里之间扣10分，高于0.25人/百万公里扣15分；公共汽电车责任事故死亡率在0.01以下（不含0.01）加2.5分。发生较大（3人以上死亡或者10人以上重伤或者1000万以上事故损失）同等责任以上事故的，年度考核成绩为0分。</w:t>
      </w:r>
    </w:p>
    <w:p w14:paraId="388B4E9B">
      <w:pPr>
        <w:ind w:firstLine="640" w:firstLineChars="200"/>
        <w:rPr>
          <w:rFonts w:ascii="仿宋" w:hAnsi="仿宋" w:eastAsia="仿宋" w:cs="Times New Roman"/>
          <w:sz w:val="32"/>
          <w:szCs w:val="32"/>
        </w:rPr>
      </w:pP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、得分情况：</w:t>
      </w:r>
      <w:r>
        <w:rPr>
          <w:rFonts w:hint="eastAsia" w:ascii="仿宋" w:hAnsi="仿宋" w:eastAsia="仿宋"/>
          <w:sz w:val="32"/>
          <w:szCs w:val="32"/>
        </w:rPr>
        <w:t>公交企业考核分数如下表所示：</w:t>
      </w:r>
    </w:p>
    <w:tbl>
      <w:tblPr>
        <w:tblStyle w:val="4"/>
        <w:tblW w:w="4646" w:type="pct"/>
        <w:tblInd w:w="3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4"/>
        <w:gridCol w:w="1136"/>
        <w:gridCol w:w="2153"/>
        <w:gridCol w:w="1949"/>
        <w:gridCol w:w="1037"/>
      </w:tblGrid>
      <w:tr w14:paraId="4C3D7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1038" w:type="pct"/>
            <w:vAlign w:val="center"/>
          </w:tcPr>
          <w:p w14:paraId="21056B86">
            <w:pPr>
              <w:jc w:val="center"/>
              <w:rPr>
                <w:rFonts w:ascii="仿宋" w:hAnsi="仿宋" w:eastAsia="仿宋"/>
                <w:sz w:val="24"/>
                <w:szCs w:val="24"/>
              </w:rPr>
            </w:pPr>
            <w:r>
              <w:rPr>
                <w:rFonts w:hint="eastAsia" w:ascii="仿宋" w:hAnsi="仿宋" w:eastAsia="仿宋"/>
                <w:sz w:val="24"/>
                <w:szCs w:val="24"/>
              </w:rPr>
              <w:t>公交企业</w:t>
            </w:r>
          </w:p>
        </w:tc>
        <w:tc>
          <w:tcPr>
            <w:tcW w:w="717" w:type="pct"/>
            <w:vAlign w:val="center"/>
          </w:tcPr>
          <w:p w14:paraId="4068F5A8">
            <w:pPr>
              <w:ind w:left="118" w:hanging="117" w:hangingChars="49"/>
              <w:jc w:val="center"/>
              <w:rPr>
                <w:rFonts w:ascii="仿宋" w:hAnsi="仿宋" w:eastAsia="仿宋"/>
                <w:sz w:val="24"/>
                <w:szCs w:val="24"/>
              </w:rPr>
            </w:pPr>
            <w:r>
              <w:rPr>
                <w:rFonts w:hint="eastAsia" w:ascii="仿宋" w:hAnsi="仿宋" w:eastAsia="仿宋"/>
                <w:sz w:val="24"/>
                <w:szCs w:val="24"/>
              </w:rPr>
              <w:t>死亡事故（人）</w:t>
            </w:r>
          </w:p>
        </w:tc>
        <w:tc>
          <w:tcPr>
            <w:tcW w:w="1359" w:type="pct"/>
            <w:vAlign w:val="center"/>
          </w:tcPr>
          <w:p w14:paraId="5777D761">
            <w:pPr>
              <w:jc w:val="center"/>
              <w:rPr>
                <w:rFonts w:ascii="仿宋" w:hAnsi="仿宋" w:eastAsia="仿宋"/>
                <w:sz w:val="24"/>
                <w:szCs w:val="24"/>
              </w:rPr>
            </w:pPr>
            <w:r>
              <w:rPr>
                <w:rFonts w:hint="eastAsia" w:ascii="仿宋" w:hAnsi="仿宋" w:eastAsia="仿宋"/>
                <w:sz w:val="24"/>
                <w:szCs w:val="24"/>
              </w:rPr>
              <w:t>运营里程</w:t>
            </w:r>
          </w:p>
          <w:p w14:paraId="4B278450">
            <w:pPr>
              <w:jc w:val="center"/>
              <w:rPr>
                <w:rFonts w:ascii="仿宋" w:hAnsi="仿宋" w:eastAsia="仿宋"/>
                <w:sz w:val="24"/>
                <w:szCs w:val="24"/>
              </w:rPr>
            </w:pPr>
            <w:r>
              <w:rPr>
                <w:rFonts w:hint="eastAsia" w:ascii="仿宋" w:hAnsi="仿宋" w:eastAsia="仿宋"/>
                <w:sz w:val="24"/>
                <w:szCs w:val="24"/>
              </w:rPr>
              <w:t>（百万公里）</w:t>
            </w:r>
          </w:p>
        </w:tc>
        <w:tc>
          <w:tcPr>
            <w:tcW w:w="1230" w:type="pct"/>
            <w:tcBorders>
              <w:right w:val="single" w:color="auto" w:sz="4" w:space="0"/>
            </w:tcBorders>
            <w:vAlign w:val="center"/>
          </w:tcPr>
          <w:p w14:paraId="62D719E8">
            <w:pPr>
              <w:jc w:val="center"/>
              <w:rPr>
                <w:rFonts w:ascii="仿宋" w:hAnsi="仿宋" w:eastAsia="仿宋"/>
                <w:sz w:val="24"/>
                <w:szCs w:val="24"/>
              </w:rPr>
            </w:pPr>
            <w:r>
              <w:rPr>
                <w:rFonts w:hint="eastAsia" w:ascii="仿宋" w:hAnsi="仿宋" w:eastAsia="仿宋"/>
                <w:sz w:val="24"/>
                <w:szCs w:val="24"/>
              </w:rPr>
              <w:t>死亡率</w:t>
            </w:r>
          </w:p>
          <w:p w14:paraId="54C904D3">
            <w:pPr>
              <w:jc w:val="center"/>
              <w:rPr>
                <w:rFonts w:ascii="仿宋" w:hAnsi="仿宋" w:eastAsia="仿宋"/>
                <w:sz w:val="24"/>
                <w:szCs w:val="24"/>
              </w:rPr>
            </w:pPr>
            <w:r>
              <w:rPr>
                <w:rFonts w:hint="eastAsia" w:ascii="仿宋" w:hAnsi="仿宋" w:eastAsia="仿宋"/>
                <w:sz w:val="24"/>
                <w:szCs w:val="24"/>
              </w:rPr>
              <w:t>（人/百万公里）</w:t>
            </w:r>
          </w:p>
        </w:tc>
        <w:tc>
          <w:tcPr>
            <w:tcW w:w="654" w:type="pct"/>
            <w:tcBorders>
              <w:left w:val="single" w:color="auto" w:sz="4" w:space="0"/>
            </w:tcBorders>
            <w:vAlign w:val="center"/>
          </w:tcPr>
          <w:p w14:paraId="0695139E">
            <w:pPr>
              <w:jc w:val="center"/>
              <w:rPr>
                <w:rFonts w:ascii="仿宋" w:hAnsi="仿宋" w:eastAsia="仿宋"/>
                <w:sz w:val="24"/>
                <w:szCs w:val="24"/>
              </w:rPr>
            </w:pPr>
            <w:r>
              <w:rPr>
                <w:rFonts w:hint="eastAsia" w:ascii="仿宋" w:hAnsi="仿宋" w:eastAsia="仿宋"/>
                <w:sz w:val="24"/>
                <w:szCs w:val="24"/>
              </w:rPr>
              <w:t>得分</w:t>
            </w:r>
          </w:p>
        </w:tc>
      </w:tr>
      <w:tr w14:paraId="45F51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1" w:hRule="atLeast"/>
        </w:trPr>
        <w:tc>
          <w:tcPr>
            <w:tcW w:w="1038" w:type="pct"/>
            <w:vAlign w:val="center"/>
          </w:tcPr>
          <w:p w14:paraId="7108D57E">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长乐区闽运公共交通</w:t>
            </w:r>
          </w:p>
          <w:p w14:paraId="3C21693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有限公司</w:t>
            </w:r>
          </w:p>
        </w:tc>
        <w:tc>
          <w:tcPr>
            <w:tcW w:w="717" w:type="pct"/>
            <w:vAlign w:val="center"/>
          </w:tcPr>
          <w:p w14:paraId="5CF6D90A">
            <w:pPr>
              <w:jc w:val="center"/>
              <w:rPr>
                <w:rFonts w:hint="eastAsia" w:ascii="仿宋" w:hAnsi="仿宋" w:eastAsia="仿宋"/>
                <w:sz w:val="24"/>
                <w:szCs w:val="24"/>
                <w:lang w:eastAsia="zh-CN"/>
              </w:rPr>
            </w:pPr>
            <w:r>
              <w:rPr>
                <w:rFonts w:hint="eastAsia" w:ascii="仿宋" w:hAnsi="仿宋" w:eastAsia="仿宋"/>
                <w:sz w:val="24"/>
                <w:szCs w:val="24"/>
                <w:lang w:val="en-US" w:eastAsia="zh-CN"/>
              </w:rPr>
              <w:t>0</w:t>
            </w:r>
          </w:p>
        </w:tc>
        <w:tc>
          <w:tcPr>
            <w:tcW w:w="1359" w:type="pct"/>
            <w:vAlign w:val="center"/>
          </w:tcPr>
          <w:p w14:paraId="1C4A1010">
            <w:pPr>
              <w:jc w:val="center"/>
              <w:rPr>
                <w:rFonts w:hint="default" w:ascii="仿宋" w:hAnsi="仿宋" w:eastAsia="仿宋"/>
                <w:sz w:val="24"/>
                <w:szCs w:val="24"/>
                <w:lang w:val="en-US" w:eastAsia="zh-CN"/>
              </w:rPr>
            </w:pPr>
            <w:r>
              <w:rPr>
                <w:rFonts w:hint="eastAsia" w:ascii="仿宋" w:hAnsi="仿宋" w:eastAsia="仿宋"/>
                <w:color w:val="000000" w:themeColor="text1"/>
                <w:sz w:val="24"/>
                <w:szCs w:val="24"/>
                <w:highlight w:val="none"/>
                <w:lang w:val="en-US" w:eastAsia="zh-CN"/>
                <w14:textFill>
                  <w14:solidFill>
                    <w14:schemeClr w14:val="tx1"/>
                  </w14:solidFill>
                </w14:textFill>
              </w:rPr>
              <w:t>12.39</w:t>
            </w:r>
          </w:p>
        </w:tc>
        <w:tc>
          <w:tcPr>
            <w:tcW w:w="1230" w:type="pct"/>
            <w:tcBorders>
              <w:right w:val="single" w:color="auto" w:sz="4" w:space="0"/>
            </w:tcBorders>
            <w:vAlign w:val="center"/>
          </w:tcPr>
          <w:p w14:paraId="2E0A00F7">
            <w:pPr>
              <w:jc w:val="center"/>
              <w:rPr>
                <w:rFonts w:hint="eastAsia" w:ascii="仿宋" w:hAnsi="仿宋" w:eastAsia="仿宋"/>
                <w:sz w:val="24"/>
                <w:szCs w:val="24"/>
                <w:lang w:eastAsia="zh-CN"/>
              </w:rPr>
            </w:pPr>
            <w:r>
              <w:rPr>
                <w:rFonts w:hint="eastAsia" w:ascii="仿宋" w:hAnsi="仿宋" w:eastAsia="仿宋"/>
                <w:sz w:val="24"/>
                <w:szCs w:val="24"/>
                <w:lang w:val="en-US" w:eastAsia="zh-CN"/>
              </w:rPr>
              <w:t>0</w:t>
            </w:r>
          </w:p>
        </w:tc>
        <w:tc>
          <w:tcPr>
            <w:tcW w:w="654" w:type="pct"/>
            <w:tcBorders>
              <w:left w:val="single" w:color="auto" w:sz="4" w:space="0"/>
            </w:tcBorders>
            <w:vAlign w:val="center"/>
          </w:tcPr>
          <w:p w14:paraId="7EDD84E4">
            <w:pPr>
              <w:jc w:val="center"/>
              <w:rPr>
                <w:rFonts w:ascii="仿宋" w:hAnsi="仿宋" w:eastAsia="仿宋"/>
                <w:sz w:val="24"/>
                <w:szCs w:val="24"/>
              </w:rPr>
            </w:pPr>
            <w:r>
              <w:rPr>
                <w:rFonts w:hint="eastAsia" w:ascii="仿宋" w:hAnsi="仿宋" w:eastAsia="仿宋"/>
                <w:sz w:val="24"/>
                <w:szCs w:val="24"/>
              </w:rPr>
              <w:t>17.5</w:t>
            </w:r>
          </w:p>
        </w:tc>
      </w:tr>
    </w:tbl>
    <w:p w14:paraId="18809A3A">
      <w:pPr>
        <w:ind w:firstLine="470" w:firstLineChars="147"/>
        <w:rPr>
          <w:rFonts w:ascii="楷体" w:hAnsi="楷体" w:eastAsia="楷体" w:cs="Times New Roman"/>
          <w:sz w:val="32"/>
          <w:szCs w:val="32"/>
        </w:rPr>
      </w:pPr>
      <w:r>
        <w:rPr>
          <w:rFonts w:hint="eastAsia" w:ascii="楷体" w:hAnsi="楷体" w:eastAsia="楷体" w:cs="Times New Roman"/>
          <w:sz w:val="32"/>
          <w:szCs w:val="32"/>
        </w:rPr>
        <w:t>（二）城市公共汽电车责任事故率（1</w:t>
      </w:r>
      <w:r>
        <w:rPr>
          <w:rFonts w:hint="eastAsia" w:ascii="楷体" w:hAnsi="楷体" w:eastAsia="楷体" w:cs="Times New Roman"/>
          <w:sz w:val="32"/>
          <w:szCs w:val="32"/>
          <w:lang w:val="en-US" w:eastAsia="zh-CN"/>
        </w:rPr>
        <w:t>5</w:t>
      </w:r>
      <w:r>
        <w:rPr>
          <w:rFonts w:hint="eastAsia" w:ascii="楷体" w:hAnsi="楷体" w:eastAsia="楷体" w:cs="Times New Roman"/>
          <w:sz w:val="32"/>
          <w:szCs w:val="32"/>
        </w:rPr>
        <w:t>分）</w:t>
      </w:r>
    </w:p>
    <w:p w14:paraId="0896A927">
      <w:pPr>
        <w:pStyle w:val="6"/>
        <w:ind w:firstLine="640"/>
        <w:rPr>
          <w:rFonts w:hint="eastAsia" w:ascii="仿宋" w:hAnsi="仿宋" w:eastAsia="仿宋" w:cs="宋体"/>
          <w:color w:val="000000"/>
          <w:kern w:val="0"/>
          <w:sz w:val="32"/>
          <w:szCs w:val="32"/>
          <w:lang w:val="en-US" w:eastAsia="zh-CN"/>
        </w:rPr>
      </w:pPr>
      <w:r>
        <w:rPr>
          <w:rFonts w:hint="eastAsia" w:ascii="仿宋" w:hAnsi="仿宋" w:eastAsia="仿宋"/>
          <w:sz w:val="32"/>
          <w:szCs w:val="32"/>
        </w:rPr>
        <w:t>1、考核标准：公共汽电车责任事故率（人员受伤赔偿5000元以上或者车辆损失费1万元以上的主责事故）不高于0.5次/百万公里</w:t>
      </w:r>
      <w:r>
        <w:rPr>
          <w:rFonts w:hint="eastAsia" w:ascii="仿宋" w:hAnsi="仿宋" w:eastAsia="仿宋"/>
          <w:sz w:val="32"/>
          <w:szCs w:val="32"/>
          <w:lang w:eastAsia="zh-CN"/>
        </w:rPr>
        <w:t>。</w:t>
      </w:r>
      <w:r>
        <w:rPr>
          <w:rFonts w:hint="eastAsia" w:ascii="仿宋" w:hAnsi="仿宋" w:eastAsia="仿宋" w:cs="宋体"/>
          <w:color w:val="000000"/>
          <w:kern w:val="0"/>
          <w:sz w:val="32"/>
          <w:szCs w:val="32"/>
        </w:rPr>
        <w:t>公共汽电车责任事故率不高于0.5次/百万公里的得1</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分，每百万公里事故次数高于0.5次的每高0.01次扣1分，扣完为止</w:t>
      </w:r>
      <w:r>
        <w:rPr>
          <w:rFonts w:hint="eastAsia" w:ascii="仿宋" w:hAnsi="仿宋" w:eastAsia="仿宋" w:cs="宋体"/>
          <w:color w:val="000000"/>
          <w:kern w:val="0"/>
          <w:sz w:val="32"/>
          <w:szCs w:val="32"/>
          <w:lang w:eastAsia="zh-CN"/>
        </w:rPr>
        <w:t>。</w:t>
      </w:r>
    </w:p>
    <w:p w14:paraId="33EA88E9">
      <w:pPr>
        <w:pStyle w:val="6"/>
        <w:ind w:firstLine="64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、得分情况：公交企业考核分数如下表所示：</w:t>
      </w:r>
    </w:p>
    <w:tbl>
      <w:tblPr>
        <w:tblStyle w:val="4"/>
        <w:tblW w:w="78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6"/>
        <w:gridCol w:w="1570"/>
        <w:gridCol w:w="1832"/>
        <w:gridCol w:w="1985"/>
        <w:gridCol w:w="1003"/>
      </w:tblGrid>
      <w:tr w14:paraId="39973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86" w:type="dxa"/>
            <w:vAlign w:val="center"/>
          </w:tcPr>
          <w:p w14:paraId="6C78B3D2">
            <w:pPr>
              <w:jc w:val="center"/>
              <w:rPr>
                <w:rFonts w:ascii="仿宋" w:hAnsi="仿宋" w:eastAsia="仿宋"/>
                <w:sz w:val="24"/>
                <w:szCs w:val="24"/>
              </w:rPr>
            </w:pPr>
            <w:r>
              <w:rPr>
                <w:rFonts w:hint="eastAsia" w:ascii="仿宋" w:hAnsi="仿宋" w:eastAsia="仿宋"/>
                <w:sz w:val="24"/>
                <w:szCs w:val="24"/>
              </w:rPr>
              <w:t>公交企业</w:t>
            </w:r>
          </w:p>
        </w:tc>
        <w:tc>
          <w:tcPr>
            <w:tcW w:w="1570" w:type="dxa"/>
            <w:vAlign w:val="center"/>
          </w:tcPr>
          <w:p w14:paraId="1377B659">
            <w:pPr>
              <w:jc w:val="center"/>
              <w:rPr>
                <w:rFonts w:ascii="仿宋" w:hAnsi="仿宋" w:eastAsia="仿宋"/>
                <w:sz w:val="24"/>
                <w:szCs w:val="24"/>
              </w:rPr>
            </w:pPr>
            <w:r>
              <w:rPr>
                <w:rFonts w:hint="eastAsia" w:ascii="仿宋" w:hAnsi="仿宋" w:eastAsia="仿宋"/>
                <w:sz w:val="24"/>
                <w:szCs w:val="24"/>
              </w:rPr>
              <w:t>事故数</w:t>
            </w:r>
          </w:p>
        </w:tc>
        <w:tc>
          <w:tcPr>
            <w:tcW w:w="1832" w:type="dxa"/>
            <w:vAlign w:val="center"/>
          </w:tcPr>
          <w:p w14:paraId="0184ADCC">
            <w:pPr>
              <w:jc w:val="center"/>
              <w:rPr>
                <w:rFonts w:ascii="仿宋" w:hAnsi="仿宋" w:eastAsia="仿宋"/>
                <w:sz w:val="24"/>
                <w:szCs w:val="24"/>
              </w:rPr>
            </w:pPr>
            <w:r>
              <w:rPr>
                <w:rFonts w:hint="eastAsia" w:ascii="仿宋" w:hAnsi="仿宋" w:eastAsia="仿宋"/>
                <w:sz w:val="24"/>
                <w:szCs w:val="24"/>
              </w:rPr>
              <w:t>运营里程</w:t>
            </w:r>
          </w:p>
          <w:p w14:paraId="41A9E37F">
            <w:pPr>
              <w:jc w:val="center"/>
              <w:rPr>
                <w:rFonts w:ascii="仿宋" w:hAnsi="仿宋" w:eastAsia="仿宋"/>
                <w:sz w:val="24"/>
                <w:szCs w:val="24"/>
              </w:rPr>
            </w:pPr>
            <w:r>
              <w:rPr>
                <w:rFonts w:hint="eastAsia" w:ascii="仿宋" w:hAnsi="仿宋" w:eastAsia="仿宋"/>
                <w:sz w:val="24"/>
                <w:szCs w:val="24"/>
              </w:rPr>
              <w:t>（百万公里）</w:t>
            </w:r>
          </w:p>
        </w:tc>
        <w:tc>
          <w:tcPr>
            <w:tcW w:w="1985" w:type="dxa"/>
            <w:tcBorders>
              <w:right w:val="single" w:color="auto" w:sz="4" w:space="0"/>
            </w:tcBorders>
            <w:vAlign w:val="center"/>
          </w:tcPr>
          <w:p w14:paraId="504AFE28">
            <w:pPr>
              <w:jc w:val="center"/>
              <w:rPr>
                <w:rFonts w:ascii="仿宋" w:hAnsi="仿宋" w:eastAsia="仿宋"/>
                <w:sz w:val="24"/>
                <w:szCs w:val="24"/>
              </w:rPr>
            </w:pPr>
            <w:r>
              <w:rPr>
                <w:rFonts w:hint="eastAsia" w:ascii="仿宋" w:hAnsi="仿宋" w:eastAsia="仿宋"/>
                <w:sz w:val="24"/>
                <w:szCs w:val="24"/>
              </w:rPr>
              <w:t>事故率</w:t>
            </w:r>
          </w:p>
          <w:p w14:paraId="040C194E">
            <w:pPr>
              <w:jc w:val="center"/>
              <w:rPr>
                <w:rFonts w:ascii="仿宋" w:hAnsi="仿宋" w:eastAsia="仿宋"/>
                <w:sz w:val="24"/>
                <w:szCs w:val="24"/>
              </w:rPr>
            </w:pPr>
            <w:r>
              <w:rPr>
                <w:rFonts w:hint="eastAsia" w:ascii="仿宋" w:hAnsi="仿宋" w:eastAsia="仿宋"/>
                <w:sz w:val="24"/>
                <w:szCs w:val="24"/>
              </w:rPr>
              <w:t>（次/百万公里）</w:t>
            </w:r>
          </w:p>
        </w:tc>
        <w:tc>
          <w:tcPr>
            <w:tcW w:w="1003" w:type="dxa"/>
            <w:tcBorders>
              <w:left w:val="single" w:color="auto" w:sz="4" w:space="0"/>
            </w:tcBorders>
            <w:vAlign w:val="center"/>
          </w:tcPr>
          <w:p w14:paraId="28984843">
            <w:pPr>
              <w:jc w:val="center"/>
              <w:rPr>
                <w:rFonts w:ascii="仿宋" w:hAnsi="仿宋" w:eastAsia="仿宋"/>
                <w:sz w:val="24"/>
                <w:szCs w:val="24"/>
              </w:rPr>
            </w:pPr>
            <w:r>
              <w:rPr>
                <w:rFonts w:hint="eastAsia" w:ascii="仿宋" w:hAnsi="仿宋" w:eastAsia="仿宋"/>
                <w:sz w:val="24"/>
                <w:szCs w:val="24"/>
              </w:rPr>
              <w:t>得分</w:t>
            </w:r>
          </w:p>
        </w:tc>
      </w:tr>
      <w:tr w14:paraId="185D7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86" w:type="dxa"/>
            <w:vAlign w:val="center"/>
          </w:tcPr>
          <w:p w14:paraId="0C473893">
            <w:pPr>
              <w:jc w:val="center"/>
              <w:rPr>
                <w:rFonts w:hint="eastAsia" w:ascii="仿宋" w:hAnsi="仿宋" w:eastAsia="仿宋"/>
                <w:sz w:val="24"/>
                <w:szCs w:val="24"/>
              </w:rPr>
            </w:pPr>
            <w:r>
              <w:rPr>
                <w:rFonts w:hint="eastAsia" w:ascii="仿宋" w:hAnsi="仿宋" w:eastAsia="仿宋"/>
                <w:sz w:val="24"/>
                <w:szCs w:val="24"/>
                <w:lang w:val="en-US" w:eastAsia="zh-CN"/>
              </w:rPr>
              <w:t>长乐区</w:t>
            </w:r>
            <w:r>
              <w:rPr>
                <w:rFonts w:hint="eastAsia" w:ascii="仿宋" w:hAnsi="仿宋" w:eastAsia="仿宋"/>
                <w:sz w:val="24"/>
                <w:szCs w:val="24"/>
              </w:rPr>
              <w:t>闽运公共交通</w:t>
            </w:r>
          </w:p>
          <w:p w14:paraId="0E12A339">
            <w:pPr>
              <w:jc w:val="center"/>
              <w:rPr>
                <w:rFonts w:ascii="仿宋" w:hAnsi="仿宋" w:eastAsia="仿宋"/>
                <w:sz w:val="24"/>
                <w:szCs w:val="24"/>
              </w:rPr>
            </w:pPr>
            <w:r>
              <w:rPr>
                <w:rFonts w:hint="eastAsia" w:ascii="仿宋" w:hAnsi="仿宋" w:eastAsia="仿宋"/>
                <w:sz w:val="24"/>
                <w:szCs w:val="24"/>
              </w:rPr>
              <w:t>有限公司</w:t>
            </w:r>
          </w:p>
        </w:tc>
        <w:tc>
          <w:tcPr>
            <w:tcW w:w="1570" w:type="dxa"/>
            <w:vAlign w:val="center"/>
          </w:tcPr>
          <w:p w14:paraId="284A9155">
            <w:pPr>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832" w:type="dxa"/>
            <w:vAlign w:val="center"/>
          </w:tcPr>
          <w:p w14:paraId="72488F07">
            <w:pPr>
              <w:jc w:val="center"/>
              <w:rPr>
                <w:rFonts w:hint="default" w:ascii="仿宋" w:hAnsi="仿宋" w:eastAsia="仿宋"/>
                <w:sz w:val="24"/>
                <w:szCs w:val="24"/>
                <w:lang w:val="en-US"/>
              </w:rPr>
            </w:pPr>
            <w:r>
              <w:rPr>
                <w:rFonts w:hint="eastAsia" w:ascii="仿宋" w:hAnsi="仿宋" w:eastAsia="仿宋"/>
                <w:sz w:val="24"/>
                <w:szCs w:val="24"/>
                <w:highlight w:val="none"/>
                <w:lang w:val="en-US" w:eastAsia="zh-CN"/>
              </w:rPr>
              <w:t>12.39</w:t>
            </w:r>
          </w:p>
        </w:tc>
        <w:tc>
          <w:tcPr>
            <w:tcW w:w="1985" w:type="dxa"/>
            <w:tcBorders>
              <w:right w:val="single" w:color="auto" w:sz="4" w:space="0"/>
            </w:tcBorders>
            <w:vAlign w:val="center"/>
          </w:tcPr>
          <w:p w14:paraId="63E685B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0.16</w:t>
            </w:r>
          </w:p>
        </w:tc>
        <w:tc>
          <w:tcPr>
            <w:tcW w:w="1003" w:type="dxa"/>
            <w:tcBorders>
              <w:left w:val="single" w:color="auto" w:sz="4" w:space="0"/>
            </w:tcBorders>
            <w:vAlign w:val="center"/>
          </w:tcPr>
          <w:p w14:paraId="0123E15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r>
    </w:tbl>
    <w:p w14:paraId="63FF7E05">
      <w:pPr>
        <w:pStyle w:val="6"/>
        <w:ind w:firstLine="640"/>
        <w:rPr>
          <w:rFonts w:ascii="楷体" w:hAnsi="楷体" w:eastAsia="楷体" w:cs="Times New Roman"/>
          <w:sz w:val="32"/>
          <w:szCs w:val="32"/>
        </w:rPr>
      </w:pPr>
      <w:r>
        <w:rPr>
          <w:rFonts w:hint="eastAsia" w:ascii="楷体" w:hAnsi="楷体" w:eastAsia="楷体" w:cs="Times New Roman"/>
          <w:sz w:val="32"/>
          <w:szCs w:val="32"/>
        </w:rPr>
        <w:t>（三）投诉案件数占客运量比率（</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分）</w:t>
      </w:r>
    </w:p>
    <w:p w14:paraId="1B9EA4E4">
      <w:pPr>
        <w:pStyle w:val="6"/>
        <w:ind w:firstLine="640"/>
        <w:rPr>
          <w:rFonts w:hint="eastAsia" w:ascii="仿宋" w:hAnsi="仿宋" w:eastAsia="仿宋"/>
          <w:sz w:val="32"/>
          <w:szCs w:val="32"/>
        </w:rPr>
      </w:pPr>
      <w:r>
        <w:rPr>
          <w:rFonts w:hint="eastAsia" w:ascii="仿宋" w:hAnsi="仿宋" w:eastAsia="仿宋"/>
          <w:sz w:val="32"/>
          <w:szCs w:val="32"/>
        </w:rPr>
        <w:t>1、考核标准：考核年内公交企业在12345和12328服务投诉热线的公共交通有效服务类投诉案件（含服务类和等车难投诉）数量占客运量比率低于</w:t>
      </w:r>
      <w:r>
        <w:rPr>
          <w:rFonts w:hint="eastAsia" w:ascii="仿宋" w:hAnsi="仿宋" w:eastAsia="仿宋"/>
          <w:sz w:val="32"/>
          <w:szCs w:val="32"/>
          <w:lang w:val="en-US" w:eastAsia="zh-CN"/>
        </w:rPr>
        <w:t>4</w:t>
      </w:r>
      <w:r>
        <w:rPr>
          <w:rFonts w:hint="eastAsia" w:ascii="仿宋" w:hAnsi="仿宋" w:eastAsia="仿宋"/>
          <w:sz w:val="32"/>
          <w:szCs w:val="32"/>
        </w:rPr>
        <w:t>次/百万人次。投诉次数与客运量比率低于4次/百万人次的得10分，高于4次/百万人次的，每高0.1次/百万人次扣1分，扣完为止</w:t>
      </w:r>
    </w:p>
    <w:p w14:paraId="2B3683D8">
      <w:pPr>
        <w:pStyle w:val="6"/>
        <w:ind w:firstLine="640"/>
        <w:rPr>
          <w:rFonts w:ascii="仿宋" w:hAnsi="仿宋" w:eastAsia="仿宋" w:cs="Times New Roman"/>
          <w:sz w:val="32"/>
          <w:szCs w:val="32"/>
        </w:rPr>
      </w:pPr>
      <w:r>
        <w:rPr>
          <w:rFonts w:hint="eastAsia" w:ascii="仿宋" w:hAnsi="仿宋" w:eastAsia="仿宋"/>
          <w:sz w:val="32"/>
          <w:szCs w:val="32"/>
          <w:lang w:val="en-US" w:eastAsia="zh-CN"/>
        </w:rPr>
        <w:t>2</w:t>
      </w:r>
      <w:r>
        <w:rPr>
          <w:rFonts w:hint="eastAsia" w:ascii="仿宋" w:hAnsi="仿宋" w:eastAsia="仿宋"/>
          <w:sz w:val="32"/>
          <w:szCs w:val="32"/>
        </w:rPr>
        <w:t>、得分情况：公交企业考核分数如下表所示：</w:t>
      </w:r>
    </w:p>
    <w:tbl>
      <w:tblPr>
        <w:tblStyle w:val="4"/>
        <w:tblW w:w="4852"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2"/>
        <w:gridCol w:w="1706"/>
        <w:gridCol w:w="1843"/>
        <w:gridCol w:w="1986"/>
        <w:gridCol w:w="1183"/>
      </w:tblGrid>
      <w:tr w14:paraId="2BBE5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8" w:type="pct"/>
            <w:vAlign w:val="center"/>
          </w:tcPr>
          <w:p w14:paraId="51C7AC0A">
            <w:pPr>
              <w:jc w:val="center"/>
              <w:rPr>
                <w:rFonts w:ascii="仿宋" w:hAnsi="仿宋" w:eastAsia="仿宋"/>
                <w:sz w:val="24"/>
                <w:szCs w:val="24"/>
              </w:rPr>
            </w:pPr>
            <w:r>
              <w:rPr>
                <w:rFonts w:hint="eastAsia" w:ascii="仿宋" w:hAnsi="仿宋" w:eastAsia="仿宋"/>
                <w:sz w:val="24"/>
                <w:szCs w:val="24"/>
              </w:rPr>
              <w:t>公交企业</w:t>
            </w:r>
          </w:p>
        </w:tc>
        <w:tc>
          <w:tcPr>
            <w:tcW w:w="1031" w:type="pct"/>
            <w:vAlign w:val="center"/>
          </w:tcPr>
          <w:p w14:paraId="2830B685">
            <w:pPr>
              <w:jc w:val="center"/>
              <w:rPr>
                <w:rFonts w:ascii="仿宋" w:hAnsi="仿宋" w:eastAsia="仿宋"/>
                <w:sz w:val="24"/>
                <w:szCs w:val="24"/>
              </w:rPr>
            </w:pPr>
            <w:r>
              <w:rPr>
                <w:rFonts w:hint="eastAsia" w:ascii="仿宋" w:hAnsi="仿宋" w:eastAsia="仿宋"/>
                <w:sz w:val="24"/>
                <w:szCs w:val="24"/>
              </w:rPr>
              <w:t>投诉案件数</w:t>
            </w:r>
          </w:p>
        </w:tc>
        <w:tc>
          <w:tcPr>
            <w:tcW w:w="1114" w:type="pct"/>
            <w:vAlign w:val="center"/>
          </w:tcPr>
          <w:p w14:paraId="49601801">
            <w:pPr>
              <w:jc w:val="center"/>
              <w:rPr>
                <w:rFonts w:ascii="仿宋" w:hAnsi="仿宋" w:eastAsia="仿宋"/>
                <w:sz w:val="24"/>
                <w:szCs w:val="24"/>
              </w:rPr>
            </w:pPr>
            <w:r>
              <w:rPr>
                <w:rFonts w:hint="eastAsia" w:ascii="仿宋" w:hAnsi="仿宋" w:eastAsia="仿宋"/>
                <w:sz w:val="24"/>
                <w:szCs w:val="24"/>
              </w:rPr>
              <w:t>客运量</w:t>
            </w:r>
          </w:p>
          <w:p w14:paraId="2F2BF091">
            <w:pPr>
              <w:jc w:val="center"/>
              <w:rPr>
                <w:rFonts w:ascii="仿宋" w:hAnsi="仿宋" w:eastAsia="仿宋"/>
                <w:sz w:val="24"/>
                <w:szCs w:val="24"/>
              </w:rPr>
            </w:pPr>
            <w:r>
              <w:rPr>
                <w:rFonts w:hint="eastAsia" w:ascii="仿宋" w:hAnsi="仿宋" w:eastAsia="仿宋"/>
                <w:sz w:val="24"/>
                <w:szCs w:val="24"/>
              </w:rPr>
              <w:t>（百万人次）</w:t>
            </w:r>
          </w:p>
        </w:tc>
        <w:tc>
          <w:tcPr>
            <w:tcW w:w="1200" w:type="pct"/>
            <w:tcBorders>
              <w:right w:val="single" w:color="auto" w:sz="4" w:space="0"/>
            </w:tcBorders>
            <w:vAlign w:val="center"/>
          </w:tcPr>
          <w:p w14:paraId="43C7EA07">
            <w:pPr>
              <w:jc w:val="center"/>
              <w:rPr>
                <w:rFonts w:ascii="仿宋" w:hAnsi="仿宋" w:eastAsia="仿宋"/>
                <w:sz w:val="24"/>
                <w:szCs w:val="24"/>
              </w:rPr>
            </w:pPr>
            <w:r>
              <w:rPr>
                <w:rFonts w:hint="eastAsia" w:ascii="仿宋" w:hAnsi="仿宋" w:eastAsia="仿宋" w:cs="宋体"/>
                <w:color w:val="000000"/>
                <w:kern w:val="0"/>
                <w:sz w:val="24"/>
                <w:szCs w:val="24"/>
              </w:rPr>
              <w:t>投诉案件数占客运量比率</w:t>
            </w:r>
            <w:r>
              <w:rPr>
                <w:rFonts w:hint="eastAsia" w:ascii="仿宋" w:hAnsi="仿宋" w:eastAsia="仿宋"/>
                <w:sz w:val="24"/>
                <w:szCs w:val="24"/>
              </w:rPr>
              <w:t>（次/百万人次）</w:t>
            </w:r>
          </w:p>
        </w:tc>
        <w:tc>
          <w:tcPr>
            <w:tcW w:w="715" w:type="pct"/>
            <w:tcBorders>
              <w:left w:val="single" w:color="auto" w:sz="4" w:space="0"/>
            </w:tcBorders>
            <w:vAlign w:val="center"/>
          </w:tcPr>
          <w:p w14:paraId="5210A778">
            <w:pPr>
              <w:jc w:val="center"/>
              <w:rPr>
                <w:rFonts w:ascii="仿宋" w:hAnsi="仿宋" w:eastAsia="仿宋"/>
                <w:sz w:val="24"/>
                <w:szCs w:val="24"/>
              </w:rPr>
            </w:pPr>
            <w:r>
              <w:rPr>
                <w:rFonts w:hint="eastAsia" w:ascii="仿宋" w:hAnsi="仿宋" w:eastAsia="仿宋"/>
                <w:sz w:val="24"/>
                <w:szCs w:val="24"/>
              </w:rPr>
              <w:t>得分</w:t>
            </w:r>
          </w:p>
        </w:tc>
      </w:tr>
      <w:tr w14:paraId="2ACE52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8" w:type="pct"/>
          </w:tcPr>
          <w:p w14:paraId="2D4692A7">
            <w:pPr>
              <w:jc w:val="center"/>
              <w:rPr>
                <w:rFonts w:hint="eastAsia" w:ascii="仿宋" w:hAnsi="仿宋" w:eastAsia="仿宋"/>
                <w:sz w:val="24"/>
                <w:szCs w:val="24"/>
              </w:rPr>
            </w:pPr>
            <w:r>
              <w:rPr>
                <w:rFonts w:hint="eastAsia" w:ascii="仿宋" w:hAnsi="仿宋" w:eastAsia="仿宋"/>
                <w:sz w:val="24"/>
                <w:szCs w:val="24"/>
                <w:lang w:val="en-US" w:eastAsia="zh-CN"/>
              </w:rPr>
              <w:t>长乐区</w:t>
            </w:r>
            <w:r>
              <w:rPr>
                <w:rFonts w:hint="eastAsia" w:ascii="仿宋" w:hAnsi="仿宋" w:eastAsia="仿宋"/>
                <w:sz w:val="24"/>
                <w:szCs w:val="24"/>
              </w:rPr>
              <w:t>闽运公共交通</w:t>
            </w:r>
          </w:p>
          <w:p w14:paraId="13CBE119">
            <w:pPr>
              <w:jc w:val="center"/>
              <w:rPr>
                <w:rFonts w:ascii="仿宋" w:hAnsi="仿宋" w:eastAsia="仿宋"/>
                <w:sz w:val="24"/>
                <w:szCs w:val="24"/>
              </w:rPr>
            </w:pPr>
            <w:r>
              <w:rPr>
                <w:rFonts w:hint="eastAsia" w:ascii="仿宋" w:hAnsi="仿宋" w:eastAsia="仿宋"/>
                <w:sz w:val="24"/>
                <w:szCs w:val="24"/>
              </w:rPr>
              <w:t>有限公司</w:t>
            </w:r>
          </w:p>
        </w:tc>
        <w:tc>
          <w:tcPr>
            <w:tcW w:w="1031" w:type="pct"/>
            <w:vAlign w:val="center"/>
          </w:tcPr>
          <w:p w14:paraId="5AFC317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40</w:t>
            </w:r>
          </w:p>
        </w:tc>
        <w:tc>
          <w:tcPr>
            <w:tcW w:w="1114" w:type="pct"/>
            <w:vAlign w:val="center"/>
          </w:tcPr>
          <w:p w14:paraId="6B179573">
            <w:pPr>
              <w:jc w:val="center"/>
              <w:rPr>
                <w:rFonts w:hint="default" w:ascii="仿宋" w:hAnsi="仿宋" w:eastAsia="仿宋"/>
                <w:sz w:val="24"/>
                <w:szCs w:val="24"/>
                <w:lang w:val="en-US" w:eastAsia="zh-CN"/>
              </w:rPr>
            </w:pPr>
            <w:r>
              <w:rPr>
                <w:rFonts w:hint="eastAsia" w:ascii="仿宋" w:hAnsi="仿宋" w:eastAsia="仿宋"/>
                <w:sz w:val="24"/>
                <w:szCs w:val="24"/>
              </w:rPr>
              <w:t>12.</w:t>
            </w:r>
            <w:r>
              <w:rPr>
                <w:rFonts w:hint="eastAsia" w:ascii="仿宋" w:hAnsi="仿宋" w:eastAsia="仿宋"/>
                <w:sz w:val="24"/>
                <w:szCs w:val="24"/>
                <w:lang w:val="en-US" w:eastAsia="zh-CN"/>
              </w:rPr>
              <w:t>56</w:t>
            </w:r>
          </w:p>
        </w:tc>
        <w:tc>
          <w:tcPr>
            <w:tcW w:w="1200" w:type="pct"/>
            <w:tcBorders>
              <w:right w:val="single" w:color="auto" w:sz="4" w:space="0"/>
            </w:tcBorders>
            <w:vAlign w:val="center"/>
          </w:tcPr>
          <w:p w14:paraId="695AD71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3.18</w:t>
            </w:r>
          </w:p>
        </w:tc>
        <w:tc>
          <w:tcPr>
            <w:tcW w:w="715" w:type="pct"/>
            <w:tcBorders>
              <w:left w:val="single" w:color="auto" w:sz="4" w:space="0"/>
            </w:tcBorders>
            <w:vAlign w:val="center"/>
          </w:tcPr>
          <w:p w14:paraId="43EC967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r>
    </w:tbl>
    <w:p w14:paraId="6E2D1595">
      <w:pPr>
        <w:pStyle w:val="6"/>
        <w:ind w:firstLine="640"/>
        <w:rPr>
          <w:rFonts w:ascii="楷体" w:hAnsi="楷体" w:eastAsia="楷体" w:cs="Times New Roman"/>
          <w:sz w:val="32"/>
          <w:szCs w:val="32"/>
        </w:rPr>
      </w:pPr>
      <w:r>
        <w:rPr>
          <w:rFonts w:hint="eastAsia" w:ascii="楷体" w:hAnsi="楷体" w:eastAsia="楷体" w:cs="Times New Roman"/>
          <w:sz w:val="32"/>
          <w:szCs w:val="32"/>
        </w:rPr>
        <w:t>（四）违规通报占客运量比率（1</w:t>
      </w:r>
      <w:r>
        <w:rPr>
          <w:rFonts w:hint="eastAsia" w:ascii="楷体" w:hAnsi="楷体" w:eastAsia="楷体" w:cs="Times New Roman"/>
          <w:sz w:val="32"/>
          <w:szCs w:val="32"/>
          <w:lang w:val="en-US" w:eastAsia="zh-CN"/>
        </w:rPr>
        <w:t>0</w:t>
      </w:r>
      <w:r>
        <w:rPr>
          <w:rFonts w:hint="eastAsia" w:ascii="楷体" w:hAnsi="楷体" w:eastAsia="楷体" w:cs="Times New Roman"/>
          <w:sz w:val="32"/>
          <w:szCs w:val="32"/>
        </w:rPr>
        <w:t>分）</w:t>
      </w:r>
    </w:p>
    <w:p w14:paraId="20A98680">
      <w:pPr>
        <w:ind w:firstLine="640" w:firstLineChars="200"/>
        <w:rPr>
          <w:rFonts w:ascii="仿宋" w:hAnsi="仿宋" w:eastAsia="仿宋" w:cs="宋体"/>
          <w:color w:val="000000"/>
          <w:kern w:val="0"/>
          <w:sz w:val="32"/>
          <w:szCs w:val="32"/>
        </w:rPr>
      </w:pPr>
      <w:r>
        <w:rPr>
          <w:rFonts w:hint="eastAsia" w:ascii="仿宋" w:hAnsi="仿宋" w:eastAsia="仿宋"/>
          <w:sz w:val="32"/>
          <w:szCs w:val="32"/>
        </w:rPr>
        <w:t>1、考核标准：</w:t>
      </w:r>
      <w:r>
        <w:rPr>
          <w:rFonts w:hint="eastAsia" w:ascii="仿宋" w:hAnsi="仿宋" w:eastAsia="仿宋" w:cs="宋体"/>
          <w:color w:val="000000"/>
          <w:kern w:val="0"/>
          <w:sz w:val="32"/>
          <w:szCs w:val="32"/>
        </w:rPr>
        <w:t>公交企业正常运营服务，不文明行车、等违规现象被行业主管部门通报次数占客运量比率低于2次/百万人次。违规通报占客运量比率低于2次/百万人次的得</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分，高于2次/百万人次的，每高0.1次/百万人次扣</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分，扣完为止。</w:t>
      </w:r>
    </w:p>
    <w:p w14:paraId="45B2B152">
      <w:pPr>
        <w:pStyle w:val="6"/>
        <w:ind w:firstLine="64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、得分情况：公交企业考核分数如下表所示：</w:t>
      </w:r>
    </w:p>
    <w:tbl>
      <w:tblPr>
        <w:tblStyle w:val="4"/>
        <w:tblW w:w="4852"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2"/>
        <w:gridCol w:w="1706"/>
        <w:gridCol w:w="1843"/>
        <w:gridCol w:w="1986"/>
        <w:gridCol w:w="1183"/>
      </w:tblGrid>
      <w:tr w14:paraId="31321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6" w:hRule="atLeast"/>
        </w:trPr>
        <w:tc>
          <w:tcPr>
            <w:tcW w:w="938" w:type="pct"/>
            <w:vAlign w:val="center"/>
          </w:tcPr>
          <w:p w14:paraId="42DE515E">
            <w:pPr>
              <w:jc w:val="center"/>
              <w:rPr>
                <w:rFonts w:ascii="仿宋" w:hAnsi="仿宋" w:eastAsia="仿宋"/>
                <w:sz w:val="24"/>
                <w:szCs w:val="24"/>
              </w:rPr>
            </w:pPr>
            <w:r>
              <w:rPr>
                <w:rFonts w:hint="eastAsia" w:ascii="仿宋" w:hAnsi="仿宋" w:eastAsia="仿宋"/>
                <w:sz w:val="24"/>
                <w:szCs w:val="24"/>
              </w:rPr>
              <w:t>公交企业</w:t>
            </w:r>
          </w:p>
        </w:tc>
        <w:tc>
          <w:tcPr>
            <w:tcW w:w="1031" w:type="pct"/>
            <w:vAlign w:val="center"/>
          </w:tcPr>
          <w:p w14:paraId="29BBD898">
            <w:pPr>
              <w:jc w:val="center"/>
              <w:rPr>
                <w:rFonts w:ascii="仿宋" w:hAnsi="仿宋" w:eastAsia="仿宋"/>
                <w:sz w:val="24"/>
                <w:szCs w:val="24"/>
              </w:rPr>
            </w:pPr>
            <w:r>
              <w:rPr>
                <w:rFonts w:hint="eastAsia" w:ascii="仿宋" w:hAnsi="仿宋" w:eastAsia="仿宋"/>
                <w:sz w:val="24"/>
                <w:szCs w:val="24"/>
              </w:rPr>
              <w:t>通报数（次）</w:t>
            </w:r>
          </w:p>
        </w:tc>
        <w:tc>
          <w:tcPr>
            <w:tcW w:w="1114" w:type="pct"/>
            <w:vAlign w:val="center"/>
          </w:tcPr>
          <w:p w14:paraId="6D0BD28F">
            <w:pPr>
              <w:jc w:val="center"/>
              <w:rPr>
                <w:rFonts w:ascii="仿宋" w:hAnsi="仿宋" w:eastAsia="仿宋"/>
                <w:sz w:val="24"/>
                <w:szCs w:val="24"/>
              </w:rPr>
            </w:pPr>
            <w:r>
              <w:rPr>
                <w:rFonts w:hint="eastAsia" w:ascii="仿宋" w:hAnsi="仿宋" w:eastAsia="仿宋"/>
                <w:sz w:val="24"/>
                <w:szCs w:val="24"/>
              </w:rPr>
              <w:t>客运量</w:t>
            </w:r>
          </w:p>
          <w:p w14:paraId="4A64C475">
            <w:pPr>
              <w:jc w:val="center"/>
              <w:rPr>
                <w:rFonts w:ascii="仿宋" w:hAnsi="仿宋" w:eastAsia="仿宋"/>
                <w:sz w:val="24"/>
                <w:szCs w:val="24"/>
              </w:rPr>
            </w:pPr>
            <w:r>
              <w:rPr>
                <w:rFonts w:hint="eastAsia" w:ascii="仿宋" w:hAnsi="仿宋" w:eastAsia="仿宋"/>
                <w:sz w:val="24"/>
                <w:szCs w:val="24"/>
              </w:rPr>
              <w:t>（百万人次）</w:t>
            </w:r>
          </w:p>
        </w:tc>
        <w:tc>
          <w:tcPr>
            <w:tcW w:w="1200" w:type="pct"/>
            <w:tcBorders>
              <w:right w:val="single" w:color="auto" w:sz="4" w:space="0"/>
            </w:tcBorders>
            <w:vAlign w:val="center"/>
          </w:tcPr>
          <w:p w14:paraId="1C1815AF">
            <w:pPr>
              <w:jc w:val="center"/>
              <w:rPr>
                <w:rFonts w:ascii="仿宋" w:hAnsi="仿宋" w:eastAsia="仿宋"/>
                <w:sz w:val="24"/>
                <w:szCs w:val="24"/>
              </w:rPr>
            </w:pPr>
            <w:r>
              <w:rPr>
                <w:rFonts w:hint="eastAsia" w:ascii="仿宋" w:hAnsi="仿宋" w:eastAsia="仿宋"/>
                <w:sz w:val="24"/>
                <w:szCs w:val="24"/>
              </w:rPr>
              <w:t>通报</w:t>
            </w:r>
            <w:r>
              <w:rPr>
                <w:rFonts w:hint="eastAsia" w:ascii="仿宋" w:hAnsi="仿宋" w:eastAsia="仿宋" w:cs="宋体"/>
                <w:color w:val="000000"/>
                <w:kern w:val="0"/>
                <w:sz w:val="24"/>
                <w:szCs w:val="24"/>
              </w:rPr>
              <w:t>数占客运量比率</w:t>
            </w:r>
            <w:r>
              <w:rPr>
                <w:rFonts w:hint="eastAsia" w:ascii="仿宋" w:hAnsi="仿宋" w:eastAsia="仿宋"/>
                <w:sz w:val="24"/>
                <w:szCs w:val="24"/>
              </w:rPr>
              <w:t>（次/百万人次）</w:t>
            </w:r>
          </w:p>
        </w:tc>
        <w:tc>
          <w:tcPr>
            <w:tcW w:w="715" w:type="pct"/>
            <w:tcBorders>
              <w:left w:val="single" w:color="auto" w:sz="4" w:space="0"/>
            </w:tcBorders>
            <w:vAlign w:val="center"/>
          </w:tcPr>
          <w:p w14:paraId="508855CA">
            <w:pPr>
              <w:jc w:val="center"/>
              <w:rPr>
                <w:rFonts w:ascii="仿宋" w:hAnsi="仿宋" w:eastAsia="仿宋"/>
                <w:sz w:val="24"/>
                <w:szCs w:val="24"/>
              </w:rPr>
            </w:pPr>
            <w:r>
              <w:rPr>
                <w:rFonts w:hint="eastAsia" w:ascii="仿宋" w:hAnsi="仿宋" w:eastAsia="仿宋"/>
                <w:sz w:val="24"/>
                <w:szCs w:val="24"/>
              </w:rPr>
              <w:t>得分</w:t>
            </w:r>
          </w:p>
        </w:tc>
      </w:tr>
      <w:tr w14:paraId="6CBA80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8" w:type="pct"/>
          </w:tcPr>
          <w:p w14:paraId="44D6F1D7">
            <w:pPr>
              <w:jc w:val="center"/>
              <w:rPr>
                <w:rFonts w:hint="eastAsia" w:ascii="仿宋" w:hAnsi="仿宋" w:eastAsia="仿宋"/>
                <w:sz w:val="24"/>
                <w:szCs w:val="24"/>
              </w:rPr>
            </w:pPr>
            <w:r>
              <w:rPr>
                <w:rFonts w:hint="eastAsia" w:ascii="仿宋" w:hAnsi="仿宋" w:eastAsia="仿宋"/>
                <w:sz w:val="24"/>
                <w:szCs w:val="24"/>
                <w:lang w:val="en-US" w:eastAsia="zh-CN"/>
              </w:rPr>
              <w:t>长乐区</w:t>
            </w:r>
            <w:r>
              <w:rPr>
                <w:rFonts w:hint="eastAsia" w:ascii="仿宋" w:hAnsi="仿宋" w:eastAsia="仿宋"/>
                <w:sz w:val="24"/>
                <w:szCs w:val="24"/>
              </w:rPr>
              <w:t>闽运公共交通</w:t>
            </w:r>
          </w:p>
          <w:p w14:paraId="40A0D1F2">
            <w:pPr>
              <w:jc w:val="center"/>
              <w:rPr>
                <w:rFonts w:ascii="仿宋" w:hAnsi="仿宋" w:eastAsia="仿宋"/>
                <w:sz w:val="24"/>
                <w:szCs w:val="24"/>
              </w:rPr>
            </w:pPr>
            <w:r>
              <w:rPr>
                <w:rFonts w:hint="eastAsia" w:ascii="仿宋" w:hAnsi="仿宋" w:eastAsia="仿宋"/>
                <w:sz w:val="24"/>
                <w:szCs w:val="24"/>
              </w:rPr>
              <w:t>有限公司</w:t>
            </w:r>
          </w:p>
        </w:tc>
        <w:tc>
          <w:tcPr>
            <w:tcW w:w="1031" w:type="pct"/>
            <w:vAlign w:val="center"/>
          </w:tcPr>
          <w:p w14:paraId="59A882ED">
            <w:pPr>
              <w:jc w:val="center"/>
              <w:rPr>
                <w:rFonts w:hint="eastAsia" w:ascii="仿宋" w:hAnsi="仿宋" w:eastAsia="仿宋"/>
                <w:color w:val="FF0000"/>
                <w:sz w:val="24"/>
                <w:szCs w:val="24"/>
                <w:lang w:eastAsia="zh-CN"/>
              </w:rPr>
            </w:pPr>
            <w:r>
              <w:rPr>
                <w:rFonts w:hint="eastAsia" w:ascii="仿宋" w:hAnsi="仿宋" w:eastAsia="仿宋"/>
                <w:sz w:val="24"/>
                <w:szCs w:val="24"/>
                <w:lang w:val="en-US" w:eastAsia="zh-CN"/>
              </w:rPr>
              <w:t>2</w:t>
            </w:r>
          </w:p>
        </w:tc>
        <w:tc>
          <w:tcPr>
            <w:tcW w:w="1114" w:type="pct"/>
            <w:vAlign w:val="center"/>
          </w:tcPr>
          <w:p w14:paraId="410FCD0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12.56</w:t>
            </w:r>
          </w:p>
        </w:tc>
        <w:tc>
          <w:tcPr>
            <w:tcW w:w="1200" w:type="pct"/>
            <w:tcBorders>
              <w:right w:val="single" w:color="auto" w:sz="4" w:space="0"/>
            </w:tcBorders>
            <w:vAlign w:val="center"/>
          </w:tcPr>
          <w:p w14:paraId="707F1454">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0.16</w:t>
            </w:r>
          </w:p>
        </w:tc>
        <w:tc>
          <w:tcPr>
            <w:tcW w:w="715" w:type="pct"/>
            <w:tcBorders>
              <w:left w:val="single" w:color="auto" w:sz="4" w:space="0"/>
            </w:tcBorders>
            <w:vAlign w:val="center"/>
          </w:tcPr>
          <w:p w14:paraId="4182C95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r>
    </w:tbl>
    <w:p w14:paraId="561B538D">
      <w:pPr>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（五）交通运输保障任务完成情况（</w:t>
      </w:r>
      <w:r>
        <w:rPr>
          <w:rFonts w:hint="eastAsia" w:ascii="楷体" w:hAnsi="楷体" w:eastAsia="楷体" w:cs="Times New Roman"/>
          <w:sz w:val="32"/>
          <w:szCs w:val="32"/>
          <w:lang w:val="en-US" w:eastAsia="zh-CN"/>
        </w:rPr>
        <w:t>5</w:t>
      </w:r>
      <w:r>
        <w:rPr>
          <w:rFonts w:hint="eastAsia" w:ascii="楷体" w:hAnsi="楷体" w:eastAsia="楷体" w:cs="Times New Roman"/>
          <w:sz w:val="32"/>
          <w:szCs w:val="32"/>
        </w:rPr>
        <w:t>分）</w:t>
      </w:r>
    </w:p>
    <w:p w14:paraId="2E2DD5A6">
      <w:pPr>
        <w:ind w:firstLine="640" w:firstLineChars="200"/>
        <w:jc w:val="left"/>
        <w:rPr>
          <w:rFonts w:ascii="仿宋" w:hAnsi="仿宋" w:eastAsia="仿宋"/>
          <w:sz w:val="32"/>
          <w:szCs w:val="32"/>
        </w:rPr>
      </w:pPr>
      <w:r>
        <w:rPr>
          <w:rFonts w:hint="eastAsia" w:ascii="仿宋" w:hAnsi="仿宋" w:eastAsia="仿宋"/>
          <w:sz w:val="32"/>
          <w:szCs w:val="32"/>
        </w:rPr>
        <w:t>1、考核标准：按照各种活动的交通运输保障方案，完成交通运输保障工作。未按照要求开展运输保障工作的，被行业部门下发通报、整改和约谈的出现一次扣</w:t>
      </w:r>
      <w:r>
        <w:rPr>
          <w:rFonts w:hint="eastAsia" w:ascii="仿宋" w:hAnsi="仿宋" w:eastAsia="仿宋"/>
          <w:sz w:val="32"/>
          <w:szCs w:val="32"/>
          <w:lang w:val="en-US" w:eastAsia="zh-CN"/>
        </w:rPr>
        <w:t>1</w:t>
      </w:r>
      <w:r>
        <w:rPr>
          <w:rFonts w:hint="eastAsia" w:ascii="仿宋" w:hAnsi="仿宋" w:eastAsia="仿宋"/>
          <w:sz w:val="32"/>
          <w:szCs w:val="32"/>
        </w:rPr>
        <w:t>分，扣完为止。</w:t>
      </w:r>
    </w:p>
    <w:p w14:paraId="0A455E82">
      <w:pPr>
        <w:pStyle w:val="6"/>
        <w:ind w:firstLine="64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、得分情况：</w:t>
      </w:r>
      <w:r>
        <w:rPr>
          <w:rFonts w:hint="eastAsia" w:ascii="仿宋" w:hAnsi="仿宋" w:eastAsia="仿宋"/>
          <w:sz w:val="32"/>
          <w:szCs w:val="32"/>
          <w:lang w:val="en-US" w:eastAsia="zh-CN"/>
        </w:rPr>
        <w:t>长乐区</w:t>
      </w:r>
      <w:r>
        <w:rPr>
          <w:rFonts w:hint="eastAsia" w:ascii="仿宋" w:hAnsi="仿宋" w:eastAsia="仿宋"/>
          <w:sz w:val="32"/>
          <w:szCs w:val="32"/>
        </w:rPr>
        <w:t>闽运公共交通有限公司企业得</w:t>
      </w:r>
      <w:r>
        <w:rPr>
          <w:rFonts w:hint="eastAsia" w:ascii="仿宋" w:hAnsi="仿宋" w:eastAsia="仿宋"/>
          <w:sz w:val="32"/>
          <w:szCs w:val="32"/>
          <w:lang w:val="en-US" w:eastAsia="zh-CN"/>
        </w:rPr>
        <w:t>5</w:t>
      </w:r>
      <w:r>
        <w:rPr>
          <w:rFonts w:hint="eastAsia" w:ascii="仿宋" w:hAnsi="仿宋" w:eastAsia="仿宋"/>
          <w:sz w:val="32"/>
          <w:szCs w:val="32"/>
        </w:rPr>
        <w:t>分。</w:t>
      </w:r>
    </w:p>
    <w:p w14:paraId="1BD52B44">
      <w:pPr>
        <w:ind w:firstLine="480" w:firstLineChars="150"/>
        <w:jc w:val="left"/>
        <w:rPr>
          <w:rFonts w:ascii="楷体" w:hAnsi="楷体" w:eastAsia="楷体" w:cs="宋体"/>
          <w:color w:val="000000"/>
          <w:kern w:val="0"/>
          <w:sz w:val="32"/>
          <w:szCs w:val="32"/>
        </w:rPr>
      </w:pPr>
      <w:r>
        <w:rPr>
          <w:rFonts w:hint="eastAsia" w:ascii="楷体" w:hAnsi="楷体" w:eastAsia="楷体" w:cs="宋体"/>
          <w:color w:val="000000"/>
          <w:kern w:val="0"/>
          <w:sz w:val="32"/>
          <w:szCs w:val="32"/>
        </w:rPr>
        <w:t>（六）行业管理要求执行情况（1</w:t>
      </w:r>
      <w:r>
        <w:rPr>
          <w:rFonts w:hint="eastAsia" w:ascii="楷体" w:hAnsi="楷体" w:eastAsia="楷体" w:cs="宋体"/>
          <w:color w:val="000000"/>
          <w:kern w:val="0"/>
          <w:sz w:val="32"/>
          <w:szCs w:val="32"/>
          <w:lang w:val="en-US" w:eastAsia="zh-CN"/>
        </w:rPr>
        <w:t>0</w:t>
      </w:r>
      <w:r>
        <w:rPr>
          <w:rFonts w:hint="eastAsia" w:ascii="楷体" w:hAnsi="楷体" w:eastAsia="楷体" w:cs="宋体"/>
          <w:color w:val="000000"/>
          <w:kern w:val="0"/>
          <w:sz w:val="32"/>
          <w:szCs w:val="32"/>
        </w:rPr>
        <w:t>分）</w:t>
      </w:r>
    </w:p>
    <w:p w14:paraId="13C3AB2A">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1、考核标准：按照行业管理要求落实具体工作</w:t>
      </w:r>
      <w:r>
        <w:rPr>
          <w:rFonts w:hint="eastAsia" w:ascii="仿宋" w:hAnsi="仿宋" w:eastAsia="仿宋"/>
          <w:sz w:val="32"/>
          <w:szCs w:val="32"/>
          <w:lang w:eastAsia="zh-CN"/>
        </w:rPr>
        <w:t>。未按照行业管理要求执行被行业部门下发通报、整改和约谈的，出现一次扣</w:t>
      </w:r>
      <w:r>
        <w:rPr>
          <w:rFonts w:hint="eastAsia" w:ascii="仿宋" w:hAnsi="仿宋" w:eastAsia="仿宋"/>
          <w:sz w:val="32"/>
          <w:szCs w:val="32"/>
          <w:lang w:val="en-US" w:eastAsia="zh-CN"/>
        </w:rPr>
        <w:t>2</w:t>
      </w:r>
      <w:r>
        <w:rPr>
          <w:rFonts w:hint="eastAsia" w:ascii="仿宋" w:hAnsi="仿宋" w:eastAsia="仿宋"/>
          <w:sz w:val="32"/>
          <w:szCs w:val="32"/>
          <w:lang w:eastAsia="zh-CN"/>
        </w:rPr>
        <w:t>分，扣完为止。</w:t>
      </w:r>
    </w:p>
    <w:p w14:paraId="70769E68">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、得分情况：公交企业考核分数如下表所示：</w:t>
      </w:r>
      <w:bookmarkStart w:id="0" w:name="_GoBack"/>
      <w:bookmarkEnd w:id="0"/>
    </w:p>
    <w:tbl>
      <w:tblPr>
        <w:tblStyle w:val="4"/>
        <w:tblW w:w="4429"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4"/>
        <w:gridCol w:w="2574"/>
        <w:gridCol w:w="1751"/>
        <w:gridCol w:w="1680"/>
      </w:tblGrid>
      <w:tr w14:paraId="010DBB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6" w:hRule="atLeast"/>
        </w:trPr>
        <w:tc>
          <w:tcPr>
            <w:tcW w:w="1023" w:type="pct"/>
            <w:vAlign w:val="center"/>
          </w:tcPr>
          <w:p w14:paraId="3FEF56F9">
            <w:pPr>
              <w:jc w:val="center"/>
              <w:rPr>
                <w:rFonts w:ascii="仿宋" w:hAnsi="仿宋" w:eastAsia="仿宋"/>
                <w:sz w:val="24"/>
                <w:szCs w:val="24"/>
              </w:rPr>
            </w:pPr>
            <w:r>
              <w:rPr>
                <w:rFonts w:hint="eastAsia" w:ascii="仿宋" w:hAnsi="仿宋" w:eastAsia="仿宋"/>
                <w:sz w:val="24"/>
                <w:szCs w:val="24"/>
              </w:rPr>
              <w:t>公交企业</w:t>
            </w:r>
          </w:p>
        </w:tc>
        <w:tc>
          <w:tcPr>
            <w:tcW w:w="1704" w:type="pct"/>
            <w:vAlign w:val="center"/>
          </w:tcPr>
          <w:p w14:paraId="779A033A">
            <w:pPr>
              <w:jc w:val="center"/>
              <w:rPr>
                <w:rFonts w:ascii="仿宋" w:hAnsi="仿宋" w:eastAsia="仿宋"/>
                <w:sz w:val="24"/>
                <w:szCs w:val="24"/>
              </w:rPr>
            </w:pPr>
            <w:r>
              <w:rPr>
                <w:rFonts w:hint="eastAsia" w:ascii="仿宋" w:hAnsi="仿宋" w:eastAsia="仿宋"/>
                <w:sz w:val="24"/>
                <w:szCs w:val="24"/>
              </w:rPr>
              <w:t>执行不到位次数</w:t>
            </w:r>
          </w:p>
        </w:tc>
        <w:tc>
          <w:tcPr>
            <w:tcW w:w="1159" w:type="pct"/>
            <w:tcBorders>
              <w:right w:val="single" w:color="auto" w:sz="4" w:space="0"/>
            </w:tcBorders>
            <w:vAlign w:val="center"/>
          </w:tcPr>
          <w:p w14:paraId="37AE360E">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扣分</w:t>
            </w:r>
          </w:p>
        </w:tc>
        <w:tc>
          <w:tcPr>
            <w:tcW w:w="1112" w:type="pct"/>
            <w:tcBorders>
              <w:left w:val="single" w:color="auto" w:sz="4" w:space="0"/>
            </w:tcBorders>
            <w:vAlign w:val="center"/>
          </w:tcPr>
          <w:p w14:paraId="33BC118F">
            <w:pPr>
              <w:jc w:val="center"/>
              <w:rPr>
                <w:rFonts w:ascii="仿宋" w:hAnsi="仿宋" w:eastAsia="仿宋"/>
                <w:sz w:val="24"/>
                <w:szCs w:val="24"/>
              </w:rPr>
            </w:pPr>
            <w:r>
              <w:rPr>
                <w:rFonts w:hint="eastAsia" w:ascii="仿宋" w:hAnsi="仿宋" w:eastAsia="仿宋"/>
                <w:sz w:val="24"/>
                <w:szCs w:val="24"/>
              </w:rPr>
              <w:t>得分</w:t>
            </w:r>
          </w:p>
        </w:tc>
      </w:tr>
      <w:tr w14:paraId="03109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3" w:type="pct"/>
          </w:tcPr>
          <w:p w14:paraId="7C60518F">
            <w:pPr>
              <w:jc w:val="center"/>
              <w:rPr>
                <w:rFonts w:hint="eastAsia" w:ascii="仿宋" w:hAnsi="仿宋" w:eastAsia="仿宋"/>
                <w:sz w:val="24"/>
                <w:szCs w:val="24"/>
              </w:rPr>
            </w:pPr>
            <w:r>
              <w:rPr>
                <w:rFonts w:hint="eastAsia" w:ascii="仿宋" w:hAnsi="仿宋" w:eastAsia="仿宋"/>
                <w:sz w:val="24"/>
                <w:szCs w:val="24"/>
                <w:lang w:val="en-US" w:eastAsia="zh-CN"/>
              </w:rPr>
              <w:t>长乐区</w:t>
            </w:r>
            <w:r>
              <w:rPr>
                <w:rFonts w:hint="eastAsia" w:ascii="仿宋" w:hAnsi="仿宋" w:eastAsia="仿宋"/>
                <w:sz w:val="24"/>
                <w:szCs w:val="24"/>
              </w:rPr>
              <w:t>闽运公共交通</w:t>
            </w:r>
          </w:p>
          <w:p w14:paraId="0A0B57BE">
            <w:pPr>
              <w:jc w:val="center"/>
              <w:rPr>
                <w:rFonts w:ascii="仿宋" w:hAnsi="仿宋" w:eastAsia="仿宋"/>
                <w:sz w:val="24"/>
                <w:szCs w:val="24"/>
              </w:rPr>
            </w:pPr>
            <w:r>
              <w:rPr>
                <w:rFonts w:hint="eastAsia" w:ascii="仿宋" w:hAnsi="仿宋" w:eastAsia="仿宋"/>
                <w:sz w:val="24"/>
                <w:szCs w:val="24"/>
              </w:rPr>
              <w:t>有限公司</w:t>
            </w:r>
          </w:p>
        </w:tc>
        <w:tc>
          <w:tcPr>
            <w:tcW w:w="1704" w:type="pct"/>
            <w:vAlign w:val="center"/>
          </w:tcPr>
          <w:p w14:paraId="604442B7">
            <w:pPr>
              <w:jc w:val="center"/>
              <w:rPr>
                <w:rFonts w:hint="eastAsia" w:ascii="仿宋" w:hAnsi="仿宋" w:eastAsia="仿宋"/>
                <w:color w:val="FF0000"/>
                <w:sz w:val="24"/>
                <w:szCs w:val="24"/>
                <w:lang w:eastAsia="zh-CN"/>
              </w:rPr>
            </w:pPr>
            <w:r>
              <w:rPr>
                <w:rFonts w:hint="eastAsia" w:ascii="仿宋" w:hAnsi="仿宋" w:eastAsia="仿宋"/>
                <w:sz w:val="24"/>
                <w:szCs w:val="24"/>
                <w:lang w:val="en-US" w:eastAsia="zh-CN"/>
              </w:rPr>
              <w:t>2</w:t>
            </w:r>
          </w:p>
        </w:tc>
        <w:tc>
          <w:tcPr>
            <w:tcW w:w="1159" w:type="pct"/>
            <w:tcBorders>
              <w:right w:val="single" w:color="auto" w:sz="4" w:space="0"/>
            </w:tcBorders>
            <w:vAlign w:val="center"/>
          </w:tcPr>
          <w:p w14:paraId="5C0C0F95">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1112" w:type="pct"/>
            <w:tcBorders>
              <w:left w:val="single" w:color="auto" w:sz="4" w:space="0"/>
            </w:tcBorders>
            <w:vAlign w:val="center"/>
          </w:tcPr>
          <w:p w14:paraId="42DC049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w:t>
            </w:r>
          </w:p>
        </w:tc>
      </w:tr>
    </w:tbl>
    <w:p w14:paraId="7C96D23C">
      <w:pPr>
        <w:ind w:firstLine="640" w:firstLineChars="200"/>
        <w:jc w:val="left"/>
        <w:rPr>
          <w:rFonts w:ascii="楷体" w:hAnsi="楷体" w:eastAsia="楷体" w:cs="宋体"/>
          <w:color w:val="000000"/>
          <w:kern w:val="0"/>
          <w:sz w:val="32"/>
          <w:szCs w:val="32"/>
        </w:rPr>
      </w:pPr>
      <w:r>
        <w:rPr>
          <w:rFonts w:hint="eastAsia" w:ascii="楷体" w:hAnsi="楷体" w:eastAsia="楷体" w:cs="宋体"/>
          <w:color w:val="000000"/>
          <w:kern w:val="0"/>
          <w:sz w:val="32"/>
          <w:szCs w:val="32"/>
        </w:rPr>
        <w:t>（七）</w:t>
      </w:r>
      <w:r>
        <w:rPr>
          <w:rFonts w:hint="eastAsia" w:ascii="楷体" w:hAnsi="楷体" w:eastAsia="楷体" w:cs="仿宋_GB2312"/>
          <w:sz w:val="32"/>
          <w:szCs w:val="32"/>
        </w:rPr>
        <w:t>计划运营里程完成率（</w:t>
      </w:r>
      <w:r>
        <w:rPr>
          <w:rFonts w:hint="eastAsia" w:ascii="楷体" w:hAnsi="楷体" w:eastAsia="楷体" w:cs="仿宋_GB2312"/>
          <w:sz w:val="32"/>
          <w:szCs w:val="32"/>
          <w:lang w:val="en-US" w:eastAsia="zh-CN"/>
        </w:rPr>
        <w:t>20</w:t>
      </w:r>
      <w:r>
        <w:rPr>
          <w:rFonts w:hint="eastAsia" w:ascii="楷体" w:hAnsi="楷体" w:eastAsia="楷体" w:cs="仿宋_GB2312"/>
          <w:sz w:val="32"/>
          <w:szCs w:val="32"/>
        </w:rPr>
        <w:t>分）</w:t>
      </w:r>
    </w:p>
    <w:p w14:paraId="3020C6B8">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1、考核标准：</w:t>
      </w:r>
      <w:r>
        <w:rPr>
          <w:rFonts w:hint="eastAsia" w:ascii="仿宋" w:hAnsi="仿宋" w:eastAsia="仿宋" w:cs="仿宋_GB2312"/>
          <w:sz w:val="32"/>
          <w:szCs w:val="32"/>
        </w:rPr>
        <w:t>计划运营里程完成率达到90%以上，且不超过计划值。计划运营里程完成率每低于90%一个百分点扣2分，扣完为止</w:t>
      </w:r>
      <w:r>
        <w:rPr>
          <w:rFonts w:hint="eastAsia" w:ascii="仿宋" w:hAnsi="仿宋" w:eastAsia="仿宋" w:cs="仿宋_GB2312"/>
          <w:sz w:val="32"/>
          <w:szCs w:val="32"/>
          <w:lang w:eastAsia="zh-CN"/>
        </w:rPr>
        <w:t>。</w:t>
      </w:r>
    </w:p>
    <w:p w14:paraId="50C536CE">
      <w:pPr>
        <w:ind w:firstLine="576" w:firstLineChars="18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、得分情况：公交企业考核分数如下表所示：</w:t>
      </w:r>
    </w:p>
    <w:tbl>
      <w:tblPr>
        <w:tblStyle w:val="4"/>
        <w:tblW w:w="4889" w:type="pct"/>
        <w:tblInd w:w="1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4"/>
        <w:gridCol w:w="1910"/>
        <w:gridCol w:w="1732"/>
        <w:gridCol w:w="1877"/>
        <w:gridCol w:w="1300"/>
      </w:tblGrid>
      <w:tr w14:paraId="19384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8" w:type="pct"/>
            <w:vAlign w:val="center"/>
          </w:tcPr>
          <w:p w14:paraId="528BE9D6">
            <w:pPr>
              <w:jc w:val="center"/>
              <w:rPr>
                <w:rFonts w:ascii="仿宋" w:hAnsi="仿宋" w:eastAsia="仿宋"/>
                <w:sz w:val="24"/>
                <w:szCs w:val="24"/>
              </w:rPr>
            </w:pPr>
            <w:r>
              <w:rPr>
                <w:rFonts w:hint="eastAsia" w:ascii="仿宋" w:hAnsi="仿宋" w:eastAsia="仿宋"/>
                <w:sz w:val="24"/>
                <w:szCs w:val="24"/>
              </w:rPr>
              <w:t>公交企业</w:t>
            </w:r>
          </w:p>
        </w:tc>
        <w:tc>
          <w:tcPr>
            <w:tcW w:w="1146" w:type="pct"/>
            <w:vAlign w:val="center"/>
          </w:tcPr>
          <w:p w14:paraId="14BA3E9A">
            <w:pPr>
              <w:jc w:val="center"/>
              <w:rPr>
                <w:rFonts w:ascii="仿宋" w:hAnsi="仿宋" w:eastAsia="仿宋"/>
                <w:sz w:val="24"/>
                <w:szCs w:val="24"/>
              </w:rPr>
            </w:pPr>
            <w:r>
              <w:rPr>
                <w:rFonts w:hint="eastAsia" w:ascii="仿宋" w:hAnsi="仿宋" w:eastAsia="仿宋"/>
                <w:sz w:val="24"/>
                <w:szCs w:val="24"/>
              </w:rPr>
              <w:t>实际值</w:t>
            </w:r>
          </w:p>
          <w:p w14:paraId="7DDA492B">
            <w:pPr>
              <w:jc w:val="center"/>
              <w:rPr>
                <w:rFonts w:ascii="仿宋" w:hAnsi="仿宋" w:eastAsia="仿宋"/>
                <w:sz w:val="24"/>
                <w:szCs w:val="24"/>
              </w:rPr>
            </w:pPr>
            <w:r>
              <w:rPr>
                <w:rFonts w:hint="eastAsia" w:ascii="仿宋" w:hAnsi="仿宋" w:eastAsia="仿宋"/>
                <w:sz w:val="24"/>
                <w:szCs w:val="24"/>
              </w:rPr>
              <w:t>（百万公里）</w:t>
            </w:r>
          </w:p>
        </w:tc>
        <w:tc>
          <w:tcPr>
            <w:tcW w:w="1039" w:type="pct"/>
            <w:vAlign w:val="center"/>
          </w:tcPr>
          <w:p w14:paraId="1FA0ACEF">
            <w:pPr>
              <w:jc w:val="center"/>
              <w:rPr>
                <w:rFonts w:ascii="仿宋" w:hAnsi="仿宋" w:eastAsia="仿宋"/>
                <w:sz w:val="24"/>
                <w:szCs w:val="24"/>
              </w:rPr>
            </w:pPr>
            <w:r>
              <w:rPr>
                <w:rFonts w:hint="eastAsia" w:ascii="仿宋" w:hAnsi="仿宋" w:eastAsia="仿宋"/>
                <w:sz w:val="24"/>
                <w:szCs w:val="24"/>
              </w:rPr>
              <w:t>计划值</w:t>
            </w:r>
          </w:p>
          <w:p w14:paraId="0CC013C4">
            <w:pPr>
              <w:rPr>
                <w:rFonts w:ascii="仿宋" w:hAnsi="仿宋" w:eastAsia="仿宋"/>
                <w:sz w:val="24"/>
                <w:szCs w:val="24"/>
              </w:rPr>
            </w:pPr>
            <w:r>
              <w:rPr>
                <w:rFonts w:hint="eastAsia" w:ascii="仿宋" w:hAnsi="仿宋" w:eastAsia="仿宋"/>
                <w:sz w:val="24"/>
                <w:szCs w:val="24"/>
              </w:rPr>
              <w:t>（百万公里）</w:t>
            </w:r>
          </w:p>
        </w:tc>
        <w:tc>
          <w:tcPr>
            <w:tcW w:w="1126" w:type="pct"/>
            <w:tcBorders>
              <w:right w:val="single" w:color="auto" w:sz="4" w:space="0"/>
            </w:tcBorders>
            <w:vAlign w:val="center"/>
          </w:tcPr>
          <w:p w14:paraId="36F3D01A">
            <w:pPr>
              <w:jc w:val="center"/>
              <w:rPr>
                <w:rFonts w:ascii="仿宋" w:hAnsi="仿宋" w:eastAsia="仿宋"/>
                <w:sz w:val="24"/>
                <w:szCs w:val="24"/>
              </w:rPr>
            </w:pPr>
            <w:r>
              <w:rPr>
                <w:rFonts w:hint="eastAsia" w:ascii="仿宋" w:hAnsi="仿宋" w:eastAsia="仿宋"/>
                <w:sz w:val="24"/>
                <w:szCs w:val="24"/>
              </w:rPr>
              <w:t>完成率</w:t>
            </w:r>
          </w:p>
          <w:p w14:paraId="347D974B">
            <w:pPr>
              <w:jc w:val="center"/>
              <w:rPr>
                <w:rFonts w:ascii="仿宋" w:hAnsi="仿宋" w:eastAsia="仿宋"/>
                <w:sz w:val="24"/>
                <w:szCs w:val="24"/>
              </w:rPr>
            </w:pPr>
            <w:r>
              <w:rPr>
                <w:rFonts w:hint="eastAsia" w:ascii="仿宋" w:hAnsi="仿宋" w:eastAsia="仿宋"/>
                <w:sz w:val="24"/>
                <w:szCs w:val="24"/>
              </w:rPr>
              <w:t>（%）</w:t>
            </w:r>
          </w:p>
        </w:tc>
        <w:tc>
          <w:tcPr>
            <w:tcW w:w="780" w:type="pct"/>
            <w:tcBorders>
              <w:left w:val="single" w:color="auto" w:sz="4" w:space="0"/>
            </w:tcBorders>
            <w:vAlign w:val="center"/>
          </w:tcPr>
          <w:p w14:paraId="66B213C4">
            <w:pPr>
              <w:jc w:val="center"/>
              <w:rPr>
                <w:rFonts w:ascii="仿宋" w:hAnsi="仿宋" w:eastAsia="仿宋"/>
                <w:sz w:val="24"/>
                <w:szCs w:val="24"/>
              </w:rPr>
            </w:pPr>
            <w:r>
              <w:rPr>
                <w:rFonts w:hint="eastAsia" w:ascii="仿宋" w:hAnsi="仿宋" w:eastAsia="仿宋"/>
                <w:sz w:val="24"/>
                <w:szCs w:val="24"/>
              </w:rPr>
              <w:t>得分</w:t>
            </w:r>
          </w:p>
        </w:tc>
      </w:tr>
      <w:tr w14:paraId="25679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8" w:type="pct"/>
            <w:vAlign w:val="center"/>
          </w:tcPr>
          <w:p w14:paraId="17EB8F9F">
            <w:pPr>
              <w:jc w:val="center"/>
              <w:rPr>
                <w:rFonts w:hint="eastAsia" w:ascii="仿宋" w:hAnsi="仿宋" w:eastAsia="仿宋"/>
                <w:sz w:val="24"/>
                <w:szCs w:val="24"/>
              </w:rPr>
            </w:pPr>
            <w:r>
              <w:rPr>
                <w:rFonts w:hint="eastAsia" w:ascii="仿宋" w:hAnsi="仿宋" w:eastAsia="仿宋"/>
                <w:sz w:val="24"/>
                <w:szCs w:val="24"/>
                <w:lang w:val="en-US" w:eastAsia="zh-CN"/>
              </w:rPr>
              <w:t>长乐区</w:t>
            </w:r>
            <w:r>
              <w:rPr>
                <w:rFonts w:hint="eastAsia" w:ascii="仿宋" w:hAnsi="仿宋" w:eastAsia="仿宋"/>
                <w:sz w:val="24"/>
                <w:szCs w:val="24"/>
              </w:rPr>
              <w:t>闽运公共交通</w:t>
            </w:r>
          </w:p>
          <w:p w14:paraId="3C880F51">
            <w:pPr>
              <w:jc w:val="center"/>
              <w:rPr>
                <w:rFonts w:ascii="仿宋" w:hAnsi="仿宋" w:eastAsia="仿宋"/>
                <w:sz w:val="24"/>
                <w:szCs w:val="24"/>
              </w:rPr>
            </w:pPr>
            <w:r>
              <w:rPr>
                <w:rFonts w:hint="eastAsia" w:ascii="仿宋" w:hAnsi="仿宋" w:eastAsia="仿宋"/>
                <w:sz w:val="24"/>
                <w:szCs w:val="24"/>
              </w:rPr>
              <w:t>有限公司</w:t>
            </w:r>
          </w:p>
        </w:tc>
        <w:tc>
          <w:tcPr>
            <w:tcW w:w="1146" w:type="pct"/>
            <w:vAlign w:val="center"/>
          </w:tcPr>
          <w:p w14:paraId="7D189AC0">
            <w:pPr>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12.39</w:t>
            </w:r>
          </w:p>
        </w:tc>
        <w:tc>
          <w:tcPr>
            <w:tcW w:w="1039" w:type="pct"/>
            <w:vAlign w:val="center"/>
          </w:tcPr>
          <w:p w14:paraId="15B2E440">
            <w:pPr>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11.71</w:t>
            </w:r>
          </w:p>
        </w:tc>
        <w:tc>
          <w:tcPr>
            <w:tcW w:w="1126" w:type="pct"/>
            <w:tcBorders>
              <w:right w:val="single" w:color="auto" w:sz="4" w:space="0"/>
            </w:tcBorders>
            <w:vAlign w:val="center"/>
          </w:tcPr>
          <w:p w14:paraId="72179538">
            <w:pPr>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105.81</w:t>
            </w:r>
          </w:p>
        </w:tc>
        <w:tc>
          <w:tcPr>
            <w:tcW w:w="780" w:type="pct"/>
            <w:tcBorders>
              <w:left w:val="single" w:color="auto" w:sz="4" w:space="0"/>
            </w:tcBorders>
            <w:vAlign w:val="center"/>
          </w:tcPr>
          <w:p w14:paraId="32DCBC85">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bl>
    <w:p w14:paraId="516E6409">
      <w:pPr>
        <w:ind w:firstLine="640" w:firstLineChars="200"/>
        <w:jc w:val="left"/>
        <w:rPr>
          <w:rFonts w:ascii="仿宋" w:hAnsi="仿宋" w:eastAsia="仿宋"/>
          <w:sz w:val="32"/>
          <w:szCs w:val="32"/>
        </w:rPr>
      </w:pPr>
      <w:r>
        <w:rPr>
          <w:rFonts w:hint="eastAsia" w:ascii="楷体" w:hAnsi="楷体" w:eastAsia="楷体" w:cs="仿宋_GB2312"/>
          <w:sz w:val="32"/>
          <w:szCs w:val="32"/>
        </w:rPr>
        <w:t>（</w:t>
      </w:r>
      <w:r>
        <w:rPr>
          <w:rFonts w:hint="eastAsia" w:ascii="楷体" w:hAnsi="楷体" w:eastAsia="楷体" w:cs="仿宋_GB2312"/>
          <w:sz w:val="32"/>
          <w:szCs w:val="32"/>
          <w:lang w:val="en-US" w:eastAsia="zh-CN"/>
        </w:rPr>
        <w:t>八</w:t>
      </w:r>
      <w:r>
        <w:rPr>
          <w:rFonts w:hint="eastAsia" w:ascii="楷体" w:hAnsi="楷体" w:eastAsia="楷体" w:cs="仿宋_GB2312"/>
          <w:sz w:val="32"/>
          <w:szCs w:val="32"/>
        </w:rPr>
        <w:t>）多元化经营收入（5分）</w:t>
      </w:r>
      <w:r>
        <w:rPr>
          <w:rFonts w:hint="eastAsia" w:ascii="仿宋" w:hAnsi="仿宋" w:eastAsia="仿宋"/>
          <w:sz w:val="32"/>
          <w:szCs w:val="32"/>
        </w:rPr>
        <w:t xml:space="preserve"> </w:t>
      </w:r>
    </w:p>
    <w:p w14:paraId="1D082D62">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1.考核标准：</w:t>
      </w:r>
      <w:r>
        <w:rPr>
          <w:rFonts w:hint="eastAsia" w:ascii="仿宋" w:hAnsi="仿宋" w:eastAsia="仿宋" w:cs="仿宋_GB2312"/>
          <w:sz w:val="32"/>
          <w:szCs w:val="32"/>
        </w:rPr>
        <w:t>广告、租赁、定制公交收入每年增长2%。增长超过2%得5分，未达到2%的每低一个百分点扣1分，扣完为止。</w:t>
      </w:r>
    </w:p>
    <w:p w14:paraId="4B6DADF7">
      <w:pPr>
        <w:pStyle w:val="6"/>
        <w:ind w:firstLine="640"/>
        <w:rPr>
          <w:rFonts w:ascii="仿宋" w:hAnsi="仿宋" w:eastAsia="仿宋"/>
          <w:sz w:val="32"/>
          <w:szCs w:val="32"/>
        </w:rPr>
      </w:pPr>
      <w:r>
        <w:rPr>
          <w:rFonts w:hint="eastAsia" w:ascii="仿宋" w:hAnsi="仿宋" w:eastAsia="仿宋"/>
          <w:sz w:val="32"/>
          <w:szCs w:val="32"/>
        </w:rPr>
        <w:t>2.得分情况：公交企业考核分数如下表所示：</w:t>
      </w:r>
    </w:p>
    <w:tbl>
      <w:tblPr>
        <w:tblStyle w:val="4"/>
        <w:tblpPr w:leftFromText="180" w:rightFromText="180" w:vertAnchor="text" w:horzAnchor="page" w:tblpXSpec="center" w:tblpY="428"/>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34"/>
        <w:gridCol w:w="1907"/>
        <w:gridCol w:w="1907"/>
        <w:gridCol w:w="1560"/>
        <w:gridCol w:w="1209"/>
      </w:tblGrid>
      <w:tr w14:paraId="4A4C5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pct"/>
            <w:vAlign w:val="center"/>
          </w:tcPr>
          <w:p w14:paraId="118A3756">
            <w:pPr>
              <w:jc w:val="center"/>
              <w:rPr>
                <w:rFonts w:ascii="仿宋" w:hAnsi="仿宋" w:eastAsia="仿宋"/>
                <w:sz w:val="24"/>
                <w:szCs w:val="24"/>
              </w:rPr>
            </w:pPr>
            <w:r>
              <w:rPr>
                <w:rFonts w:hint="eastAsia" w:ascii="仿宋" w:hAnsi="仿宋" w:eastAsia="仿宋"/>
                <w:sz w:val="24"/>
                <w:szCs w:val="24"/>
              </w:rPr>
              <w:t>公交企业</w:t>
            </w:r>
          </w:p>
        </w:tc>
        <w:tc>
          <w:tcPr>
            <w:tcW w:w="1119" w:type="pct"/>
            <w:tcBorders>
              <w:right w:val="single" w:color="auto" w:sz="4" w:space="0"/>
            </w:tcBorders>
            <w:vAlign w:val="center"/>
          </w:tcPr>
          <w:p w14:paraId="7B9D3CBC">
            <w:pPr>
              <w:widowControl/>
              <w:jc w:val="center"/>
              <w:rPr>
                <w:rFonts w:hint="eastAsia"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4</w:t>
            </w:r>
            <w:r>
              <w:rPr>
                <w:rFonts w:hint="eastAsia" w:ascii="仿宋" w:hAnsi="仿宋" w:eastAsia="仿宋"/>
                <w:sz w:val="24"/>
                <w:szCs w:val="24"/>
              </w:rPr>
              <w:t>年收入</w:t>
            </w:r>
          </w:p>
          <w:p w14:paraId="72E49351">
            <w:pPr>
              <w:widowControl/>
              <w:jc w:val="center"/>
              <w:rPr>
                <w:rFonts w:hint="eastAsia" w:ascii="仿宋" w:hAnsi="仿宋" w:eastAsia="仿宋"/>
                <w:sz w:val="24"/>
                <w:szCs w:val="24"/>
              </w:rPr>
            </w:pPr>
            <w:r>
              <w:rPr>
                <w:rFonts w:hint="eastAsia" w:ascii="仿宋" w:hAnsi="仿宋" w:eastAsia="仿宋"/>
                <w:sz w:val="24"/>
                <w:szCs w:val="24"/>
              </w:rPr>
              <w:t>（万元）</w:t>
            </w:r>
          </w:p>
        </w:tc>
        <w:tc>
          <w:tcPr>
            <w:tcW w:w="1119" w:type="pct"/>
            <w:tcBorders>
              <w:right w:val="single" w:color="auto" w:sz="4" w:space="0"/>
            </w:tcBorders>
            <w:vAlign w:val="center"/>
          </w:tcPr>
          <w:p w14:paraId="276DDD22">
            <w:pPr>
              <w:widowControl/>
              <w:jc w:val="center"/>
              <w:rPr>
                <w:rFonts w:hint="eastAsia" w:ascii="仿宋" w:hAnsi="仿宋" w:eastAsia="仿宋"/>
                <w:sz w:val="24"/>
                <w:szCs w:val="24"/>
              </w:rPr>
            </w:pPr>
            <w:r>
              <w:rPr>
                <w:rFonts w:hint="eastAsia" w:ascii="仿宋" w:hAnsi="仿宋" w:eastAsia="仿宋"/>
                <w:sz w:val="24"/>
                <w:szCs w:val="24"/>
              </w:rPr>
              <w:t>2025年收入</w:t>
            </w:r>
          </w:p>
          <w:p w14:paraId="0009BFA5">
            <w:pPr>
              <w:widowControl/>
              <w:jc w:val="center"/>
              <w:rPr>
                <w:rFonts w:ascii="仿宋" w:hAnsi="仿宋" w:eastAsia="仿宋"/>
                <w:sz w:val="24"/>
                <w:szCs w:val="24"/>
              </w:rPr>
            </w:pPr>
            <w:r>
              <w:rPr>
                <w:rFonts w:hint="eastAsia" w:ascii="仿宋" w:hAnsi="仿宋" w:eastAsia="仿宋"/>
                <w:sz w:val="24"/>
                <w:szCs w:val="24"/>
              </w:rPr>
              <w:t>（万元）</w:t>
            </w:r>
          </w:p>
        </w:tc>
        <w:tc>
          <w:tcPr>
            <w:tcW w:w="915" w:type="pct"/>
            <w:tcBorders>
              <w:left w:val="single" w:color="auto" w:sz="4" w:space="0"/>
              <w:right w:val="single" w:color="auto" w:sz="4" w:space="0"/>
            </w:tcBorders>
            <w:vAlign w:val="center"/>
          </w:tcPr>
          <w:p w14:paraId="7077B201">
            <w:pPr>
              <w:jc w:val="center"/>
              <w:rPr>
                <w:rFonts w:ascii="仿宋" w:hAnsi="仿宋" w:eastAsia="仿宋"/>
                <w:sz w:val="24"/>
                <w:szCs w:val="24"/>
              </w:rPr>
            </w:pPr>
            <w:r>
              <w:rPr>
                <w:rFonts w:hint="eastAsia" w:ascii="仿宋" w:hAnsi="仿宋" w:eastAsia="仿宋"/>
                <w:sz w:val="24"/>
                <w:szCs w:val="24"/>
              </w:rPr>
              <w:t>同比提高（%）</w:t>
            </w:r>
          </w:p>
        </w:tc>
        <w:tc>
          <w:tcPr>
            <w:tcW w:w="709" w:type="pct"/>
            <w:tcBorders>
              <w:left w:val="single" w:color="auto" w:sz="4" w:space="0"/>
            </w:tcBorders>
            <w:vAlign w:val="center"/>
          </w:tcPr>
          <w:p w14:paraId="60102F32">
            <w:pPr>
              <w:jc w:val="center"/>
              <w:rPr>
                <w:rFonts w:ascii="仿宋" w:hAnsi="仿宋" w:eastAsia="仿宋"/>
                <w:sz w:val="24"/>
                <w:szCs w:val="24"/>
              </w:rPr>
            </w:pPr>
            <w:r>
              <w:rPr>
                <w:rFonts w:hint="eastAsia" w:ascii="仿宋" w:hAnsi="仿宋" w:eastAsia="仿宋"/>
                <w:sz w:val="24"/>
                <w:szCs w:val="24"/>
              </w:rPr>
              <w:t>得分</w:t>
            </w:r>
          </w:p>
        </w:tc>
      </w:tr>
      <w:tr w14:paraId="65A10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pct"/>
            <w:vAlign w:val="center"/>
          </w:tcPr>
          <w:p w14:paraId="49FE483D">
            <w:pPr>
              <w:jc w:val="center"/>
              <w:rPr>
                <w:rFonts w:hint="eastAsia" w:ascii="仿宋" w:hAnsi="仿宋" w:eastAsia="仿宋"/>
                <w:sz w:val="24"/>
                <w:szCs w:val="24"/>
              </w:rPr>
            </w:pPr>
            <w:r>
              <w:rPr>
                <w:rFonts w:hint="eastAsia" w:ascii="仿宋" w:hAnsi="仿宋" w:eastAsia="仿宋"/>
                <w:sz w:val="24"/>
                <w:szCs w:val="24"/>
                <w:lang w:val="en-US" w:eastAsia="zh-CN"/>
              </w:rPr>
              <w:t>长乐区</w:t>
            </w:r>
            <w:r>
              <w:rPr>
                <w:rFonts w:hint="eastAsia" w:ascii="仿宋" w:hAnsi="仿宋" w:eastAsia="仿宋"/>
                <w:sz w:val="24"/>
                <w:szCs w:val="24"/>
              </w:rPr>
              <w:t>闽运</w:t>
            </w:r>
          </w:p>
          <w:p w14:paraId="759A6734">
            <w:pPr>
              <w:jc w:val="center"/>
              <w:rPr>
                <w:rFonts w:hint="eastAsia" w:ascii="仿宋" w:hAnsi="仿宋" w:eastAsia="仿宋"/>
                <w:sz w:val="24"/>
                <w:szCs w:val="24"/>
              </w:rPr>
            </w:pPr>
            <w:r>
              <w:rPr>
                <w:rFonts w:hint="eastAsia" w:ascii="仿宋" w:hAnsi="仿宋" w:eastAsia="仿宋"/>
                <w:sz w:val="24"/>
                <w:szCs w:val="24"/>
              </w:rPr>
              <w:t>公共交通</w:t>
            </w:r>
          </w:p>
          <w:p w14:paraId="7082D4B3">
            <w:pPr>
              <w:jc w:val="center"/>
              <w:rPr>
                <w:rFonts w:ascii="仿宋" w:hAnsi="仿宋" w:eastAsia="仿宋"/>
                <w:sz w:val="24"/>
                <w:szCs w:val="24"/>
              </w:rPr>
            </w:pPr>
            <w:r>
              <w:rPr>
                <w:rFonts w:hint="eastAsia" w:ascii="仿宋" w:hAnsi="仿宋" w:eastAsia="仿宋"/>
                <w:sz w:val="24"/>
                <w:szCs w:val="24"/>
              </w:rPr>
              <w:t>有限公司</w:t>
            </w:r>
          </w:p>
        </w:tc>
        <w:tc>
          <w:tcPr>
            <w:tcW w:w="1119" w:type="pct"/>
            <w:tcBorders>
              <w:right w:val="single" w:color="auto" w:sz="4" w:space="0"/>
            </w:tcBorders>
            <w:vAlign w:val="center"/>
          </w:tcPr>
          <w:p w14:paraId="5D2052D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197.19</w:t>
            </w:r>
          </w:p>
        </w:tc>
        <w:tc>
          <w:tcPr>
            <w:tcW w:w="1119" w:type="pct"/>
            <w:tcBorders>
              <w:right w:val="single" w:color="auto" w:sz="4" w:space="0"/>
            </w:tcBorders>
            <w:vAlign w:val="center"/>
          </w:tcPr>
          <w:p w14:paraId="7BB6FF98">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256.51</w:t>
            </w:r>
          </w:p>
        </w:tc>
        <w:tc>
          <w:tcPr>
            <w:tcW w:w="915" w:type="pct"/>
            <w:tcBorders>
              <w:left w:val="single" w:color="auto" w:sz="4" w:space="0"/>
              <w:right w:val="single" w:color="auto" w:sz="4" w:space="0"/>
            </w:tcBorders>
            <w:vAlign w:val="center"/>
          </w:tcPr>
          <w:p w14:paraId="7819B65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30.08</w:t>
            </w:r>
          </w:p>
        </w:tc>
        <w:tc>
          <w:tcPr>
            <w:tcW w:w="709" w:type="pct"/>
            <w:tcBorders>
              <w:left w:val="single" w:color="auto" w:sz="4" w:space="0"/>
            </w:tcBorders>
            <w:vAlign w:val="center"/>
          </w:tcPr>
          <w:p w14:paraId="49C8AB52">
            <w:pPr>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r>
    </w:tbl>
    <w:p w14:paraId="15638611">
      <w:pPr>
        <w:numPr>
          <w:ilvl w:val="0"/>
          <w:numId w:val="1"/>
        </w:numPr>
        <w:ind w:left="-10" w:leftChars="0" w:firstLine="640" w:firstLineChars="0"/>
        <w:jc w:val="left"/>
        <w:rPr>
          <w:rFonts w:hint="eastAsia" w:ascii="楷体" w:hAnsi="楷体" w:eastAsia="楷体" w:cs="仿宋_GB2312"/>
          <w:sz w:val="32"/>
          <w:szCs w:val="32"/>
        </w:rPr>
      </w:pPr>
      <w:r>
        <w:rPr>
          <w:rFonts w:hint="eastAsia" w:ascii="楷体" w:hAnsi="楷体" w:eastAsia="楷体" w:cs="仿宋_GB2312"/>
          <w:sz w:val="32"/>
          <w:szCs w:val="32"/>
        </w:rPr>
        <w:t>工资及劳务承揽费等及时发放情况（10分）</w:t>
      </w:r>
    </w:p>
    <w:p w14:paraId="705D6301">
      <w:pPr>
        <w:spacing w:line="56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1.考核标准：及时支付员工（正式工、临时工）工资及劳务承揽费等应当支付给员工或劳务外包公司的费用。存在无法及时支付员工（正式工、临时工）工资及劳务承揽费等应当支付给员工或劳务外包公司的费用等内容被行业主管部门通报且核实无误的每拖欠一月扣2分，扣完为止。</w:t>
      </w:r>
    </w:p>
    <w:p w14:paraId="3988CE37">
      <w:pPr>
        <w:pStyle w:val="6"/>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得分情况</w:t>
      </w:r>
      <w:r>
        <w:rPr>
          <w:rFonts w:hint="eastAsia" w:ascii="仿宋" w:hAnsi="仿宋" w:eastAsia="仿宋"/>
          <w:sz w:val="32"/>
          <w:szCs w:val="32"/>
          <w:lang w:eastAsia="zh-CN"/>
        </w:rPr>
        <w:t>：</w:t>
      </w:r>
      <w:r>
        <w:rPr>
          <w:rFonts w:hint="eastAsia" w:ascii="仿宋" w:hAnsi="仿宋" w:eastAsia="仿宋"/>
          <w:sz w:val="32"/>
          <w:szCs w:val="32"/>
          <w:lang w:val="en-US" w:eastAsia="zh-CN"/>
        </w:rPr>
        <w:t>长乐区</w:t>
      </w:r>
      <w:r>
        <w:rPr>
          <w:rFonts w:hint="eastAsia" w:ascii="仿宋" w:hAnsi="仿宋" w:eastAsia="仿宋"/>
          <w:sz w:val="32"/>
          <w:szCs w:val="32"/>
        </w:rPr>
        <w:t>闽运公共交通有限公司企业得</w:t>
      </w:r>
      <w:r>
        <w:rPr>
          <w:rFonts w:hint="eastAsia" w:ascii="仿宋" w:hAnsi="仿宋" w:eastAsia="仿宋"/>
          <w:sz w:val="32"/>
          <w:szCs w:val="32"/>
          <w:lang w:val="en-US" w:eastAsia="zh-CN"/>
        </w:rPr>
        <w:t>10</w:t>
      </w:r>
      <w:r>
        <w:rPr>
          <w:rFonts w:hint="eastAsia" w:ascii="仿宋" w:hAnsi="仿宋" w:eastAsia="仿宋"/>
          <w:sz w:val="32"/>
          <w:szCs w:val="32"/>
        </w:rPr>
        <w:t>分。</w:t>
      </w:r>
    </w:p>
    <w:p w14:paraId="6CEAD55C">
      <w:pPr>
        <w:numPr>
          <w:ilvl w:val="0"/>
          <w:numId w:val="1"/>
        </w:numPr>
        <w:ind w:left="-10" w:leftChars="0" w:firstLine="640" w:firstLineChars="0"/>
        <w:jc w:val="left"/>
        <w:rPr>
          <w:rFonts w:ascii="楷体" w:hAnsi="楷体" w:eastAsia="楷体" w:cs="仿宋_GB2312"/>
          <w:sz w:val="32"/>
          <w:szCs w:val="32"/>
        </w:rPr>
      </w:pPr>
      <w:r>
        <w:rPr>
          <w:rFonts w:hint="eastAsia" w:ascii="楷体" w:hAnsi="楷体" w:eastAsia="楷体" w:cs="仿宋_GB2312"/>
          <w:sz w:val="32"/>
          <w:szCs w:val="32"/>
        </w:rPr>
        <w:t>加分项</w:t>
      </w:r>
    </w:p>
    <w:p w14:paraId="09E66AA6">
      <w:pPr>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1、考核标准：获得市级以上荣誉称号。获国家级荣誉称号的,加1分；获省级荣誉称号的，加0.5分；获市级荣誉称号的，加0.2分。同一荣誉称号不重复加分，本项加分最高不得超过2.5分</w:t>
      </w:r>
    </w:p>
    <w:p w14:paraId="4815F483">
      <w:pPr>
        <w:ind w:firstLine="640" w:firstLineChars="200"/>
        <w:rPr>
          <w:rFonts w:hint="default" w:ascii="仿宋" w:hAnsi="仿宋" w:eastAsia="仿宋"/>
          <w:sz w:val="32"/>
          <w:szCs w:val="32"/>
          <w:lang w:val="en-US" w:eastAsia="zh-CN"/>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w:t>
      </w:r>
      <w:r>
        <w:rPr>
          <w:rFonts w:hint="eastAsia" w:ascii="仿宋" w:hAnsi="仿宋" w:eastAsia="仿宋"/>
          <w:sz w:val="32"/>
          <w:szCs w:val="32"/>
        </w:rPr>
        <w:t>得分情况：</w:t>
      </w:r>
      <w:r>
        <w:rPr>
          <w:rFonts w:hint="eastAsia" w:ascii="仿宋" w:hAnsi="仿宋" w:eastAsia="仿宋"/>
          <w:sz w:val="32"/>
          <w:szCs w:val="32"/>
          <w:lang w:val="en-US" w:eastAsia="zh-CN"/>
        </w:rPr>
        <w:t>长乐区</w:t>
      </w:r>
      <w:r>
        <w:rPr>
          <w:rFonts w:hint="eastAsia" w:ascii="仿宋" w:hAnsi="仿宋" w:eastAsia="仿宋"/>
          <w:sz w:val="32"/>
          <w:szCs w:val="32"/>
        </w:rPr>
        <w:t>闽运公共交通有限公司企业</w:t>
      </w:r>
      <w:r>
        <w:rPr>
          <w:rFonts w:hint="eastAsia" w:ascii="仿宋" w:hAnsi="仿宋" w:eastAsia="仿宋"/>
          <w:sz w:val="32"/>
          <w:szCs w:val="32"/>
          <w:lang w:val="en-US" w:eastAsia="zh-CN"/>
        </w:rPr>
        <w:t>无加分项。</w:t>
      </w:r>
    </w:p>
    <w:p w14:paraId="188C4DB0">
      <w:pPr>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w:t>
      </w:r>
      <w:r>
        <w:rPr>
          <w:rFonts w:ascii="黑体" w:hAnsi="黑体" w:eastAsia="黑体"/>
          <w:sz w:val="32"/>
          <w:szCs w:val="32"/>
        </w:rPr>
        <w:t>其它说明</w:t>
      </w:r>
    </w:p>
    <w:p w14:paraId="59F09F5B">
      <w:pPr>
        <w:ind w:firstLine="640" w:firstLineChars="200"/>
        <w:rPr>
          <w:rFonts w:ascii="仿宋" w:hAnsi="仿宋" w:eastAsia="仿宋"/>
          <w:sz w:val="32"/>
          <w:szCs w:val="32"/>
        </w:rPr>
      </w:pPr>
      <w:r>
        <w:rPr>
          <w:rFonts w:hint="eastAsia" w:ascii="仿宋" w:hAnsi="仿宋" w:eastAsia="仿宋" w:cs="Times New Roman"/>
          <w:sz w:val="32"/>
          <w:szCs w:val="32"/>
        </w:rPr>
        <w:t>年度考核组针对公交运营企业提供的自评报告和相关材料进行核查。公交企业对本次年度考核提供的真实、合法、完整的数据和材料负责。</w:t>
      </w:r>
    </w:p>
    <w:p w14:paraId="720B301E"/>
    <w:p w14:paraId="15AB5043">
      <w:pPr>
        <w:rPr>
          <w:rFonts w:hint="default" w:ascii="黑体" w:hAnsi="黑体" w:eastAsia="黑体" w:cs="黑体"/>
          <w:sz w:val="28"/>
          <w:szCs w:val="28"/>
          <w:u w:val="singl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83282"/>
      <w:docPartObj>
        <w:docPartGallery w:val="autotext"/>
      </w:docPartObj>
    </w:sdtPr>
    <w:sdtContent>
      <w:sdt>
        <w:sdtPr>
          <w:id w:val="171357217"/>
          <w:docPartObj>
            <w:docPartGallery w:val="autotext"/>
          </w:docPartObj>
        </w:sdtPr>
        <w:sdtContent>
          <w:p w14:paraId="2B4F47F9">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4C216B5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58A5B"/>
    <w:multiLevelType w:val="singleLevel"/>
    <w:tmpl w:val="74F58A5B"/>
    <w:lvl w:ilvl="0" w:tentative="0">
      <w:start w:val="9"/>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E2DD3"/>
    <w:rsid w:val="00060C6A"/>
    <w:rsid w:val="02695861"/>
    <w:rsid w:val="028C5D3E"/>
    <w:rsid w:val="082E2DD3"/>
    <w:rsid w:val="094A2D56"/>
    <w:rsid w:val="0A372A9F"/>
    <w:rsid w:val="0AE53A50"/>
    <w:rsid w:val="0D8132A8"/>
    <w:rsid w:val="0E0C215E"/>
    <w:rsid w:val="0EAC525A"/>
    <w:rsid w:val="0EE64FD1"/>
    <w:rsid w:val="0F7816D8"/>
    <w:rsid w:val="108D4A90"/>
    <w:rsid w:val="139645AB"/>
    <w:rsid w:val="13AF57DB"/>
    <w:rsid w:val="13DD7ADC"/>
    <w:rsid w:val="13E62E35"/>
    <w:rsid w:val="14101C60"/>
    <w:rsid w:val="14BE346A"/>
    <w:rsid w:val="164E4CC1"/>
    <w:rsid w:val="18194E5B"/>
    <w:rsid w:val="18F95331"/>
    <w:rsid w:val="1B193AF0"/>
    <w:rsid w:val="1D5C4168"/>
    <w:rsid w:val="1DE81558"/>
    <w:rsid w:val="1F106FB8"/>
    <w:rsid w:val="23305E7B"/>
    <w:rsid w:val="23BA261E"/>
    <w:rsid w:val="23FD0AD6"/>
    <w:rsid w:val="244024D4"/>
    <w:rsid w:val="2479115B"/>
    <w:rsid w:val="25094B3F"/>
    <w:rsid w:val="26296BB1"/>
    <w:rsid w:val="27D913A1"/>
    <w:rsid w:val="27EC60E8"/>
    <w:rsid w:val="27F03715"/>
    <w:rsid w:val="28154C29"/>
    <w:rsid w:val="283830DC"/>
    <w:rsid w:val="28606244"/>
    <w:rsid w:val="29290877"/>
    <w:rsid w:val="294B11F2"/>
    <w:rsid w:val="2B6D7ACB"/>
    <w:rsid w:val="2D0068BE"/>
    <w:rsid w:val="2D4B565F"/>
    <w:rsid w:val="2F2B2622"/>
    <w:rsid w:val="2F3300A1"/>
    <w:rsid w:val="2F4131BE"/>
    <w:rsid w:val="313D33E3"/>
    <w:rsid w:val="324F5BF1"/>
    <w:rsid w:val="32A41A99"/>
    <w:rsid w:val="33C70135"/>
    <w:rsid w:val="33D642F0"/>
    <w:rsid w:val="33EA5BD2"/>
    <w:rsid w:val="34152B0F"/>
    <w:rsid w:val="358162C2"/>
    <w:rsid w:val="3BA96372"/>
    <w:rsid w:val="3EFE0783"/>
    <w:rsid w:val="4000052B"/>
    <w:rsid w:val="40550877"/>
    <w:rsid w:val="40A62E8C"/>
    <w:rsid w:val="42374B5B"/>
    <w:rsid w:val="435E20EE"/>
    <w:rsid w:val="48D662CD"/>
    <w:rsid w:val="48D87CB6"/>
    <w:rsid w:val="499E1EB8"/>
    <w:rsid w:val="4AF60EA8"/>
    <w:rsid w:val="4BA17066"/>
    <w:rsid w:val="501F5F01"/>
    <w:rsid w:val="50937738"/>
    <w:rsid w:val="51340035"/>
    <w:rsid w:val="52377DDC"/>
    <w:rsid w:val="524F3C18"/>
    <w:rsid w:val="5321043D"/>
    <w:rsid w:val="542F2AB2"/>
    <w:rsid w:val="59DD5910"/>
    <w:rsid w:val="5B7A6F8C"/>
    <w:rsid w:val="5C0A0310"/>
    <w:rsid w:val="5E8412B9"/>
    <w:rsid w:val="5E8F1A94"/>
    <w:rsid w:val="5EF84D97"/>
    <w:rsid w:val="650D2C1F"/>
    <w:rsid w:val="653325E9"/>
    <w:rsid w:val="65807C48"/>
    <w:rsid w:val="6666224F"/>
    <w:rsid w:val="669435F8"/>
    <w:rsid w:val="676D7A10"/>
    <w:rsid w:val="69AC2A06"/>
    <w:rsid w:val="6A8F3B8F"/>
    <w:rsid w:val="6DD864C0"/>
    <w:rsid w:val="6DF37AD6"/>
    <w:rsid w:val="6DF94BF3"/>
    <w:rsid w:val="73AB5D33"/>
    <w:rsid w:val="7523428C"/>
    <w:rsid w:val="75990C47"/>
    <w:rsid w:val="75AB4B6F"/>
    <w:rsid w:val="75F9445F"/>
    <w:rsid w:val="77AE0291"/>
    <w:rsid w:val="77D45F4A"/>
    <w:rsid w:val="7A4F7B0A"/>
    <w:rsid w:val="7CEA3B1A"/>
    <w:rsid w:val="7E481261"/>
    <w:rsid w:val="7E807946"/>
    <w:rsid w:val="7F7E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1893</Words>
  <Characters>2066</Characters>
  <Lines>0</Lines>
  <Paragraphs>0</Paragraphs>
  <TotalTime>1904</TotalTime>
  <ScaleCrop>false</ScaleCrop>
  <LinksUpToDate>false</LinksUpToDate>
  <CharactersWithSpaces>2068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2025-03-31T01:24:00Z</dcterms:created>
  <dc:creator>WPS_1568456802</dc:creator>
  <cp:lastModifiedBy>WPS_1568456802</cp:lastModifiedBy>
  <cp:lastPrinted>2026-04-02T03:29:00Z</cp:lastPrinted>
  <dcterms:modified xsi:type="dcterms:W3CDTF">2026-04-02T09:25:17Z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035A871F9FC34D3D9910CF0F469C1E45_13</vt:lpwstr>
  </property>
  <property fmtid="{D5CDD505-2E9C-101B-9397-08002B2CF9AE}" pid="4" name="KSOTemplateDocerSaveRecord">
    <vt:lpwstr>eyJoZGlkIjoiMjIwMjQxYmY3MWYyNWQ2NWE1MTkwODM3YmI1ZjE3YmMiLCJ1c2VySWQiOiI2NjIzNDU1MDYifQ==</vt:lpwstr>
  </property>
</Properties>
</file>