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eastAsia" w:ascii="仿宋_GB2312" w:hAnsi="仿宋_GB2312" w:eastAsia="仿宋_GB2312" w:cs="仿宋_GB2312"/>
          <w:color w:val="auto"/>
          <w:sz w:val="36"/>
          <w:szCs w:val="36"/>
          <w:highlight w:val="none"/>
          <w:lang w:val="en-US" w:eastAsia="zh-CN"/>
        </w:rPr>
        <w:drawing>
          <wp:inline distT="0" distB="0" distL="114300" distR="114300">
            <wp:extent cx="5610225" cy="8232775"/>
            <wp:effectExtent l="0" t="0" r="9525" b="15875"/>
            <wp:docPr id="74" name="图片 74" descr="ccbb33f37909f6930a4c3d25c47cb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cbb33f37909f6930a4c3d25c47cbe4b"/>
                    <pic:cNvPicPr>
                      <a:picLocks noChangeAspect="1"/>
                    </pic:cNvPicPr>
                  </pic:nvPicPr>
                  <pic:blipFill>
                    <a:blip r:embed="rId9"/>
                    <a:stretch>
                      <a:fillRect/>
                    </a:stretch>
                  </pic:blipFill>
                  <pic:spPr>
                    <a:xfrm>
                      <a:off x="0" y="0"/>
                      <a:ext cx="5610225" cy="8232775"/>
                    </a:xfrm>
                    <a:prstGeom prst="rect">
                      <a:avLst/>
                    </a:prstGeom>
                  </pic:spPr>
                </pic:pic>
              </a:graphicData>
            </a:graphic>
          </wp:inline>
        </w:drawing>
      </w: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45"/>
        <w:gridCol w:w="2974"/>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建设项目名称</w:t>
            </w:r>
          </w:p>
        </w:tc>
        <w:tc>
          <w:tcPr>
            <w:tcW w:w="7825" w:type="dxa"/>
            <w:gridSpan w:val="3"/>
            <w:vAlign w:val="center"/>
          </w:tcPr>
          <w:p>
            <w:pPr>
              <w:pStyle w:val="70"/>
              <w:rPr>
                <w:rFonts w:hint="eastAsia" w:eastAsia="宋体"/>
                <w:color w:val="auto"/>
                <w:highlight w:val="none"/>
                <w:lang w:eastAsia="zh-CN"/>
              </w:rPr>
            </w:pPr>
            <w:r>
              <w:rPr>
                <w:rFonts w:hint="eastAsia"/>
                <w:color w:val="auto"/>
                <w:highlight w:val="none"/>
                <w:lang w:eastAsia="zh-CN"/>
              </w:rPr>
              <w:t>高纯金属及合金溅射靶材研发及产业化项目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项目代码</w:t>
            </w:r>
          </w:p>
        </w:tc>
        <w:tc>
          <w:tcPr>
            <w:tcW w:w="7825" w:type="dxa"/>
            <w:gridSpan w:val="3"/>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2511-350112-04-02-828537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建设单位联系人</w:t>
            </w:r>
          </w:p>
        </w:tc>
        <w:tc>
          <w:tcPr>
            <w:tcW w:w="2974" w:type="dxa"/>
            <w:vAlign w:val="center"/>
          </w:tcPr>
          <w:p>
            <w:pPr>
              <w:adjustRightInd w:val="0"/>
              <w:snapToGrid w:val="0"/>
              <w:jc w:val="center"/>
              <w:rPr>
                <w:rFonts w:hint="default" w:ascii="宋体" w:hAnsi="宋体" w:eastAsia="宋体" w:cs="宋体"/>
                <w:color w:val="auto"/>
                <w:szCs w:val="21"/>
                <w:highlight w:val="none"/>
                <w:lang w:val="en-US" w:eastAsia="zh-CN"/>
              </w:rPr>
            </w:pPr>
          </w:p>
        </w:tc>
        <w:tc>
          <w:tcPr>
            <w:tcW w:w="2212"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联系方式</w:t>
            </w:r>
          </w:p>
        </w:tc>
        <w:tc>
          <w:tcPr>
            <w:tcW w:w="2639" w:type="dxa"/>
            <w:vAlign w:val="center"/>
          </w:tcPr>
          <w:p>
            <w:pPr>
              <w:adjustRightInd w:val="0"/>
              <w:snapToGrid w:val="0"/>
              <w:jc w:val="center"/>
              <w:rPr>
                <w:rFonts w:ascii="宋体" w:hAnsi="宋体" w:cs="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建设地点</w:t>
            </w:r>
          </w:p>
        </w:tc>
        <w:tc>
          <w:tcPr>
            <w:tcW w:w="7825" w:type="dxa"/>
            <w:gridSpan w:val="3"/>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u w:val="single"/>
              </w:rPr>
              <w:t>福建</w:t>
            </w:r>
            <w:r>
              <w:rPr>
                <w:rFonts w:hint="eastAsia" w:ascii="宋体" w:hAnsi="宋体" w:cs="宋体"/>
                <w:color w:val="auto"/>
                <w:szCs w:val="21"/>
                <w:highlight w:val="none"/>
              </w:rPr>
              <w:t>省（自治区）</w:t>
            </w:r>
            <w:r>
              <w:rPr>
                <w:rFonts w:hint="eastAsia" w:ascii="宋体" w:hAnsi="宋体" w:cs="宋体"/>
                <w:color w:val="auto"/>
                <w:szCs w:val="21"/>
                <w:highlight w:val="none"/>
                <w:u w:val="single"/>
              </w:rPr>
              <w:t>福州</w:t>
            </w:r>
            <w:r>
              <w:rPr>
                <w:rFonts w:hint="eastAsia" w:ascii="宋体" w:hAnsi="宋体" w:cs="宋体"/>
                <w:color w:val="auto"/>
                <w:szCs w:val="21"/>
                <w:highlight w:val="none"/>
              </w:rPr>
              <w:t>市</w:t>
            </w:r>
            <w:r>
              <w:rPr>
                <w:rFonts w:hint="eastAsia" w:ascii="宋体" w:hAnsi="宋体" w:cs="宋体"/>
                <w:color w:val="auto"/>
                <w:szCs w:val="21"/>
                <w:highlight w:val="none"/>
                <w:u w:val="single"/>
              </w:rPr>
              <w:t>长乐</w:t>
            </w:r>
            <w:r>
              <w:rPr>
                <w:rFonts w:hint="eastAsia" w:ascii="宋体" w:hAnsi="宋体" w:cs="宋体"/>
                <w:color w:val="auto"/>
                <w:szCs w:val="21"/>
                <w:highlight w:val="none"/>
              </w:rPr>
              <w:t>县（区）</w:t>
            </w:r>
            <w:r>
              <w:rPr>
                <w:rFonts w:hint="eastAsia" w:ascii="宋体" w:hAnsi="宋体" w:cs="宋体"/>
                <w:color w:val="auto"/>
                <w:szCs w:val="21"/>
                <w:highlight w:val="none"/>
                <w:u w:val="single"/>
              </w:rPr>
              <w:t>漳港</w:t>
            </w:r>
            <w:r>
              <w:rPr>
                <w:rFonts w:hint="eastAsia" w:ascii="宋体" w:hAnsi="宋体" w:cs="宋体"/>
                <w:color w:val="auto"/>
                <w:szCs w:val="21"/>
                <w:highlight w:val="none"/>
              </w:rPr>
              <w:t>乡（街道）</w:t>
            </w:r>
            <w:r>
              <w:rPr>
                <w:rFonts w:hint="eastAsia" w:ascii="宋体" w:hAnsi="宋体" w:cs="宋体"/>
                <w:color w:val="auto"/>
                <w:szCs w:val="21"/>
                <w:highlight w:val="none"/>
                <w:u w:val="single"/>
              </w:rPr>
              <w:t>漳湖路66号</w:t>
            </w:r>
            <w:r>
              <w:rPr>
                <w:rFonts w:hint="eastAsia" w:ascii="宋体" w:hAnsi="宋体" w:cs="宋体"/>
                <w:color w:val="auto"/>
                <w:szCs w:val="21"/>
                <w:highlight w:val="none"/>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7825" w:type="dxa"/>
            <w:gridSpan w:val="3"/>
            <w:vAlign w:val="center"/>
          </w:tcPr>
          <w:p>
            <w:pPr>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u w:val="single"/>
              </w:rPr>
              <w:t>N26</w:t>
            </w:r>
            <w:r>
              <w:rPr>
                <w:rFonts w:hint="eastAsia" w:ascii="宋体" w:hAnsi="宋体" w:cs="宋体"/>
                <w:color w:val="auto"/>
                <w:szCs w:val="21"/>
                <w:highlight w:val="none"/>
              </w:rPr>
              <w:t>度</w:t>
            </w:r>
            <w:r>
              <w:rPr>
                <w:rFonts w:hint="eastAsia" w:ascii="宋体" w:hAnsi="宋体" w:cs="宋体"/>
                <w:color w:val="auto"/>
                <w:szCs w:val="21"/>
                <w:highlight w:val="none"/>
                <w:u w:val="single"/>
              </w:rPr>
              <w:t>56</w:t>
            </w:r>
            <w:r>
              <w:rPr>
                <w:rFonts w:hint="eastAsia" w:ascii="宋体" w:hAnsi="宋体" w:cs="宋体"/>
                <w:color w:val="auto"/>
                <w:szCs w:val="21"/>
                <w:highlight w:val="none"/>
              </w:rPr>
              <w:t>分</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rPr>
              <w:t>秒，</w:t>
            </w:r>
            <w:r>
              <w:rPr>
                <w:rFonts w:hint="eastAsia" w:ascii="宋体" w:hAnsi="宋体" w:cs="宋体"/>
                <w:color w:val="auto"/>
                <w:szCs w:val="21"/>
                <w:highlight w:val="none"/>
                <w:u w:val="single"/>
              </w:rPr>
              <w:t>E119</w:t>
            </w:r>
            <w:r>
              <w:rPr>
                <w:rFonts w:hint="eastAsia" w:ascii="宋体" w:hAnsi="宋体" w:cs="宋体"/>
                <w:color w:val="auto"/>
                <w:szCs w:val="21"/>
                <w:highlight w:val="none"/>
              </w:rPr>
              <w:t>度</w:t>
            </w:r>
            <w:r>
              <w:rPr>
                <w:rFonts w:hint="eastAsia" w:ascii="宋体" w:hAnsi="宋体" w:cs="宋体"/>
                <w:color w:val="auto"/>
                <w:szCs w:val="21"/>
                <w:highlight w:val="none"/>
                <w:u w:val="single"/>
              </w:rPr>
              <w:t>38</w:t>
            </w:r>
            <w:r>
              <w:rPr>
                <w:rFonts w:hint="eastAsia" w:ascii="宋体" w:hAnsi="宋体" w:cs="宋体"/>
                <w:color w:val="auto"/>
                <w:szCs w:val="21"/>
                <w:highlight w:val="none"/>
              </w:rPr>
              <w:t>分</w:t>
            </w:r>
            <w:r>
              <w:rPr>
                <w:rFonts w:hint="eastAsia" w:ascii="宋体" w:hAnsi="宋体" w:cs="宋体"/>
                <w:color w:val="auto"/>
                <w:szCs w:val="21"/>
                <w:highlight w:val="none"/>
                <w:u w:val="single"/>
              </w:rPr>
              <w:t>2</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国民经济</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p>
        </w:tc>
        <w:tc>
          <w:tcPr>
            <w:tcW w:w="2974" w:type="dxa"/>
            <w:vAlign w:val="center"/>
          </w:tcPr>
          <w:p>
            <w:pPr>
              <w:pStyle w:val="70"/>
              <w:rPr>
                <w:rFonts w:hint="eastAsia" w:ascii="宋体" w:hAnsi="宋体" w:eastAsia="宋体" w:cs="宋体"/>
                <w:color w:val="auto"/>
                <w:szCs w:val="21"/>
                <w:highlight w:val="none"/>
                <w:lang w:eastAsia="zh-CN"/>
              </w:rPr>
            </w:pPr>
            <w:r>
              <w:rPr>
                <w:rFonts w:hint="eastAsia"/>
                <w:color w:val="auto"/>
                <w:highlight w:val="none"/>
              </w:rPr>
              <w:t>C3985</w:t>
            </w:r>
            <w:r>
              <w:rPr>
                <w:rFonts w:hint="eastAsia"/>
                <w:color w:val="auto"/>
                <w:highlight w:val="none"/>
                <w:lang w:eastAsia="zh-CN"/>
              </w:rPr>
              <w:t>（</w:t>
            </w:r>
            <w:r>
              <w:rPr>
                <w:rFonts w:hint="eastAsia"/>
                <w:color w:val="auto"/>
                <w:highlight w:val="none"/>
              </w:rPr>
              <w:t>电子专用材料制造</w:t>
            </w:r>
            <w:r>
              <w:rPr>
                <w:rFonts w:hint="eastAsia"/>
                <w:color w:val="auto"/>
                <w:highlight w:val="none"/>
                <w:lang w:eastAsia="zh-CN"/>
              </w:rPr>
              <w:t>）</w:t>
            </w:r>
          </w:p>
        </w:tc>
        <w:tc>
          <w:tcPr>
            <w:tcW w:w="2212" w:type="dxa"/>
            <w:vAlign w:val="center"/>
          </w:tcPr>
          <w:p>
            <w:pPr>
              <w:adjustRightInd w:val="0"/>
              <w:snapToGrid w:val="0"/>
              <w:jc w:val="center"/>
              <w:rPr>
                <w:rFonts w:ascii="宋体" w:hAnsi="宋体" w:cs="宋体"/>
                <w:color w:val="auto"/>
                <w:szCs w:val="21"/>
                <w:highlight w:val="none"/>
              </w:rPr>
            </w:pPr>
            <w:bookmarkStart w:id="0" w:name="_Hlk49843745"/>
            <w:r>
              <w:rPr>
                <w:rFonts w:hint="eastAsia" w:ascii="宋体" w:hAnsi="宋体" w:cs="宋体"/>
                <w:color w:val="auto"/>
                <w:szCs w:val="21"/>
                <w:highlight w:val="none"/>
              </w:rPr>
              <w:t>建设项目</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bookmarkEnd w:id="0"/>
          </w:p>
        </w:tc>
        <w:tc>
          <w:tcPr>
            <w:tcW w:w="2639" w:type="dxa"/>
            <w:vAlign w:val="center"/>
          </w:tcPr>
          <w:p>
            <w:pPr>
              <w:pStyle w:val="70"/>
              <w:rPr>
                <w:rFonts w:hint="eastAsia" w:ascii="宋体" w:hAnsi="宋体" w:eastAsia="宋体" w:cs="宋体"/>
                <w:color w:val="auto"/>
                <w:szCs w:val="21"/>
                <w:highlight w:val="none"/>
                <w:lang w:eastAsia="zh-CN"/>
              </w:rPr>
            </w:pPr>
            <w:r>
              <w:rPr>
                <w:rFonts w:hint="eastAsia"/>
                <w:color w:val="auto"/>
                <w:highlight w:val="none"/>
              </w:rPr>
              <w:t>三十六、计算机、通信和其他电子设备制造业，81电子元件及电子专用材料制</w:t>
            </w:r>
            <w:r>
              <w:rPr>
                <w:rFonts w:hint="eastAsia"/>
                <w:color w:val="auto"/>
                <w:highlight w:val="none"/>
                <w:lang w:val="en-US" w:eastAsia="zh-CN"/>
              </w:rPr>
              <w:t>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建设性质</w:t>
            </w:r>
          </w:p>
        </w:tc>
        <w:tc>
          <w:tcPr>
            <w:tcW w:w="2974" w:type="dxa"/>
            <w:vAlign w:val="center"/>
          </w:tcPr>
          <w:p>
            <w:pPr>
              <w:jc w:val="left"/>
              <w:rPr>
                <w:rFonts w:ascii="宋体" w:hAnsi="宋体" w:cs="宋体"/>
                <w:color w:val="auto"/>
                <w:szCs w:val="21"/>
                <w:highlight w:val="none"/>
              </w:rPr>
            </w:pPr>
            <w:r>
              <w:rPr>
                <w:rFonts w:hint="eastAsia" w:ascii="宋体" w:hAnsi="宋体" w:cs="宋体"/>
                <w:color w:val="auto"/>
                <w:szCs w:val="21"/>
                <w:highlight w:val="none"/>
              </w:rPr>
              <w:t>□新建（迁建）</w:t>
            </w:r>
          </w:p>
          <w:p>
            <w:pPr>
              <w:jc w:val="left"/>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改建</w:t>
            </w:r>
          </w:p>
          <w:p>
            <w:pPr>
              <w:jc w:val="lef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扩建</w:t>
            </w:r>
          </w:p>
          <w:p>
            <w:pPr>
              <w:jc w:val="left"/>
              <w:rPr>
                <w:rFonts w:ascii="宋体" w:hAnsi="宋体" w:cs="宋体"/>
                <w:color w:val="auto"/>
                <w:szCs w:val="21"/>
                <w:highlight w:val="none"/>
              </w:rPr>
            </w:pPr>
            <w:r>
              <w:rPr>
                <w:rFonts w:hint="eastAsia" w:ascii="宋体" w:hAnsi="宋体" w:cs="宋体"/>
                <w:color w:val="auto"/>
                <w:szCs w:val="21"/>
                <w:highlight w:val="none"/>
              </w:rPr>
              <w:t>□技术改造</w:t>
            </w:r>
          </w:p>
        </w:tc>
        <w:tc>
          <w:tcPr>
            <w:tcW w:w="2212"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建设项目</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申报情形</w:t>
            </w:r>
          </w:p>
        </w:tc>
        <w:tc>
          <w:tcPr>
            <w:tcW w:w="2639" w:type="dxa"/>
            <w:vAlign w:val="center"/>
          </w:tcPr>
          <w:p>
            <w:pPr>
              <w:jc w:val="left"/>
              <w:rPr>
                <w:rFonts w:hint="eastAsia" w:ascii="宋体" w:hAnsi="宋体" w:eastAsia="宋体" w:cs="宋体"/>
                <w:color w:val="auto"/>
                <w:szCs w:val="21"/>
                <w:highlight w:val="none"/>
                <w:lang w:eastAsia="zh-CN"/>
              </w:rPr>
            </w:pPr>
            <w:r>
              <w:rPr>
                <w:rFonts w:hint="eastAsia" w:ascii="仿宋" w:hAnsi="仿宋" w:eastAsia="仿宋" w:cs="仿宋"/>
                <w:color w:val="auto"/>
                <w:szCs w:val="21"/>
                <w:highlight w:val="none"/>
              </w:rPr>
              <w:sym w:font="Wingdings 2" w:char="0052"/>
            </w:r>
            <w:r>
              <w:rPr>
                <w:rFonts w:hint="eastAsia" w:ascii="宋体" w:hAnsi="宋体" w:cs="宋体"/>
                <w:color w:val="auto"/>
                <w:szCs w:val="21"/>
                <w:highlight w:val="none"/>
              </w:rPr>
              <w:t>首次申报项目</w:t>
            </w:r>
          </w:p>
          <w:p>
            <w:pPr>
              <w:jc w:val="left"/>
              <w:rPr>
                <w:rFonts w:ascii="宋体" w:hAnsi="宋体" w:cs="宋体"/>
                <w:color w:val="auto"/>
                <w:szCs w:val="21"/>
                <w:highlight w:val="none"/>
              </w:rPr>
            </w:pPr>
            <w:r>
              <w:rPr>
                <w:rFonts w:hint="eastAsia" w:ascii="宋体" w:hAnsi="宋体" w:cs="宋体"/>
                <w:color w:val="auto"/>
                <w:szCs w:val="21"/>
                <w:highlight w:val="none"/>
              </w:rPr>
              <w:t>□不予批准后再次申报项目</w:t>
            </w:r>
          </w:p>
          <w:p>
            <w:pPr>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超五年重新审核项目</w:t>
            </w:r>
          </w:p>
          <w:p>
            <w:pPr>
              <w:jc w:val="left"/>
              <w:rPr>
                <w:rFonts w:ascii="宋体" w:hAnsi="宋体" w:cs="宋体"/>
                <w:color w:val="auto"/>
                <w:szCs w:val="21"/>
                <w:highlight w:val="none"/>
              </w:rPr>
            </w:pPr>
            <w:r>
              <w:rPr>
                <w:rFonts w:hint="eastAsia" w:ascii="宋体" w:hAnsi="宋体" w:cs="宋体"/>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备案）部门（选填）</w:t>
            </w:r>
          </w:p>
        </w:tc>
        <w:tc>
          <w:tcPr>
            <w:tcW w:w="2974" w:type="dxa"/>
            <w:vAlign w:val="center"/>
          </w:tcPr>
          <w:p>
            <w:pPr>
              <w:adjustRightInd w:val="0"/>
              <w:snapToGrid w:val="0"/>
              <w:jc w:val="center"/>
              <w:rPr>
                <w:rFonts w:ascii="宋体" w:hAnsi="宋体" w:cs="宋体"/>
                <w:color w:val="auto"/>
                <w:szCs w:val="21"/>
                <w:highlight w:val="none"/>
              </w:rPr>
            </w:pPr>
            <w:r>
              <w:rPr>
                <w:rFonts w:hint="eastAsia"/>
                <w:color w:val="auto"/>
                <w:highlight w:val="none"/>
              </w:rPr>
              <w:t>福州市长乐区</w:t>
            </w:r>
            <w:r>
              <w:rPr>
                <w:rFonts w:hint="eastAsia"/>
                <w:color w:val="auto"/>
                <w:highlight w:val="none"/>
                <w:lang w:val="en-US" w:eastAsia="zh-CN"/>
              </w:rPr>
              <w:t>发展和改革</w:t>
            </w:r>
            <w:r>
              <w:rPr>
                <w:rFonts w:hint="eastAsia"/>
                <w:color w:val="auto"/>
                <w:highlight w:val="none"/>
              </w:rPr>
              <w:t>局</w:t>
            </w:r>
          </w:p>
        </w:tc>
        <w:tc>
          <w:tcPr>
            <w:tcW w:w="2212"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备案）文号（选填）</w:t>
            </w:r>
          </w:p>
        </w:tc>
        <w:tc>
          <w:tcPr>
            <w:tcW w:w="2639"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闽发改备</w:t>
            </w:r>
            <w:r>
              <w:rPr>
                <w:rFonts w:hint="eastAsia" w:ascii="宋体" w:hAnsi="宋体" w:cs="宋体"/>
                <w:color w:val="auto"/>
                <w:szCs w:val="21"/>
                <w:highlight w:val="none"/>
                <w:lang w:eastAsia="zh-CN"/>
              </w:rPr>
              <w:t>〔2025〕620号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总投资（万元）</w:t>
            </w:r>
          </w:p>
        </w:tc>
        <w:tc>
          <w:tcPr>
            <w:tcW w:w="2974"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lang w:val="en-US" w:eastAsia="zh-CN"/>
              </w:rPr>
              <w:t>16600</w:t>
            </w:r>
          </w:p>
        </w:tc>
        <w:tc>
          <w:tcPr>
            <w:tcW w:w="2212"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环保投资（万元）</w:t>
            </w:r>
          </w:p>
        </w:tc>
        <w:tc>
          <w:tcPr>
            <w:tcW w:w="2639" w:type="dxa"/>
            <w:vAlign w:val="center"/>
          </w:tcPr>
          <w:p>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环保投资占比（</w:t>
            </w:r>
            <w:r>
              <w:rPr>
                <w:rFonts w:ascii="宋体" w:hAnsi="宋体" w:cs="宋体"/>
                <w:color w:val="auto"/>
                <w:szCs w:val="21"/>
                <w:highlight w:val="none"/>
              </w:rPr>
              <w:t>%</w:t>
            </w:r>
            <w:r>
              <w:rPr>
                <w:rFonts w:hint="eastAsia" w:ascii="宋体" w:hAnsi="宋体" w:cs="宋体"/>
                <w:color w:val="auto"/>
                <w:szCs w:val="21"/>
                <w:highlight w:val="none"/>
              </w:rPr>
              <w:t>）</w:t>
            </w:r>
          </w:p>
        </w:tc>
        <w:tc>
          <w:tcPr>
            <w:tcW w:w="2974" w:type="dxa"/>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lang w:val="en-US" w:eastAsia="zh-CN"/>
              </w:rPr>
              <w:t>1.02</w:t>
            </w:r>
            <w:r>
              <w:rPr>
                <w:rFonts w:hint="eastAsia" w:ascii="宋体" w:hAnsi="宋体" w:cs="宋体"/>
                <w:color w:val="auto"/>
                <w:szCs w:val="21"/>
                <w:highlight w:val="none"/>
              </w:rPr>
              <w:t>%</w:t>
            </w:r>
          </w:p>
        </w:tc>
        <w:tc>
          <w:tcPr>
            <w:tcW w:w="2212"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施工工期</w:t>
            </w:r>
          </w:p>
        </w:tc>
        <w:tc>
          <w:tcPr>
            <w:tcW w:w="2639" w:type="dxa"/>
            <w:vAlign w:val="center"/>
          </w:tcPr>
          <w:p>
            <w:pPr>
              <w:adjustRightInd w:val="0"/>
              <w:snapToGrid w:val="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5" w:type="dxa"/>
            <w:tcMar>
              <w:top w:w="16" w:type="dxa"/>
              <w:left w:w="16" w:type="dxa"/>
              <w:right w:w="16" w:type="dxa"/>
            </w:tcMar>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是否开工建设</w:t>
            </w:r>
          </w:p>
        </w:tc>
        <w:tc>
          <w:tcPr>
            <w:tcW w:w="2974" w:type="dxa"/>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否</w:t>
            </w:r>
          </w:p>
          <w:p>
            <w:pPr>
              <w:adjustRightInd w:val="0"/>
              <w:snapToGrid w:val="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是：</w:t>
            </w:r>
          </w:p>
        </w:tc>
        <w:tc>
          <w:tcPr>
            <w:tcW w:w="2212" w:type="dxa"/>
            <w:tcMar>
              <w:top w:w="16" w:type="dxa"/>
              <w:left w:w="16" w:type="dxa"/>
              <w:right w:w="16" w:type="dxa"/>
            </w:tcMar>
            <w:vAlign w:val="center"/>
          </w:tcPr>
          <w:p>
            <w:pPr>
              <w:adjustRightInd w:val="0"/>
              <w:snapToGrid w:val="0"/>
              <w:jc w:val="center"/>
              <w:rPr>
                <w:rFonts w:ascii="宋体" w:hAnsi="宋体" w:cs="宋体"/>
                <w:color w:val="auto"/>
                <w:spacing w:val="-6"/>
                <w:szCs w:val="21"/>
                <w:highlight w:val="none"/>
              </w:rPr>
            </w:pPr>
            <w:r>
              <w:rPr>
                <w:rFonts w:hint="eastAsia" w:ascii="宋体" w:hAnsi="宋体" w:cs="宋体"/>
                <w:color w:val="auto"/>
                <w:spacing w:val="-6"/>
                <w:szCs w:val="21"/>
                <w:highlight w:val="none"/>
              </w:rPr>
              <w:t>用地（用海）</w:t>
            </w:r>
          </w:p>
          <w:p>
            <w:pPr>
              <w:adjustRightInd w:val="0"/>
              <w:snapToGrid w:val="0"/>
              <w:jc w:val="center"/>
              <w:rPr>
                <w:rFonts w:ascii="宋体" w:hAnsi="宋体" w:cs="宋体"/>
                <w:color w:val="auto"/>
                <w:szCs w:val="21"/>
                <w:highlight w:val="none"/>
              </w:rPr>
            </w:pPr>
            <w:r>
              <w:rPr>
                <w:rFonts w:hint="eastAsia" w:ascii="宋体" w:hAnsi="宋体" w:cs="宋体"/>
                <w:color w:val="auto"/>
                <w:spacing w:val="-6"/>
                <w:szCs w:val="21"/>
                <w:highlight w:val="none"/>
              </w:rPr>
              <w:t>面积（</w:t>
            </w:r>
            <w:r>
              <w:rPr>
                <w:rFonts w:ascii="宋体" w:hAnsi="宋体" w:cs="宋体"/>
                <w:color w:val="auto"/>
                <w:spacing w:val="-6"/>
                <w:szCs w:val="21"/>
                <w:highlight w:val="none"/>
              </w:rPr>
              <w:t>m</w:t>
            </w:r>
            <w:r>
              <w:rPr>
                <w:rFonts w:ascii="宋体" w:hAnsi="宋体" w:cs="宋体"/>
                <w:color w:val="auto"/>
                <w:spacing w:val="-6"/>
                <w:szCs w:val="21"/>
                <w:highlight w:val="none"/>
                <w:vertAlign w:val="superscript"/>
              </w:rPr>
              <w:t>2</w:t>
            </w:r>
            <w:r>
              <w:rPr>
                <w:rFonts w:hint="eastAsia" w:ascii="宋体" w:hAnsi="宋体" w:cs="宋体"/>
                <w:color w:val="auto"/>
                <w:spacing w:val="-6"/>
                <w:szCs w:val="21"/>
                <w:highlight w:val="none"/>
              </w:rPr>
              <w:t>）</w:t>
            </w:r>
          </w:p>
        </w:tc>
        <w:tc>
          <w:tcPr>
            <w:tcW w:w="2639" w:type="dxa"/>
            <w:vAlign w:val="center"/>
          </w:tcPr>
          <w:p>
            <w:pPr>
              <w:adjustRightInd w:val="0"/>
              <w:snapToGrid w:val="0"/>
              <w:jc w:val="center"/>
              <w:rPr>
                <w:rFonts w:hint="default" w:ascii="宋体" w:hAnsi="宋体" w:eastAsia="宋体" w:cs="宋体"/>
                <w:color w:val="auto"/>
                <w:szCs w:val="21"/>
                <w:highlight w:val="none"/>
                <w:vertAlign w:val="superscript"/>
                <w:lang w:val="en-US" w:eastAsia="zh-CN"/>
              </w:rPr>
            </w:pPr>
            <w:r>
              <w:rPr>
                <w:rFonts w:hint="eastAsia" w:ascii="宋体" w:hAnsi="宋体" w:cs="宋体"/>
                <w:color w:val="auto"/>
                <w:highlight w:val="none"/>
                <w:lang w:val="en-US" w:eastAsia="zh-CN"/>
              </w:rPr>
              <w:t>新征地</w:t>
            </w:r>
            <w:r>
              <w:rPr>
                <w:rFonts w:hint="eastAsia" w:ascii="宋体" w:hAnsi="宋体" w:cs="宋体"/>
                <w:color w:val="auto"/>
                <w:highlight w:val="none"/>
              </w:rPr>
              <w:t>22053</w:t>
            </w:r>
            <w:r>
              <w:rPr>
                <w:rFonts w:hint="eastAsia" w:ascii="宋体" w:hAnsi="宋体" w:cs="宋体"/>
                <w:color w:val="auto"/>
                <w:highlight w:val="none"/>
                <w:lang w:val="en-US" w:eastAsia="zh-CN"/>
              </w:rPr>
              <w:t>m</w:t>
            </w:r>
            <w:r>
              <w:rPr>
                <w:rFonts w:hint="eastAsia" w:ascii="宋体" w:hAnsi="宋体" w:cs="宋体"/>
                <w:color w:val="auto"/>
                <w:highlight w:val="none"/>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5" w:type="dxa"/>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专项评价设置情况</w:t>
            </w:r>
          </w:p>
        </w:tc>
        <w:tc>
          <w:tcPr>
            <w:tcW w:w="7825" w:type="dxa"/>
            <w:gridSpan w:val="3"/>
            <w:vAlign w:val="center"/>
          </w:tcPr>
          <w:tbl>
            <w:tblPr>
              <w:tblStyle w:val="29"/>
              <w:tblW w:w="76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57"/>
              <w:gridCol w:w="3210"/>
              <w:gridCol w:w="35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957" w:type="dxa"/>
                  <w:tcBorders>
                    <w:tl2br w:val="nil"/>
                    <w:tr2bl w:val="nil"/>
                  </w:tcBorders>
                  <w:vAlign w:val="center"/>
                </w:tcPr>
                <w:p>
                  <w:pPr>
                    <w:pStyle w:val="70"/>
                    <w:rPr>
                      <w:color w:val="auto"/>
                      <w:highlight w:val="none"/>
                    </w:rPr>
                  </w:pPr>
                  <w:r>
                    <w:rPr>
                      <w:rFonts w:hint="eastAsia"/>
                      <w:color w:val="auto"/>
                      <w:highlight w:val="none"/>
                    </w:rPr>
                    <w:t>专项评价类别</w:t>
                  </w:r>
                </w:p>
              </w:tc>
              <w:tc>
                <w:tcPr>
                  <w:tcW w:w="3210" w:type="dxa"/>
                  <w:tcBorders>
                    <w:tl2br w:val="nil"/>
                    <w:tr2bl w:val="nil"/>
                  </w:tcBorders>
                  <w:vAlign w:val="center"/>
                </w:tcPr>
                <w:p>
                  <w:pPr>
                    <w:pStyle w:val="70"/>
                    <w:rPr>
                      <w:rFonts w:ascii="宋体" w:hAnsi="宋体" w:cs="宋体"/>
                      <w:color w:val="auto"/>
                      <w:kern w:val="0"/>
                      <w:szCs w:val="21"/>
                      <w:highlight w:val="none"/>
                    </w:rPr>
                  </w:pPr>
                  <w:r>
                    <w:rPr>
                      <w:rFonts w:hint="eastAsia" w:ascii="宋体" w:hAnsi="宋体" w:cs="宋体"/>
                      <w:color w:val="auto"/>
                      <w:kern w:val="0"/>
                      <w:szCs w:val="21"/>
                      <w:highlight w:val="none"/>
                    </w:rPr>
                    <w:t>设置原则</w:t>
                  </w:r>
                </w:p>
              </w:tc>
              <w:tc>
                <w:tcPr>
                  <w:tcW w:w="3510" w:type="dxa"/>
                  <w:tcBorders>
                    <w:tl2br w:val="nil"/>
                    <w:tr2bl w:val="nil"/>
                  </w:tcBorders>
                  <w:vAlign w:val="center"/>
                </w:tcPr>
                <w:p>
                  <w:pPr>
                    <w:pStyle w:val="70"/>
                    <w:rPr>
                      <w:rFonts w:ascii="宋体" w:hAnsi="宋体" w:cs="宋体"/>
                      <w:color w:val="auto"/>
                      <w:kern w:val="0"/>
                      <w:szCs w:val="21"/>
                      <w:highlight w:val="none"/>
                    </w:rPr>
                  </w:pPr>
                  <w:r>
                    <w:rPr>
                      <w:rFonts w:hint="eastAsia" w:ascii="宋体" w:hAnsi="宋体" w:cs="宋体"/>
                      <w:color w:val="auto"/>
                      <w:kern w:val="0"/>
                      <w:szCs w:val="21"/>
                      <w:highlight w:val="none"/>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957" w:type="dxa"/>
                  <w:tcBorders>
                    <w:tl2br w:val="nil"/>
                    <w:tr2bl w:val="nil"/>
                  </w:tcBorders>
                  <w:vAlign w:val="center"/>
                </w:tcPr>
                <w:p>
                  <w:pPr>
                    <w:pStyle w:val="70"/>
                    <w:rPr>
                      <w:color w:val="auto"/>
                      <w:highlight w:val="none"/>
                    </w:rPr>
                  </w:pPr>
                  <w:r>
                    <w:rPr>
                      <w:rFonts w:hint="eastAsia"/>
                      <w:color w:val="auto"/>
                      <w:highlight w:val="none"/>
                    </w:rPr>
                    <w:t>大气</w:t>
                  </w:r>
                </w:p>
              </w:tc>
              <w:tc>
                <w:tcPr>
                  <w:tcW w:w="3210" w:type="dxa"/>
                  <w:tcBorders>
                    <w:tl2br w:val="nil"/>
                    <w:tr2bl w:val="nil"/>
                  </w:tcBorders>
                  <w:vAlign w:val="center"/>
                </w:tcPr>
                <w:p>
                  <w:pPr>
                    <w:pStyle w:val="70"/>
                    <w:rPr>
                      <w:rFonts w:ascii="宋体" w:hAnsi="宋体" w:cs="宋体"/>
                      <w:color w:val="auto"/>
                      <w:kern w:val="0"/>
                      <w:szCs w:val="21"/>
                      <w:highlight w:val="none"/>
                    </w:rPr>
                  </w:pPr>
                  <w:r>
                    <w:rPr>
                      <w:rFonts w:hint="eastAsia" w:ascii="宋体" w:hAnsi="宋体" w:cs="宋体"/>
                      <w:color w:val="auto"/>
                      <w:kern w:val="0"/>
                      <w:szCs w:val="21"/>
                      <w:highlight w:val="none"/>
                    </w:rPr>
                    <w:t>排放废气含有毒有害污染物</w:t>
                  </w:r>
                  <w:r>
                    <w:rPr>
                      <w:rFonts w:hint="eastAsia" w:ascii="宋体" w:hAnsi="宋体" w:cs="宋体"/>
                      <w:color w:val="auto"/>
                      <w:kern w:val="0"/>
                      <w:szCs w:val="21"/>
                      <w:highlight w:val="none"/>
                      <w:vertAlign w:val="subscript"/>
                    </w:rPr>
                    <w:t>1</w:t>
                  </w:r>
                  <w:r>
                    <w:rPr>
                      <w:rFonts w:hint="eastAsia" w:ascii="宋体" w:hAnsi="宋体" w:cs="宋体"/>
                      <w:color w:val="auto"/>
                      <w:kern w:val="0"/>
                      <w:szCs w:val="21"/>
                      <w:highlight w:val="none"/>
                    </w:rPr>
                    <w:t>、二噁英、苯并[a]芘、氰化物、氯气且厂界外500米范围内有环境空气保护目标</w:t>
                  </w:r>
                  <w:r>
                    <w:rPr>
                      <w:rFonts w:hint="eastAsia" w:ascii="宋体" w:hAnsi="宋体" w:cs="宋体"/>
                      <w:color w:val="auto"/>
                      <w:kern w:val="0"/>
                      <w:szCs w:val="21"/>
                      <w:highlight w:val="none"/>
                      <w:vertAlign w:val="subscript"/>
                    </w:rPr>
                    <w:t>2</w:t>
                  </w:r>
                  <w:r>
                    <w:rPr>
                      <w:rFonts w:hint="eastAsia" w:ascii="宋体" w:hAnsi="宋体" w:cs="宋体"/>
                      <w:color w:val="auto"/>
                      <w:kern w:val="0"/>
                      <w:szCs w:val="21"/>
                      <w:highlight w:val="none"/>
                    </w:rPr>
                    <w:t>的建设项目</w:t>
                  </w:r>
                </w:p>
              </w:tc>
              <w:tc>
                <w:tcPr>
                  <w:tcW w:w="3510" w:type="dxa"/>
                  <w:tcBorders>
                    <w:tl2br w:val="nil"/>
                    <w:tr2bl w:val="nil"/>
                  </w:tcBorders>
                  <w:vAlign w:val="center"/>
                </w:tcPr>
                <w:p>
                  <w:pPr>
                    <w:pStyle w:val="70"/>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项目排放的废气不</w:t>
                  </w:r>
                  <w:r>
                    <w:rPr>
                      <w:rFonts w:hint="eastAsia" w:ascii="宋体" w:hAnsi="宋体" w:cs="宋体"/>
                      <w:color w:val="auto"/>
                      <w:kern w:val="0"/>
                      <w:szCs w:val="21"/>
                      <w:highlight w:val="none"/>
                      <w:lang w:val="en-US" w:eastAsia="zh-CN"/>
                    </w:rPr>
                    <w:t>含有</w:t>
                  </w:r>
                  <w:r>
                    <w:rPr>
                      <w:rFonts w:hint="eastAsia" w:ascii="宋体" w:hAnsi="宋体" w:cs="宋体"/>
                      <w:color w:val="auto"/>
                      <w:kern w:val="0"/>
                      <w:szCs w:val="21"/>
                      <w:highlight w:val="none"/>
                    </w:rPr>
                    <w:t>毒有害污染物、二噁英、苯并[a]芘、氰化物、氯气</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不涉及</w:t>
                  </w:r>
                  <w:r>
                    <w:rPr>
                      <w:rStyle w:val="35"/>
                      <w:rFonts w:hint="eastAsia" w:ascii="Calibri" w:hAnsi="Calibri"/>
                      <w:snapToGrid/>
                      <w:color w:val="auto"/>
                      <w:kern w:val="0"/>
                      <w:szCs w:val="20"/>
                      <w:highlight w:val="none"/>
                      <w:lang w:val="en-US" w:eastAsia="zh-CN"/>
                    </w:rPr>
                    <w:t>大气专项评价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957" w:type="dxa"/>
                  <w:tcBorders>
                    <w:tl2br w:val="nil"/>
                    <w:tr2bl w:val="nil"/>
                  </w:tcBorders>
                  <w:vAlign w:val="center"/>
                </w:tcPr>
                <w:p>
                  <w:pPr>
                    <w:pStyle w:val="70"/>
                    <w:rPr>
                      <w:color w:val="auto"/>
                      <w:highlight w:val="none"/>
                    </w:rPr>
                  </w:pPr>
                  <w:r>
                    <w:rPr>
                      <w:rFonts w:hint="eastAsia"/>
                      <w:color w:val="auto"/>
                      <w:highlight w:val="none"/>
                    </w:rPr>
                    <w:t>地表水</w:t>
                  </w:r>
                </w:p>
              </w:tc>
              <w:tc>
                <w:tcPr>
                  <w:tcW w:w="3210" w:type="dxa"/>
                  <w:tcBorders>
                    <w:tl2br w:val="nil"/>
                    <w:tr2bl w:val="nil"/>
                  </w:tcBorders>
                  <w:vAlign w:val="center"/>
                </w:tcPr>
                <w:p>
                  <w:pPr>
                    <w:pStyle w:val="70"/>
                    <w:rPr>
                      <w:rFonts w:ascii="宋体" w:hAnsi="宋体" w:cs="宋体"/>
                      <w:color w:val="auto"/>
                      <w:kern w:val="0"/>
                      <w:szCs w:val="21"/>
                      <w:highlight w:val="none"/>
                    </w:rPr>
                  </w:pPr>
                  <w:r>
                    <w:rPr>
                      <w:rFonts w:hint="eastAsia" w:ascii="宋体" w:hAnsi="宋体" w:cs="宋体"/>
                      <w:color w:val="auto"/>
                      <w:kern w:val="0"/>
                      <w:szCs w:val="21"/>
                      <w:highlight w:val="none"/>
                    </w:rPr>
                    <w:t>新增工业废水直排建设项目（槽罐车外送污水处理厂的除外）；新增废水直排的污水集中处理厂</w:t>
                  </w:r>
                </w:p>
              </w:tc>
              <w:tc>
                <w:tcPr>
                  <w:tcW w:w="3510" w:type="dxa"/>
                  <w:tcBorders>
                    <w:tl2br w:val="nil"/>
                    <w:tr2bl w:val="nil"/>
                  </w:tcBorders>
                  <w:vAlign w:val="center"/>
                </w:tcPr>
                <w:p>
                  <w:pPr>
                    <w:pStyle w:val="70"/>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项目</w:t>
                  </w:r>
                  <w:r>
                    <w:rPr>
                      <w:rFonts w:hint="eastAsia" w:ascii="宋体" w:hAnsi="宋体" w:cs="宋体"/>
                      <w:color w:val="auto"/>
                      <w:kern w:val="0"/>
                      <w:szCs w:val="21"/>
                      <w:highlight w:val="none"/>
                      <w:lang w:val="en-US" w:eastAsia="zh-CN"/>
                    </w:rPr>
                    <w:t>废水为间排接放</w:t>
                  </w:r>
                  <w:r>
                    <w:rPr>
                      <w:rFonts w:hint="eastAsia" w:ascii="宋体" w:hAnsi="宋体" w:cs="宋体"/>
                      <w:color w:val="auto"/>
                      <w:kern w:val="0"/>
                      <w:szCs w:val="21"/>
                      <w:highlight w:val="none"/>
                    </w:rPr>
                    <w:t>，不涉及</w:t>
                  </w:r>
                  <w:r>
                    <w:rPr>
                      <w:rStyle w:val="35"/>
                      <w:rFonts w:hint="eastAsia" w:ascii="Calibri" w:hAnsi="Calibri"/>
                      <w:snapToGrid/>
                      <w:color w:val="auto"/>
                      <w:kern w:val="0"/>
                      <w:szCs w:val="20"/>
                      <w:highlight w:val="none"/>
                      <w:lang w:val="en-US" w:eastAsia="zh-CN"/>
                    </w:rPr>
                    <w:t>地表水专项评价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957" w:type="dxa"/>
                  <w:tcBorders>
                    <w:tl2br w:val="nil"/>
                    <w:tr2bl w:val="nil"/>
                  </w:tcBorders>
                  <w:vAlign w:val="center"/>
                </w:tcPr>
                <w:p>
                  <w:pPr>
                    <w:pStyle w:val="70"/>
                    <w:rPr>
                      <w:color w:val="auto"/>
                      <w:highlight w:val="none"/>
                    </w:rPr>
                  </w:pPr>
                  <w:r>
                    <w:rPr>
                      <w:rFonts w:hint="eastAsia"/>
                      <w:color w:val="auto"/>
                      <w:highlight w:val="none"/>
                    </w:rPr>
                    <w:t>环境风险</w:t>
                  </w:r>
                </w:p>
              </w:tc>
              <w:tc>
                <w:tcPr>
                  <w:tcW w:w="3210" w:type="dxa"/>
                  <w:tcBorders>
                    <w:tl2br w:val="nil"/>
                    <w:tr2bl w:val="nil"/>
                  </w:tcBorders>
                  <w:vAlign w:val="center"/>
                </w:tcPr>
                <w:p>
                  <w:pPr>
                    <w:pStyle w:val="70"/>
                    <w:rPr>
                      <w:rFonts w:ascii="宋体" w:hAnsi="宋体" w:cs="宋体"/>
                      <w:color w:val="auto"/>
                      <w:kern w:val="0"/>
                      <w:szCs w:val="21"/>
                      <w:highlight w:val="none"/>
                    </w:rPr>
                  </w:pPr>
                  <w:r>
                    <w:rPr>
                      <w:rFonts w:hint="eastAsia" w:ascii="宋体" w:hAnsi="宋体" w:cs="宋体"/>
                      <w:color w:val="auto"/>
                      <w:kern w:val="0"/>
                      <w:szCs w:val="21"/>
                      <w:highlight w:val="none"/>
                    </w:rPr>
                    <w:t>有毒有害和易燃易爆危险物质存储量超过临界量</w:t>
                  </w:r>
                  <w:r>
                    <w:rPr>
                      <w:rFonts w:hint="eastAsia" w:ascii="宋体" w:hAnsi="宋体" w:cs="宋体"/>
                      <w:color w:val="auto"/>
                      <w:kern w:val="0"/>
                      <w:szCs w:val="21"/>
                      <w:highlight w:val="none"/>
                      <w:vertAlign w:val="subscript"/>
                    </w:rPr>
                    <w:t>3</w:t>
                  </w:r>
                  <w:r>
                    <w:rPr>
                      <w:rFonts w:hint="eastAsia" w:ascii="宋体" w:hAnsi="宋体" w:cs="宋体"/>
                      <w:color w:val="auto"/>
                      <w:kern w:val="0"/>
                      <w:szCs w:val="21"/>
                      <w:highlight w:val="none"/>
                    </w:rPr>
                    <w:t>的建设项目</w:t>
                  </w:r>
                </w:p>
              </w:tc>
              <w:tc>
                <w:tcPr>
                  <w:tcW w:w="3510" w:type="dxa"/>
                  <w:tcBorders>
                    <w:tl2br w:val="nil"/>
                    <w:tr2bl w:val="nil"/>
                  </w:tcBorders>
                  <w:vAlign w:val="center"/>
                </w:tcPr>
                <w:p>
                  <w:pPr>
                    <w:pStyle w:val="70"/>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项目Q值为0.</w:t>
                  </w:r>
                  <w:r>
                    <w:rPr>
                      <w:rFonts w:hint="eastAsia" w:ascii="宋体" w:hAnsi="宋体" w:cs="宋体"/>
                      <w:color w:val="auto"/>
                      <w:kern w:val="0"/>
                      <w:szCs w:val="21"/>
                      <w:highlight w:val="none"/>
                      <w:lang w:val="en-US" w:eastAsia="zh-CN"/>
                    </w:rPr>
                    <w:t>0</w:t>
                  </w:r>
                  <w:r>
                    <w:rPr>
                      <w:rFonts w:hint="eastAsia" w:ascii="宋体" w:hAnsi="宋体" w:cs="宋体"/>
                      <w:color w:val="auto"/>
                      <w:kern w:val="0"/>
                      <w:szCs w:val="21"/>
                      <w:highlight w:val="none"/>
                    </w:rPr>
                    <w:t>0</w:t>
                  </w:r>
                  <w:r>
                    <w:rPr>
                      <w:rFonts w:hint="eastAsia" w:ascii="宋体" w:hAnsi="宋体" w:cs="宋体"/>
                      <w:color w:val="auto"/>
                      <w:kern w:val="0"/>
                      <w:szCs w:val="21"/>
                      <w:highlight w:val="none"/>
                      <w:lang w:val="en-US" w:eastAsia="zh-CN"/>
                    </w:rPr>
                    <w:t>54</w:t>
                  </w:r>
                  <w:r>
                    <w:rPr>
                      <w:rFonts w:hint="eastAsia" w:ascii="宋体" w:hAnsi="宋体" w:cs="宋体"/>
                      <w:color w:val="auto"/>
                      <w:kern w:val="0"/>
                      <w:szCs w:val="21"/>
                      <w:highlight w:val="none"/>
                    </w:rPr>
                    <w:t>，危险物质存储量未超过临界量，不涉及</w:t>
                  </w:r>
                  <w:r>
                    <w:rPr>
                      <w:rStyle w:val="35"/>
                      <w:rFonts w:hint="eastAsia" w:ascii="Calibri" w:hAnsi="Calibri"/>
                      <w:snapToGrid/>
                      <w:color w:val="auto"/>
                      <w:kern w:val="0"/>
                      <w:szCs w:val="20"/>
                      <w:highlight w:val="none"/>
                      <w:lang w:val="en-US" w:eastAsia="zh-CN"/>
                    </w:rPr>
                    <w:t>环境风险专项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1" w:hRule="atLeast"/>
                <w:jc w:val="center"/>
              </w:trPr>
              <w:tc>
                <w:tcPr>
                  <w:tcW w:w="957" w:type="dxa"/>
                  <w:tcBorders>
                    <w:tl2br w:val="nil"/>
                    <w:tr2bl w:val="nil"/>
                  </w:tcBorders>
                  <w:vAlign w:val="center"/>
                </w:tcPr>
                <w:p>
                  <w:pPr>
                    <w:pStyle w:val="70"/>
                    <w:rPr>
                      <w:rFonts w:ascii="宋体" w:hAnsi="宋体" w:cs="宋体"/>
                      <w:color w:val="auto"/>
                      <w:kern w:val="0"/>
                      <w:szCs w:val="21"/>
                      <w:highlight w:val="none"/>
                    </w:rPr>
                  </w:pPr>
                  <w:r>
                    <w:rPr>
                      <w:rFonts w:hint="eastAsia" w:ascii="宋体" w:hAnsi="宋体" w:cs="宋体"/>
                      <w:color w:val="auto"/>
                      <w:kern w:val="0"/>
                      <w:szCs w:val="21"/>
                      <w:highlight w:val="none"/>
                    </w:rPr>
                    <w:t>生态</w:t>
                  </w:r>
                </w:p>
              </w:tc>
              <w:tc>
                <w:tcPr>
                  <w:tcW w:w="3210" w:type="dxa"/>
                  <w:tcBorders>
                    <w:tl2br w:val="nil"/>
                    <w:tr2bl w:val="nil"/>
                  </w:tcBorders>
                  <w:vAlign w:val="center"/>
                </w:tcPr>
                <w:p>
                  <w:pPr>
                    <w:pStyle w:val="70"/>
                    <w:rPr>
                      <w:rFonts w:ascii="宋体" w:hAnsi="宋体" w:cs="宋体"/>
                      <w:color w:val="auto"/>
                      <w:kern w:val="0"/>
                      <w:szCs w:val="21"/>
                      <w:highlight w:val="none"/>
                    </w:rPr>
                  </w:pPr>
                  <w:r>
                    <w:rPr>
                      <w:rFonts w:hint="eastAsia" w:ascii="宋体" w:hAnsi="宋体" w:cs="宋体"/>
                      <w:color w:val="auto"/>
                      <w:kern w:val="0"/>
                      <w:szCs w:val="21"/>
                      <w:highlight w:val="none"/>
                    </w:rPr>
                    <w:t>取水口下游500米范围内有重要水生生物的自然产卵场、索饵场、越冬场和洄游通道的新增河道取水的污染类建设项目</w:t>
                  </w:r>
                </w:p>
              </w:tc>
              <w:tc>
                <w:tcPr>
                  <w:tcW w:w="3510" w:type="dxa"/>
                  <w:tcBorders>
                    <w:tl2br w:val="nil"/>
                    <w:tr2bl w:val="nil"/>
                  </w:tcBorders>
                  <w:vAlign w:val="center"/>
                </w:tcPr>
                <w:p>
                  <w:pPr>
                    <w:pStyle w:val="70"/>
                    <w:rPr>
                      <w:rFonts w:hint="default" w:ascii="宋体" w:hAnsi="宋体" w:cs="宋体"/>
                      <w:color w:val="auto"/>
                      <w:kern w:val="0"/>
                      <w:szCs w:val="21"/>
                      <w:highlight w:val="none"/>
                      <w:lang w:val="en-US"/>
                    </w:rPr>
                  </w:pPr>
                  <w:r>
                    <w:rPr>
                      <w:rFonts w:hint="eastAsia" w:ascii="宋体" w:hAnsi="宋体" w:cs="宋体"/>
                      <w:color w:val="auto"/>
                      <w:kern w:val="0"/>
                      <w:szCs w:val="21"/>
                      <w:highlight w:val="none"/>
                    </w:rPr>
                    <w:t>本项目不新增取水口，不涉及</w:t>
                  </w:r>
                  <w:r>
                    <w:rPr>
                      <w:rFonts w:hint="eastAsia" w:ascii="宋体" w:hAnsi="宋体" w:cs="宋体"/>
                      <w:color w:val="auto"/>
                      <w:kern w:val="0"/>
                      <w:szCs w:val="21"/>
                      <w:highlight w:val="none"/>
                      <w:lang w:val="en-US" w:eastAsia="zh-CN"/>
                    </w:rPr>
                    <w:t>生态专项评价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957" w:type="dxa"/>
                  <w:tcBorders>
                    <w:tl2br w:val="nil"/>
                    <w:tr2bl w:val="nil"/>
                  </w:tcBorders>
                  <w:vAlign w:val="center"/>
                </w:tcPr>
                <w:p>
                  <w:pPr>
                    <w:pStyle w:val="70"/>
                    <w:rPr>
                      <w:rFonts w:ascii="宋体" w:hAnsi="宋体" w:cs="宋体"/>
                      <w:color w:val="auto"/>
                      <w:kern w:val="0"/>
                      <w:szCs w:val="21"/>
                      <w:highlight w:val="none"/>
                    </w:rPr>
                  </w:pPr>
                  <w:r>
                    <w:rPr>
                      <w:rFonts w:hint="eastAsia" w:ascii="宋体" w:hAnsi="宋体" w:cs="宋体"/>
                      <w:color w:val="auto"/>
                      <w:kern w:val="0"/>
                      <w:szCs w:val="21"/>
                      <w:highlight w:val="none"/>
                    </w:rPr>
                    <w:t>海洋</w:t>
                  </w:r>
                </w:p>
              </w:tc>
              <w:tc>
                <w:tcPr>
                  <w:tcW w:w="3210" w:type="dxa"/>
                  <w:tcBorders>
                    <w:tl2br w:val="nil"/>
                    <w:tr2bl w:val="nil"/>
                  </w:tcBorders>
                  <w:vAlign w:val="center"/>
                </w:tcPr>
                <w:p>
                  <w:pPr>
                    <w:pStyle w:val="70"/>
                    <w:rPr>
                      <w:rFonts w:ascii="宋体" w:hAnsi="宋体" w:cs="宋体"/>
                      <w:color w:val="auto"/>
                      <w:kern w:val="0"/>
                      <w:szCs w:val="21"/>
                      <w:highlight w:val="none"/>
                    </w:rPr>
                  </w:pPr>
                  <w:r>
                    <w:rPr>
                      <w:rFonts w:hint="eastAsia" w:ascii="宋体" w:hAnsi="宋体" w:cs="宋体"/>
                      <w:color w:val="auto"/>
                      <w:kern w:val="0"/>
                      <w:szCs w:val="21"/>
                      <w:highlight w:val="none"/>
                    </w:rPr>
                    <w:t>直接向海排放污染物的海洋工程建设项目</w:t>
                  </w:r>
                </w:p>
              </w:tc>
              <w:tc>
                <w:tcPr>
                  <w:tcW w:w="3510" w:type="dxa"/>
                  <w:tcBorders>
                    <w:tl2br w:val="nil"/>
                    <w:tr2bl w:val="nil"/>
                  </w:tcBorders>
                  <w:vAlign w:val="center"/>
                </w:tcPr>
                <w:p>
                  <w:pPr>
                    <w:pStyle w:val="70"/>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rPr>
                    <w:t>本项目不属于海洋工程，也不向</w:t>
                  </w:r>
                  <w:r>
                    <w:rPr>
                      <w:rFonts w:hint="eastAsia" w:ascii="宋体" w:hAnsi="宋体" w:cs="宋体"/>
                      <w:color w:val="auto"/>
                      <w:kern w:val="0"/>
                      <w:szCs w:val="21"/>
                      <w:highlight w:val="none"/>
                      <w:lang w:eastAsia="zh-CN"/>
                    </w:rPr>
                    <w:t>海洋</w:t>
                  </w:r>
                  <w:r>
                    <w:rPr>
                      <w:rFonts w:hint="eastAsia" w:ascii="宋体" w:hAnsi="宋体" w:cs="宋体"/>
                      <w:color w:val="auto"/>
                      <w:kern w:val="0"/>
                      <w:szCs w:val="21"/>
                      <w:highlight w:val="none"/>
                    </w:rPr>
                    <w:t>排放污染物，不涉及</w:t>
                  </w:r>
                  <w:r>
                    <w:rPr>
                      <w:rStyle w:val="35"/>
                      <w:rFonts w:hint="eastAsia" w:ascii="Calibri" w:hAnsi="Calibri"/>
                      <w:snapToGrid/>
                      <w:color w:val="auto"/>
                      <w:kern w:val="0"/>
                      <w:szCs w:val="20"/>
                      <w:highlight w:val="none"/>
                      <w:lang w:val="en-US" w:eastAsia="zh-CN"/>
                    </w:rPr>
                    <w:t>海洋专项评价</w:t>
                  </w:r>
                </w:p>
              </w:tc>
            </w:tr>
          </w:tbl>
          <w:p>
            <w:pPr>
              <w:pStyle w:val="70"/>
              <w:jc w:val="both"/>
              <w:rPr>
                <w:rFonts w:ascii="宋体" w:hAnsi="宋体" w:cs="宋体"/>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cs="宋体"/>
                <w:color w:val="auto"/>
                <w:kern w:val="0"/>
                <w:szCs w:val="21"/>
                <w:highlight w:val="none"/>
              </w:rPr>
            </w:pPr>
            <w:r>
              <w:rPr>
                <w:rFonts w:hint="eastAsia" w:ascii="宋体" w:hAnsi="宋体" w:cs="宋体"/>
                <w:color w:val="auto"/>
                <w:szCs w:val="21"/>
                <w:highlight w:val="none"/>
              </w:rPr>
              <w:t>规划情况</w:t>
            </w:r>
          </w:p>
        </w:tc>
        <w:tc>
          <w:tcPr>
            <w:tcW w:w="7825" w:type="dxa"/>
            <w:gridSpan w:val="3"/>
            <w:vAlign w:val="center"/>
          </w:tcPr>
          <w:p>
            <w:pPr>
              <w:pStyle w:val="72"/>
              <w:keepNext w:val="0"/>
              <w:keepLines w:val="0"/>
              <w:pageBreakBefore w:val="0"/>
              <w:widowControl w:val="0"/>
              <w:kinsoku/>
              <w:wordWrap/>
              <w:overflowPunct/>
              <w:topLinePunct w:val="0"/>
              <w:bidi w:val="0"/>
              <w:spacing w:line="240" w:lineRule="auto"/>
              <w:ind w:firstLine="0" w:firstLineChars="0"/>
              <w:textAlignment w:val="auto"/>
              <w:rPr>
                <w:color w:val="auto"/>
                <w:highlight w:val="none"/>
              </w:rPr>
            </w:pPr>
            <w:r>
              <w:rPr>
                <w:rFonts w:hint="eastAsia"/>
                <w:color w:val="auto"/>
                <w:highlight w:val="none"/>
              </w:rPr>
              <w:t>规划名称：《福州临空经济区产业布局规划（2021</w:t>
            </w:r>
            <w:r>
              <w:rPr>
                <w:rFonts w:hint="eastAsia"/>
                <w:color w:val="auto"/>
                <w:highlight w:val="none"/>
                <w:lang w:eastAsia="zh-CN"/>
              </w:rPr>
              <w:t>—</w:t>
            </w:r>
            <w:r>
              <w:rPr>
                <w:rFonts w:hint="eastAsia"/>
                <w:color w:val="auto"/>
                <w:highlight w:val="none"/>
              </w:rPr>
              <w:t>2025年）（修编）》</w:t>
            </w:r>
          </w:p>
          <w:p>
            <w:pPr>
              <w:pStyle w:val="72"/>
              <w:keepNext w:val="0"/>
              <w:keepLines w:val="0"/>
              <w:pageBreakBefore w:val="0"/>
              <w:widowControl w:val="0"/>
              <w:kinsoku/>
              <w:wordWrap/>
              <w:overflowPunct/>
              <w:topLinePunct w:val="0"/>
              <w:bidi w:val="0"/>
              <w:spacing w:line="240" w:lineRule="auto"/>
              <w:ind w:firstLine="0" w:firstLineChars="0"/>
              <w:textAlignment w:val="auto"/>
              <w:rPr>
                <w:color w:val="auto"/>
                <w:highlight w:val="none"/>
              </w:rPr>
            </w:pPr>
            <w:r>
              <w:rPr>
                <w:rFonts w:hint="eastAsia"/>
                <w:color w:val="auto"/>
                <w:highlight w:val="none"/>
              </w:rPr>
              <w:t>审批机关：</w:t>
            </w:r>
          </w:p>
          <w:p>
            <w:pPr>
              <w:pStyle w:val="72"/>
              <w:keepNext w:val="0"/>
              <w:keepLines w:val="0"/>
              <w:pageBreakBefore w:val="0"/>
              <w:widowControl w:val="0"/>
              <w:kinsoku/>
              <w:wordWrap/>
              <w:overflowPunct/>
              <w:topLinePunct w:val="0"/>
              <w:bidi w:val="0"/>
              <w:spacing w:line="240" w:lineRule="auto"/>
              <w:ind w:firstLine="0" w:firstLineChars="0"/>
              <w:textAlignment w:val="auto"/>
              <w:rPr>
                <w:rFonts w:hint="eastAsia" w:ascii="宋体" w:hAnsi="宋体" w:eastAsia="宋体" w:cs="宋体"/>
                <w:color w:val="auto"/>
                <w:kern w:val="0"/>
                <w:szCs w:val="21"/>
                <w:highlight w:val="none"/>
                <w:lang w:eastAsia="zh-CN"/>
              </w:rPr>
            </w:pPr>
            <w:r>
              <w:rPr>
                <w:rFonts w:hint="eastAsia"/>
                <w:color w:val="auto"/>
                <w:highlight w:val="none"/>
              </w:rPr>
              <w:t>审批文件名称及文号：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5" w:type="dxa"/>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规划环境影响</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ascii="宋体" w:hAnsi="宋体" w:cs="宋体"/>
                <w:color w:val="auto"/>
                <w:kern w:val="0"/>
                <w:szCs w:val="21"/>
                <w:highlight w:val="none"/>
              </w:rPr>
            </w:pPr>
            <w:r>
              <w:rPr>
                <w:rFonts w:hint="eastAsia" w:ascii="宋体" w:hAnsi="宋体" w:cs="宋体"/>
                <w:color w:val="auto"/>
                <w:szCs w:val="21"/>
                <w:highlight w:val="none"/>
              </w:rPr>
              <w:t>评价情况</w:t>
            </w:r>
          </w:p>
        </w:tc>
        <w:tc>
          <w:tcPr>
            <w:tcW w:w="7825" w:type="dxa"/>
            <w:gridSpan w:val="3"/>
            <w:vAlign w:val="center"/>
          </w:tcPr>
          <w:p>
            <w:pPr>
              <w:pStyle w:val="72"/>
              <w:keepNext w:val="0"/>
              <w:keepLines w:val="0"/>
              <w:pageBreakBefore w:val="0"/>
              <w:widowControl w:val="0"/>
              <w:kinsoku/>
              <w:wordWrap/>
              <w:overflowPunct/>
              <w:topLinePunct w:val="0"/>
              <w:bidi w:val="0"/>
              <w:spacing w:line="240" w:lineRule="auto"/>
              <w:ind w:firstLine="0" w:firstLineChars="0"/>
              <w:textAlignment w:val="auto"/>
              <w:rPr>
                <w:color w:val="auto"/>
                <w:highlight w:val="none"/>
              </w:rPr>
            </w:pPr>
            <w:r>
              <w:rPr>
                <w:rFonts w:hint="eastAsia"/>
                <w:color w:val="auto"/>
                <w:highlight w:val="none"/>
              </w:rPr>
              <w:t>规划名称：《福州临空经济区产业布局规划（2021</w:t>
            </w:r>
            <w:r>
              <w:rPr>
                <w:rFonts w:hint="eastAsia"/>
                <w:color w:val="auto"/>
                <w:highlight w:val="none"/>
                <w:lang w:eastAsia="zh-CN"/>
              </w:rPr>
              <w:t>—</w:t>
            </w:r>
            <w:r>
              <w:rPr>
                <w:rFonts w:hint="eastAsia"/>
                <w:color w:val="auto"/>
                <w:highlight w:val="none"/>
              </w:rPr>
              <w:t>2025年）（修编）环境影响报告书》</w:t>
            </w:r>
          </w:p>
          <w:p>
            <w:pPr>
              <w:pStyle w:val="72"/>
              <w:keepNext w:val="0"/>
              <w:keepLines w:val="0"/>
              <w:pageBreakBefore w:val="0"/>
              <w:widowControl w:val="0"/>
              <w:kinsoku/>
              <w:wordWrap/>
              <w:overflowPunct/>
              <w:topLinePunct w:val="0"/>
              <w:bidi w:val="0"/>
              <w:spacing w:line="240" w:lineRule="auto"/>
              <w:ind w:firstLine="0" w:firstLineChars="0"/>
              <w:textAlignment w:val="auto"/>
              <w:rPr>
                <w:color w:val="auto"/>
                <w:highlight w:val="none"/>
              </w:rPr>
            </w:pPr>
            <w:r>
              <w:rPr>
                <w:rFonts w:hint="eastAsia"/>
                <w:color w:val="auto"/>
                <w:highlight w:val="none"/>
              </w:rPr>
              <w:t>审批机关：福州市生态环境局</w:t>
            </w:r>
          </w:p>
          <w:p>
            <w:pPr>
              <w:pStyle w:val="72"/>
              <w:keepNext w:val="0"/>
              <w:keepLines w:val="0"/>
              <w:pageBreakBefore w:val="0"/>
              <w:widowControl w:val="0"/>
              <w:kinsoku/>
              <w:wordWrap/>
              <w:overflowPunct/>
              <w:topLinePunct w:val="0"/>
              <w:bidi w:val="0"/>
              <w:spacing w:line="240" w:lineRule="auto"/>
              <w:ind w:firstLine="0" w:firstLineChars="0"/>
              <w:textAlignment w:val="auto"/>
              <w:rPr>
                <w:color w:val="auto"/>
                <w:highlight w:val="none"/>
              </w:rPr>
            </w:pPr>
            <w:r>
              <w:rPr>
                <w:rFonts w:hint="eastAsia"/>
                <w:color w:val="auto"/>
                <w:highlight w:val="none"/>
              </w:rPr>
              <w:t>审批文件名称及文号：福州市生态环境局关于印发《福州临空经济区产业布局规划（2021</w:t>
            </w:r>
            <w:r>
              <w:rPr>
                <w:rFonts w:hint="eastAsia"/>
                <w:color w:val="auto"/>
                <w:highlight w:val="none"/>
                <w:lang w:eastAsia="zh-CN"/>
              </w:rPr>
              <w:t>—</w:t>
            </w:r>
            <w:r>
              <w:rPr>
                <w:rFonts w:hint="eastAsia"/>
                <w:color w:val="auto"/>
                <w:highlight w:val="none"/>
              </w:rPr>
              <w:t>2025年）（修编）环境影响报告书》审查小组意见的通知（榕环评</w:t>
            </w:r>
            <w:r>
              <w:rPr>
                <w:rFonts w:hint="eastAsia"/>
                <w:color w:val="auto"/>
                <w:highlight w:val="none"/>
                <w:lang w:eastAsia="zh-CN"/>
              </w:rPr>
              <w:t>〔2022〕18号</w:t>
            </w:r>
            <w:r>
              <w:rPr>
                <w:rFonts w:hint="eastAsia"/>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045" w:type="dxa"/>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规划及规划环境</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影响评价符合性分析</w:t>
            </w:r>
          </w:p>
        </w:tc>
        <w:tc>
          <w:tcPr>
            <w:tcW w:w="7825" w:type="dxa"/>
            <w:gridSpan w:val="3"/>
            <w:vAlign w:val="center"/>
          </w:tcPr>
          <w:p>
            <w:pPr>
              <w:pStyle w:val="72"/>
              <w:ind w:firstLine="0" w:firstLineChars="0"/>
              <w:rPr>
                <w:color w:val="auto"/>
                <w:highlight w:val="none"/>
              </w:rPr>
            </w:pPr>
            <w:r>
              <w:rPr>
                <w:rFonts w:hint="eastAsia"/>
                <w:color w:val="auto"/>
                <w:highlight w:val="none"/>
              </w:rPr>
              <w:t>（1）规划符合性分析</w:t>
            </w:r>
          </w:p>
          <w:p>
            <w:pPr>
              <w:pStyle w:val="72"/>
              <w:ind w:firstLine="48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根据《福州临空经济区产业布局规划</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2021</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2025年</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修编</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福州临空经济区规划面积约76.93平方公里。规划调整为“一核一带三片区”的产业布局形态，“一核”指的是围绕长乐国际机场的空港核心区，“一带”指的是“产业聚集带”，“三片区”指的是“鹤上片区”、“潭头片区”、“梅花片区”。</w:t>
            </w:r>
          </w:p>
          <w:p>
            <w:pPr>
              <w:pStyle w:val="72"/>
              <w:ind w:firstLine="48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一核一带三片区”：“一核”即围绕长乐国际机场，实现航空紧密关联产业的发展与提升，突出空港核心的吸引作用，加速产业集聚。伴随机场二期工程建设，进一步完善核心区构建以现代物流为主导的产业发展形态，推进航空物流、保税物流、跨境电商、时鲜冷链等细分产业发展，促进智慧物流新业态形成，提升航空增值服务。规划面积21.65平方公里。</w:t>
            </w:r>
          </w:p>
          <w:p>
            <w:pPr>
              <w:pStyle w:val="72"/>
              <w:ind w:firstLine="48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 xml:space="preserve"> “一带”即以文松路东侧，机场西、北侧范围内的产业为基础，实现产业结构转换和升级，吸引高技术产业集聚。现区域内已形成了包括纺织、化纤、机械装备、光电、建材、数字等多产业分散布局的空间形态。产业聚集带规划面积29.64平方公里，其中工业用地10.85平方公里（一类工业用地1.31平方公里、二类工业用地8.22平方公里、新型产业用地1.32平方公里）、物流仓储用地0.93平方公里、二类居住用地2.69平方公里。区域基于现有产业分布特征，重点在空间规划上实现产业的相对集聚，突出重点大力发展高端装备产业、先进制造产业、现代物流产业、光电产业和数字融合产业。</w:t>
            </w:r>
          </w:p>
          <w:p>
            <w:pPr>
              <w:pStyle w:val="72"/>
              <w:ind w:firstLine="480" w:firstLineChars="200"/>
              <w:rPr>
                <w:rFonts w:hint="eastAsia" w:eastAsia="宋体"/>
                <w:color w:val="auto"/>
                <w:highlight w:val="none"/>
                <w:lang w:eastAsia="zh-CN"/>
              </w:rPr>
            </w:pPr>
            <w:r>
              <w:rPr>
                <w:rFonts w:hint="eastAsia" w:ascii="Times New Roman" w:hAnsi="Times New Roman" w:eastAsia="宋体" w:cs="Times New Roman"/>
                <w:color w:val="auto"/>
              </w:rPr>
              <w:t>“三片区”即以鹤上片区、潭头片区、梅花片区。鹤上片区现区域内主要以传统纺织和贵金属制品产业为主，片区规划面积3.45平方公里</w:t>
            </w:r>
            <w:r>
              <w:rPr>
                <w:rFonts w:hint="eastAsia" w:cs="Times New Roman"/>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72" w:hRule="atLeast"/>
          <w:jc w:val="center"/>
        </w:trPr>
        <w:tc>
          <w:tcPr>
            <w:tcW w:w="1045" w:type="dxa"/>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规划及规划环境</w:t>
            </w:r>
          </w:p>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影响评价符合性分析</w:t>
            </w:r>
          </w:p>
        </w:tc>
        <w:tc>
          <w:tcPr>
            <w:tcW w:w="7825" w:type="dxa"/>
            <w:gridSpan w:val="3"/>
            <w:vAlign w:val="center"/>
          </w:tcPr>
          <w:p>
            <w:pPr>
              <w:pStyle w:val="72"/>
              <w:ind w:firstLine="48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潭头片区现区域内</w:t>
            </w:r>
            <w:r>
              <w:rPr>
                <w:rFonts w:hint="eastAsia" w:ascii="Times New Roman" w:hAnsi="Times New Roman" w:eastAsia="宋体" w:cs="Times New Roman"/>
                <w:color w:val="auto"/>
                <w:u w:val="none"/>
              </w:rPr>
              <w:t>主要</w:t>
            </w:r>
            <w:r>
              <w:rPr>
                <w:rFonts w:hint="eastAsia" w:cs="Times New Roman"/>
                <w:color w:val="auto"/>
                <w:u w:val="none"/>
                <w:lang w:eastAsia="zh-CN"/>
              </w:rPr>
              <w:t>以</w:t>
            </w:r>
            <w:r>
              <w:rPr>
                <w:rFonts w:hint="eastAsia" w:ascii="Times New Roman" w:hAnsi="Times New Roman" w:eastAsia="宋体" w:cs="Times New Roman"/>
                <w:color w:val="auto"/>
                <w:u w:val="none"/>
              </w:rPr>
              <w:t>传统纺织产业和建材产业为主</w:t>
            </w:r>
            <w:r>
              <w:rPr>
                <w:rFonts w:hint="eastAsia" w:cs="Times New Roman"/>
                <w:color w:val="auto"/>
                <w:u w:val="none"/>
                <w:lang w:eastAsia="zh-CN"/>
              </w:rPr>
              <w:t>，</w:t>
            </w:r>
            <w:r>
              <w:rPr>
                <w:rFonts w:hint="eastAsia" w:ascii="Times New Roman" w:hAnsi="Times New Roman" w:eastAsia="宋体" w:cs="Times New Roman"/>
                <w:color w:val="auto"/>
                <w:u w:val="none"/>
              </w:rPr>
              <w:t>尚余</w:t>
            </w:r>
            <w:r>
              <w:rPr>
                <w:rFonts w:hint="eastAsia" w:ascii="Times New Roman" w:hAnsi="Times New Roman" w:eastAsia="宋体" w:cs="Times New Roman"/>
                <w:color w:val="auto"/>
              </w:rPr>
              <w:t>较大空间可供开发建设。片区规划面积20.59平方公里。梅花片区现区域内分布较多农产品、冷冻水产等中小型企业，区域规划整合市场资源，利用区位临海优势，重点发展时鲜冷链等现代物流产业，结合机场航空优势，推进现代物流产业体系建设。片区规划面积1.60平方公里。</w:t>
            </w:r>
          </w:p>
          <w:p>
            <w:pPr>
              <w:pStyle w:val="81"/>
              <w:ind w:firstLine="0" w:firstLineChars="0"/>
              <w:jc w:val="center"/>
              <w:rPr>
                <w:rFonts w:cs="Times New Roman"/>
                <w:color w:val="auto"/>
              </w:rPr>
            </w:pPr>
            <w:r>
              <w:rPr>
                <w:rFonts w:cs="Times New Roman"/>
                <w:color w:val="auto"/>
              </w:rPr>
              <w:drawing>
                <wp:inline distT="0" distB="0" distL="0" distR="0">
                  <wp:extent cx="4285615" cy="5862955"/>
                  <wp:effectExtent l="9525" t="9525" r="10160" b="13970"/>
                  <wp:docPr id="4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7.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5615" cy="5862955"/>
                          </a:xfrm>
                          <a:prstGeom prst="rect">
                            <a:avLst/>
                          </a:prstGeom>
                          <a:ln cmpd="sng">
                            <a:solidFill>
                              <a:schemeClr val="tx1"/>
                            </a:solidFill>
                          </a:ln>
                        </pic:spPr>
                      </pic:pic>
                    </a:graphicData>
                  </a:graphic>
                </wp:inline>
              </w:drawing>
            </w:r>
          </w:p>
          <w:p>
            <w:pPr>
              <w:ind w:firstLine="482"/>
              <w:jc w:val="center"/>
              <w:rPr>
                <w:rFonts w:hint="eastAsia" w:eastAsiaTheme="minorEastAsia"/>
                <w:b/>
                <w:color w:val="auto"/>
              </w:rPr>
            </w:pPr>
          </w:p>
          <w:p>
            <w:pPr>
              <w:ind w:firstLine="482"/>
              <w:jc w:val="center"/>
              <w:rPr>
                <w:rFonts w:eastAsiaTheme="minorEastAsia"/>
                <w:b/>
                <w:color w:val="auto"/>
              </w:rPr>
            </w:pPr>
            <w:r>
              <w:rPr>
                <w:rFonts w:hint="eastAsia" w:eastAsiaTheme="minorEastAsia"/>
                <w:b/>
                <w:color w:val="auto"/>
              </w:rPr>
              <w:t>图</w:t>
            </w:r>
            <w:r>
              <w:rPr>
                <w:rFonts w:hint="eastAsia" w:eastAsiaTheme="minorEastAsia"/>
                <w:b/>
                <w:color w:val="auto"/>
                <w:lang w:val="en-US" w:eastAsia="zh-CN"/>
              </w:rPr>
              <w:t>1.1</w:t>
            </w:r>
            <w:r>
              <w:rPr>
                <w:rFonts w:hint="eastAsia" w:eastAsiaTheme="minorEastAsia"/>
                <w:b/>
                <w:color w:val="auto"/>
              </w:rPr>
              <w:t>-</w:t>
            </w:r>
            <w:r>
              <w:rPr>
                <w:rFonts w:eastAsiaTheme="minorEastAsia"/>
                <w:b/>
                <w:color w:val="auto"/>
              </w:rPr>
              <w:t>2产业聚集带产业规划图</w:t>
            </w:r>
          </w:p>
          <w:p>
            <w:pPr>
              <w:pStyle w:val="72"/>
              <w:ind w:firstLine="480"/>
              <w:rPr>
                <w:rFonts w:hint="eastAsia"/>
                <w:color w:val="auto"/>
              </w:rPr>
            </w:pPr>
          </w:p>
          <w:p>
            <w:pPr>
              <w:pStyle w:val="70"/>
              <w:rPr>
                <w:rFonts w:ascii="Times New Roman" w:hAnsi="Times New Roman" w:eastAsiaTheme="minorEastAsia"/>
                <w:color w:val="auto"/>
                <w:sz w:val="24"/>
                <w:szCs w:val="24"/>
                <w:lang w:val="en-US" w:bidi="ar-SA"/>
              </w:rPr>
            </w:pPr>
            <w:r>
              <w:rPr>
                <w:color w:val="auto"/>
              </w:rPr>
              <w:drawing>
                <wp:inline distT="0" distB="0" distL="0" distR="0">
                  <wp:extent cx="4867910" cy="5788025"/>
                  <wp:effectExtent l="9525" t="9525" r="18415" b="12700"/>
                  <wp:docPr id="457" name="图片 457" descr="C:\Users\ADMINI~1\AppData\Local\Temp\ksohtml425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C:\Users\ADMINI~1\AppData\Local\Temp\ksohtml4256\wps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67910" cy="5788025"/>
                          </a:xfrm>
                          <a:prstGeom prst="rect">
                            <a:avLst/>
                          </a:prstGeom>
                          <a:noFill/>
                          <a:ln>
                            <a:solidFill>
                              <a:schemeClr val="tx1"/>
                            </a:solidFill>
                          </a:ln>
                        </pic:spPr>
                      </pic:pic>
                    </a:graphicData>
                  </a:graphic>
                </wp:inline>
              </w:drawing>
            </w:r>
          </w:p>
          <w:p>
            <w:pPr>
              <w:ind w:firstLine="482"/>
              <w:jc w:val="center"/>
              <w:rPr>
                <w:rFonts w:hint="default" w:eastAsiaTheme="minorEastAsia"/>
                <w:b/>
                <w:color w:val="auto"/>
                <w:lang w:val="en-US" w:eastAsia="zh-CN"/>
              </w:rPr>
            </w:pPr>
            <w:r>
              <w:rPr>
                <w:rFonts w:hint="eastAsia" w:eastAsiaTheme="minorEastAsia"/>
                <w:b/>
                <w:color w:val="auto"/>
                <w:lang w:val="en-US" w:eastAsia="zh-CN"/>
              </w:rPr>
              <w:t>图1.1-2福州临空经济区</w:t>
            </w:r>
            <w:r>
              <w:rPr>
                <w:rFonts w:hint="eastAsia" w:eastAsiaTheme="minorEastAsia"/>
                <w:b/>
                <w:color w:val="auto"/>
              </w:rPr>
              <w:t>产业聚集带</w:t>
            </w:r>
            <w:r>
              <w:rPr>
                <w:rFonts w:hint="eastAsia" w:eastAsiaTheme="minorEastAsia"/>
                <w:b/>
                <w:color w:val="auto"/>
                <w:lang w:val="en-US" w:eastAsia="zh-CN"/>
              </w:rPr>
              <w:t>企业分布</w:t>
            </w:r>
          </w:p>
          <w:p>
            <w:pPr>
              <w:pStyle w:val="72"/>
              <w:ind w:firstLine="480"/>
              <w:rPr>
                <w:rFonts w:hint="eastAsia"/>
                <w:color w:val="auto"/>
              </w:rPr>
            </w:pPr>
          </w:p>
          <w:p>
            <w:pPr>
              <w:pStyle w:val="72"/>
              <w:ind w:firstLine="480"/>
              <w:rPr>
                <w:rFonts w:hint="default" w:eastAsia="宋体"/>
                <w:color w:val="auto"/>
                <w:lang w:val="en-US" w:eastAsia="zh-CN"/>
              </w:rPr>
            </w:pPr>
            <w:r>
              <w:rPr>
                <w:rFonts w:hint="eastAsia"/>
                <w:color w:val="auto"/>
                <w:lang w:val="en-US" w:eastAsia="zh-CN"/>
              </w:rPr>
              <w:t>本项目位于园区规划的产业聚集带光电产业布局区域，阿石创公司属于园区重点发展企业。</w:t>
            </w:r>
          </w:p>
          <w:p>
            <w:pPr>
              <w:pStyle w:val="72"/>
              <w:ind w:firstLine="480"/>
              <w:rPr>
                <w:rFonts w:hint="eastAsia"/>
                <w:color w:val="auto"/>
                <w:highlight w:val="none"/>
              </w:rPr>
            </w:pPr>
            <w:r>
              <w:rPr>
                <w:rFonts w:hint="eastAsia"/>
                <w:color w:val="auto"/>
                <w:highlight w:val="none"/>
              </w:rPr>
              <w:t>本项目</w:t>
            </w:r>
            <w:r>
              <w:rPr>
                <w:rFonts w:hint="eastAsia"/>
                <w:color w:val="auto"/>
                <w:highlight w:val="none"/>
                <w:lang w:val="en-US" w:eastAsia="zh-CN"/>
              </w:rPr>
              <w:t>生产的高纯金属及合金溅射靶材</w:t>
            </w:r>
            <w:r>
              <w:rPr>
                <w:rFonts w:hint="eastAsia"/>
                <w:color w:val="auto"/>
                <w:highlight w:val="none"/>
              </w:rPr>
              <w:t>，作为</w:t>
            </w:r>
            <w:r>
              <w:rPr>
                <w:rFonts w:hint="eastAsia"/>
                <w:color w:val="auto"/>
                <w:highlight w:val="none"/>
                <w:lang w:val="en-US" w:eastAsia="zh-CN"/>
              </w:rPr>
              <w:t>光电</w:t>
            </w:r>
            <w:r>
              <w:rPr>
                <w:rFonts w:hint="eastAsia"/>
                <w:color w:val="auto"/>
                <w:highlight w:val="none"/>
              </w:rPr>
              <w:t>企业的关键原料，是福州临空经济区鼓励发展的产业，有助于园区光电产业强链、延链、补链</w:t>
            </w:r>
            <w:r>
              <w:rPr>
                <w:rFonts w:hint="eastAsia"/>
                <w:color w:val="auto"/>
                <w:highlight w:val="none"/>
                <w:lang w:eastAsia="zh-CN"/>
              </w:rPr>
              <w:t>，</w:t>
            </w:r>
            <w:r>
              <w:rPr>
                <w:rFonts w:hint="eastAsia"/>
                <w:color w:val="auto"/>
                <w:highlight w:val="none"/>
                <w:lang w:val="en-US" w:eastAsia="zh-CN"/>
              </w:rPr>
              <w:t>符合园区</w:t>
            </w:r>
            <w:r>
              <w:rPr>
                <w:rFonts w:hint="eastAsia"/>
                <w:color w:val="auto"/>
                <w:highlight w:val="none"/>
              </w:rPr>
              <w:t>的空间布局和产业定位</w:t>
            </w:r>
            <w:r>
              <w:rPr>
                <w:rFonts w:hint="eastAsia"/>
                <w:color w:val="auto"/>
                <w:highlight w:val="none"/>
                <w:lang w:eastAsia="zh-CN"/>
              </w:rPr>
              <w:t>。</w:t>
            </w:r>
          </w:p>
          <w:p>
            <w:pPr>
              <w:pStyle w:val="72"/>
              <w:ind w:firstLine="0" w:firstLineChars="0"/>
              <w:rPr>
                <w:color w:val="auto"/>
                <w:highlight w:val="none"/>
              </w:rPr>
            </w:pPr>
            <w:r>
              <w:rPr>
                <w:rFonts w:hint="eastAsia"/>
                <w:color w:val="auto"/>
                <w:highlight w:val="none"/>
              </w:rPr>
              <w:t>（2）规划环境影响评价符合性分析</w:t>
            </w:r>
          </w:p>
          <w:p>
            <w:pPr>
              <w:pStyle w:val="72"/>
              <w:ind w:firstLine="480"/>
              <w:rPr>
                <w:color w:val="auto"/>
                <w:highlight w:val="none"/>
              </w:rPr>
            </w:pPr>
            <w:r>
              <w:rPr>
                <w:rFonts w:hint="eastAsia"/>
                <w:color w:val="auto"/>
                <w:highlight w:val="none"/>
              </w:rPr>
              <w:t>根据《福州临空经济区产业布局规划（2021</w:t>
            </w:r>
            <w:r>
              <w:rPr>
                <w:rFonts w:hint="eastAsia"/>
                <w:color w:val="auto"/>
                <w:highlight w:val="none"/>
                <w:lang w:eastAsia="zh-CN"/>
              </w:rPr>
              <w:t>—</w:t>
            </w:r>
            <w:r>
              <w:rPr>
                <w:rFonts w:hint="eastAsia"/>
                <w:color w:val="auto"/>
                <w:highlight w:val="none"/>
              </w:rPr>
              <w:t>2025年）（修编）环境影响报告书》可知，“7.1.1小节、规划定位与发展目标充分考虑临空经济区产业现状，在此基础上发挥现有产业优势，强链、补链，充分发挥空港优势，提高产业清洁生产、循环经济和风险防控水平，加大挥发性有机物、重金属等重点污染物防治力度，提高工业</w:t>
            </w:r>
            <w:r>
              <w:rPr>
                <w:rFonts w:hint="eastAsia"/>
                <w:color w:val="auto"/>
                <w:highlight w:val="none"/>
                <w:lang w:eastAsia="zh-CN"/>
              </w:rPr>
              <w:t>‘</w:t>
            </w:r>
            <w:r>
              <w:rPr>
                <w:rFonts w:hint="eastAsia"/>
                <w:color w:val="auto"/>
                <w:highlight w:val="none"/>
              </w:rPr>
              <w:t>三废</w:t>
            </w:r>
            <w:r>
              <w:rPr>
                <w:rFonts w:hint="eastAsia"/>
                <w:color w:val="auto"/>
                <w:highlight w:val="none"/>
                <w:lang w:eastAsia="zh-CN"/>
              </w:rPr>
              <w:t>’</w:t>
            </w:r>
            <w:r>
              <w:rPr>
                <w:rFonts w:hint="eastAsia"/>
                <w:color w:val="auto"/>
                <w:highlight w:val="none"/>
              </w:rPr>
              <w:t>综合利用水平。”“7.1.</w:t>
            </w:r>
            <w:r>
              <w:rPr>
                <w:color w:val="auto"/>
                <w:highlight w:val="none"/>
              </w:rPr>
              <w:t>3.3</w:t>
            </w:r>
            <w:r>
              <w:rPr>
                <w:rFonts w:hint="eastAsia"/>
                <w:color w:val="auto"/>
                <w:highlight w:val="none"/>
              </w:rPr>
              <w:t>小节</w:t>
            </w:r>
            <w:r>
              <w:rPr>
                <w:rFonts w:hint="eastAsia"/>
                <w:color w:val="auto"/>
                <w:highlight w:val="none"/>
                <w:lang w:eastAsia="zh-CN"/>
              </w:rPr>
              <w:t>，</w:t>
            </w:r>
            <w:r>
              <w:rPr>
                <w:rFonts w:hint="eastAsia"/>
                <w:color w:val="auto"/>
                <w:highlight w:val="none"/>
              </w:rPr>
              <w:t>依托现有的福米产业园，恒美偏光片、阿石创等显示行业龙头的带动作用，进一步健链强链补链，并与区外光电企业形成联动，重点向光电产业下游延伸，包括从</w:t>
            </w:r>
            <w:r>
              <w:rPr>
                <w:rFonts w:hint="eastAsia"/>
                <w:b/>
                <w:bCs/>
                <w:color w:val="auto"/>
                <w:highlight w:val="none"/>
              </w:rPr>
              <w:t>一般靶材向高纯度靶材</w:t>
            </w:r>
            <w:r>
              <w:rPr>
                <w:rFonts w:hint="eastAsia"/>
                <w:color w:val="auto"/>
                <w:highlight w:val="none"/>
              </w:rPr>
              <w:t>和驱动IC拓展，从偏光片向贴合、模组和4K、8K高清大屏等智能终端产品延伸，可提升区域的竞争力。</w:t>
            </w:r>
            <w:r>
              <w:rPr>
                <w:rFonts w:hint="eastAsia"/>
                <w:b/>
                <w:bCs/>
                <w:color w:val="auto"/>
                <w:highlight w:val="none"/>
              </w:rPr>
              <w:t>引进的光电产业应具有先进的工艺技术和完善的污染防治设施，促进产业规模化、高端化</w:t>
            </w:r>
            <w:r>
              <w:rPr>
                <w:rFonts w:hint="eastAsia"/>
                <w:color w:val="auto"/>
                <w:highlight w:val="none"/>
              </w:rPr>
              <w:t>。应充分落实VOCs排放的污染防治措施，实施区域VOCs排放倍量替代的基础上布局合理”。</w:t>
            </w:r>
          </w:p>
          <w:p>
            <w:pPr>
              <w:pStyle w:val="72"/>
              <w:ind w:firstLine="480"/>
              <w:rPr>
                <w:rFonts w:hint="eastAsia"/>
                <w:color w:val="auto"/>
                <w:highlight w:val="none"/>
              </w:rPr>
            </w:pPr>
            <w:r>
              <w:rPr>
                <w:rFonts w:hint="eastAsia"/>
                <w:color w:val="auto"/>
                <w:highlight w:val="none"/>
              </w:rPr>
              <w:t>本项目</w:t>
            </w:r>
            <w:r>
              <w:rPr>
                <w:rFonts w:hint="eastAsia"/>
                <w:color w:val="auto"/>
                <w:highlight w:val="none"/>
                <w:lang w:val="en-US" w:eastAsia="zh-CN"/>
              </w:rPr>
              <w:t>属于高纯度靶材生产项目</w:t>
            </w:r>
            <w:r>
              <w:rPr>
                <w:rFonts w:hint="eastAsia"/>
                <w:color w:val="auto"/>
                <w:highlight w:val="none"/>
              </w:rPr>
              <w:t>，</w:t>
            </w:r>
            <w:r>
              <w:rPr>
                <w:rFonts w:hint="eastAsia"/>
                <w:color w:val="auto"/>
                <w:highlight w:val="none"/>
                <w:lang w:val="en-US" w:eastAsia="zh-CN"/>
              </w:rPr>
              <w:t>符合规划环评中提到的强链补链要求，项目喷砂过程中产生的粉尘采取布袋除尘，抛光工序粉尘采用湿法除尘（涉及铝粉，属于易燃易爆粉尘），符合</w:t>
            </w:r>
            <w:r>
              <w:rPr>
                <w:rFonts w:ascii="宋体" w:hAnsi="宋体" w:eastAsia="宋体" w:cs="宋体"/>
                <w:color w:val="auto"/>
                <w:sz w:val="24"/>
                <w:szCs w:val="24"/>
              </w:rPr>
              <w:t>《国家污染防治技术指导目录》</w:t>
            </w:r>
            <w:r>
              <w:rPr>
                <w:rFonts w:hint="eastAsia" w:ascii="宋体" w:hAnsi="宋体" w:eastAsia="宋体" w:cs="宋体"/>
                <w:color w:val="auto"/>
                <w:sz w:val="24"/>
                <w:szCs w:val="24"/>
                <w:lang w:eastAsia="zh-CN"/>
              </w:rPr>
              <w:t>（</w:t>
            </w:r>
            <w:r>
              <w:rPr>
                <w:rFonts w:ascii="宋体" w:hAnsi="宋体" w:eastAsia="宋体" w:cs="宋体"/>
                <w:color w:val="auto"/>
                <w:sz w:val="24"/>
                <w:szCs w:val="24"/>
              </w:rPr>
              <w:t>2025年</w:t>
            </w:r>
            <w:r>
              <w:rPr>
                <w:rFonts w:hint="eastAsia" w:ascii="宋体" w:hAnsi="宋体" w:eastAsia="宋体" w:cs="宋体"/>
                <w:color w:val="auto"/>
                <w:sz w:val="24"/>
                <w:szCs w:val="24"/>
                <w:lang w:eastAsia="zh-CN"/>
              </w:rPr>
              <w:t>）</w:t>
            </w:r>
            <w:r>
              <w:rPr>
                <w:rFonts w:hint="eastAsia"/>
                <w:color w:val="auto"/>
                <w:highlight w:val="none"/>
                <w:lang w:val="en-US" w:eastAsia="zh-CN"/>
              </w:rPr>
              <w:t>的要求，项目采取的废水、噪声、固废等治理措施符合要求，项目生产过程VOCs排放量极少</w:t>
            </w:r>
            <w:r>
              <w:rPr>
                <w:rFonts w:hint="eastAsia"/>
                <w:color w:val="auto"/>
                <w:highlight w:val="none"/>
              </w:rPr>
              <w:t>，</w:t>
            </w:r>
            <w:r>
              <w:rPr>
                <w:rFonts w:hint="eastAsia"/>
                <w:color w:val="auto"/>
                <w:highlight w:val="none"/>
                <w:lang w:val="en-US" w:eastAsia="zh-CN"/>
              </w:rPr>
              <w:t>按要求</w:t>
            </w:r>
            <w:r>
              <w:rPr>
                <w:rFonts w:hint="eastAsia"/>
                <w:color w:val="auto"/>
                <w:highlight w:val="none"/>
              </w:rPr>
              <w:t>实施区域VOCs排放倍量替代</w:t>
            </w:r>
            <w:r>
              <w:rPr>
                <w:rFonts w:hint="eastAsia"/>
                <w:color w:val="auto"/>
                <w:highlight w:val="none"/>
                <w:lang w:eastAsia="zh-CN"/>
              </w:rPr>
              <w:t>，</w:t>
            </w:r>
            <w:r>
              <w:rPr>
                <w:rFonts w:hint="eastAsia"/>
                <w:color w:val="auto"/>
                <w:highlight w:val="none"/>
              </w:rPr>
              <w:t>本项目</w:t>
            </w:r>
            <w:r>
              <w:rPr>
                <w:rFonts w:hint="eastAsia"/>
                <w:color w:val="auto"/>
                <w:highlight w:val="none"/>
                <w:lang w:val="en-US" w:eastAsia="zh-CN"/>
              </w:rPr>
              <w:t>建设</w:t>
            </w:r>
            <w:r>
              <w:rPr>
                <w:rFonts w:hint="eastAsia"/>
                <w:color w:val="auto"/>
                <w:highlight w:val="none"/>
              </w:rPr>
              <w:t>符合《福州临空经济区产业布局规划（2021</w:t>
            </w:r>
            <w:r>
              <w:rPr>
                <w:rFonts w:hint="eastAsia"/>
                <w:color w:val="auto"/>
                <w:highlight w:val="none"/>
                <w:lang w:eastAsia="zh-CN"/>
              </w:rPr>
              <w:t>—</w:t>
            </w:r>
            <w:r>
              <w:rPr>
                <w:rFonts w:hint="eastAsia"/>
                <w:color w:val="auto"/>
                <w:highlight w:val="none"/>
              </w:rPr>
              <w:t>2025年）（修编）环境影响报告书》的规划要求。</w:t>
            </w:r>
          </w:p>
          <w:p>
            <w:pPr>
              <w:pStyle w:val="72"/>
              <w:ind w:firstLine="480"/>
              <w:rPr>
                <w:rFonts w:hint="eastAsia"/>
                <w:color w:val="auto"/>
                <w:highlight w:val="none"/>
              </w:rPr>
            </w:pPr>
          </w:p>
          <w:p>
            <w:pPr>
              <w:pStyle w:val="72"/>
              <w:ind w:firstLine="480"/>
              <w:rPr>
                <w:rFonts w:hint="eastAsia"/>
                <w:color w:val="auto"/>
                <w:highlight w:val="none"/>
              </w:rPr>
            </w:pPr>
          </w:p>
          <w:p>
            <w:pPr>
              <w:pStyle w:val="72"/>
              <w:ind w:firstLine="480"/>
              <w:rPr>
                <w:rFonts w:hint="eastAsia"/>
                <w:color w:val="auto"/>
                <w:highlight w:val="none"/>
              </w:rPr>
            </w:pPr>
          </w:p>
          <w:p>
            <w:pPr>
              <w:pStyle w:val="72"/>
              <w:ind w:firstLine="480"/>
              <w:rPr>
                <w:rFonts w:hint="eastAsia"/>
                <w:color w:val="auto"/>
                <w:highlight w:val="none"/>
              </w:rPr>
            </w:pPr>
          </w:p>
          <w:p>
            <w:pPr>
              <w:pStyle w:val="72"/>
              <w:ind w:firstLine="480"/>
              <w:rPr>
                <w:rFonts w:hint="eastAsia"/>
                <w:color w:val="auto"/>
                <w:highlight w:val="none"/>
              </w:rPr>
            </w:pPr>
          </w:p>
          <w:p>
            <w:pPr>
              <w:pStyle w:val="72"/>
              <w:ind w:firstLine="480"/>
              <w:rPr>
                <w:rFonts w:hint="eastAsia"/>
                <w:color w:val="auto"/>
                <w:highlight w:val="none"/>
              </w:rPr>
            </w:pPr>
          </w:p>
          <w:p>
            <w:pPr>
              <w:pStyle w:val="72"/>
              <w:ind w:firstLine="480"/>
              <w:rPr>
                <w:rFonts w:hint="eastAsia"/>
                <w:color w:val="auto"/>
                <w:highlight w:val="none"/>
              </w:rPr>
            </w:pPr>
          </w:p>
          <w:p>
            <w:pPr>
              <w:pStyle w:val="72"/>
              <w:ind w:firstLine="480"/>
              <w:rPr>
                <w:rFonts w:hint="eastAsia"/>
                <w:color w:val="auto"/>
                <w:highlight w:val="none"/>
              </w:rPr>
            </w:pPr>
          </w:p>
          <w:p>
            <w:pPr>
              <w:pStyle w:val="72"/>
              <w:ind w:firstLine="480"/>
              <w:rPr>
                <w:rFonts w:hint="eastAsia"/>
                <w:color w:val="auto"/>
                <w:highlight w:val="none"/>
              </w:rPr>
            </w:pPr>
          </w:p>
          <w:p>
            <w:pPr>
              <w:pStyle w:val="72"/>
              <w:ind w:firstLine="480"/>
              <w:rPr>
                <w:rFonts w:hint="eastAsia"/>
                <w:color w:val="auto"/>
                <w:highlight w:val="none"/>
              </w:rPr>
            </w:pPr>
          </w:p>
          <w:p>
            <w:pPr>
              <w:pStyle w:val="68"/>
              <w:ind w:firstLine="480"/>
              <w:rPr>
                <w:rFonts w:hint="eastAsia"/>
                <w:color w:val="auto"/>
                <w:highlight w:val="none"/>
              </w:rPr>
            </w:pPr>
          </w:p>
          <w:p>
            <w:pPr>
              <w:pStyle w:val="68"/>
              <w:ind w:firstLine="480"/>
              <w:rPr>
                <w:rFonts w:hint="eastAsia"/>
                <w:color w:val="auto"/>
                <w:highlight w:val="none"/>
              </w:rPr>
            </w:pPr>
          </w:p>
          <w:p>
            <w:pPr>
              <w:pStyle w:val="68"/>
              <w:ind w:firstLine="480"/>
              <w:rPr>
                <w:color w:val="auto"/>
                <w:highlight w:val="none"/>
              </w:rPr>
            </w:pPr>
            <w:r>
              <w:rPr>
                <w:rFonts w:hint="eastAsia"/>
                <w:color w:val="auto"/>
                <w:highlight w:val="none"/>
              </w:rPr>
              <w:t>表1.1.1本项目与规划环评环境准入符合性分析一览表（摘录）</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541"/>
              <w:gridCol w:w="3124"/>
              <w:gridCol w:w="2635"/>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68" w:type="dxa"/>
                  <w:vAlign w:val="center"/>
                </w:tcPr>
                <w:p>
                  <w:pPr>
                    <w:pStyle w:val="70"/>
                    <w:rPr>
                      <w:color w:val="auto"/>
                      <w:highlight w:val="none"/>
                    </w:rPr>
                  </w:pPr>
                </w:p>
              </w:tc>
              <w:tc>
                <w:tcPr>
                  <w:tcW w:w="3665" w:type="dxa"/>
                  <w:gridSpan w:val="2"/>
                  <w:vAlign w:val="center"/>
                </w:tcPr>
                <w:p>
                  <w:pPr>
                    <w:pStyle w:val="70"/>
                    <w:rPr>
                      <w:rFonts w:hint="eastAsia"/>
                      <w:color w:val="auto"/>
                      <w:highlight w:val="none"/>
                    </w:rPr>
                  </w:pPr>
                  <w:r>
                    <w:rPr>
                      <w:rFonts w:hint="eastAsia"/>
                      <w:color w:val="auto"/>
                      <w:highlight w:val="none"/>
                    </w:rPr>
                    <w:t>管控要求</w:t>
                  </w:r>
                </w:p>
              </w:tc>
              <w:tc>
                <w:tcPr>
                  <w:tcW w:w="2635" w:type="dxa"/>
                  <w:vAlign w:val="center"/>
                </w:tcPr>
                <w:p>
                  <w:pPr>
                    <w:pStyle w:val="70"/>
                    <w:rPr>
                      <w:color w:val="auto"/>
                      <w:highlight w:val="none"/>
                    </w:rPr>
                  </w:pPr>
                  <w:r>
                    <w:rPr>
                      <w:rFonts w:hint="eastAsia"/>
                      <w:color w:val="auto"/>
                      <w:highlight w:val="none"/>
                    </w:rPr>
                    <w:t>项目情况</w:t>
                  </w:r>
                </w:p>
              </w:tc>
              <w:tc>
                <w:tcPr>
                  <w:tcW w:w="717" w:type="dxa"/>
                  <w:vAlign w:val="center"/>
                </w:tcPr>
                <w:p>
                  <w:pPr>
                    <w:pStyle w:val="70"/>
                    <w:rPr>
                      <w:color w:val="auto"/>
                      <w:highlight w:val="none"/>
                    </w:rPr>
                  </w:pPr>
                  <w:r>
                    <w:rPr>
                      <w:rFonts w:hint="eastAsia"/>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trPr>
              <w:tc>
                <w:tcPr>
                  <w:tcW w:w="568" w:type="dxa"/>
                  <w:vMerge w:val="restart"/>
                  <w:vAlign w:val="top"/>
                </w:tcPr>
                <w:p>
                  <w:pPr>
                    <w:pStyle w:val="70"/>
                    <w:rPr>
                      <w:rFonts w:hint="default" w:eastAsia="宋体"/>
                      <w:color w:val="auto"/>
                      <w:highlight w:val="none"/>
                      <w:lang w:val="en-US" w:eastAsia="zh-CN"/>
                    </w:rPr>
                  </w:pPr>
                  <w:r>
                    <w:rPr>
                      <w:rFonts w:hint="eastAsia"/>
                      <w:color w:val="auto"/>
                      <w:lang w:val="en-US" w:eastAsia="zh-CN"/>
                    </w:rPr>
                    <w:t>重点产业区总体要求</w:t>
                  </w:r>
                </w:p>
              </w:tc>
              <w:tc>
                <w:tcPr>
                  <w:tcW w:w="541" w:type="dxa"/>
                  <w:vAlign w:val="top"/>
                </w:tcPr>
                <w:p>
                  <w:pPr>
                    <w:pStyle w:val="70"/>
                    <w:rPr>
                      <w:rFonts w:hint="eastAsia"/>
                      <w:color w:val="auto"/>
                      <w:highlight w:val="none"/>
                    </w:rPr>
                  </w:pPr>
                  <w:r>
                    <w:rPr>
                      <w:rFonts w:hint="eastAsia"/>
                      <w:color w:val="auto"/>
                    </w:rPr>
                    <w:t>空间布局约束</w:t>
                  </w:r>
                </w:p>
              </w:tc>
              <w:tc>
                <w:tcPr>
                  <w:tcW w:w="3124" w:type="dxa"/>
                  <w:shd w:val="clear" w:color="auto" w:fill="auto"/>
                  <w:vAlign w:val="center"/>
                </w:tcPr>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1.引进的项目必须符合国家、地方产业政策，以及本次规划拟发展的主导产业定位；积极引进鼓励类项目，优先引进上下游产业协同发展的项目。</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2.引进的项目生产工艺、装备技术、清洁生产水平等应达到国内领先或国际先进水平，优先引进资源能源消耗小、污染物排放少、产品附加值高的工艺技术、产品或项目。</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3.禁止在水环境质量不能稳定达标的区域内，建设新增水污染物排放量的工业项目。</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4.禁止新建电镀、石化、化工项目，现有低端印染企业应逐步退出。</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5.禁止冶炼项目。</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6.功能性新材料产业禁止准入新型纤维素纤维（改性黏胶、天丝、莫代尔）、甲壳素复合纤维、海藻酸盐纤维、壳聚糖纤维制造；推荐发展高端合成纤维制造业。</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7.针对目前区域内产业与居住混杂现状，应优化用地布局，减少污染排放对居民的影响，建议在“一带、三片区”园区临近居住区的地块禁止引进大气污染物排放量大的企业；除了存在无组织面源大气污染的企业应按环评要求设置大气环境防护距离外，“一</w:t>
                  </w:r>
                  <w:r>
                    <w:rPr>
                      <w:rFonts w:cs="宋体"/>
                      <w:color w:val="auto"/>
                      <w:kern w:val="0"/>
                      <w:sz w:val="21"/>
                      <w:szCs w:val="21"/>
                      <w:highlight w:val="none"/>
                      <w:lang w:bidi="ar"/>
                    </w:rPr>
                    <w:t>带、三片区”规划区二类工业用地周边设置100m的环</w:t>
                  </w:r>
                  <w:r>
                    <w:rPr>
                      <w:rFonts w:cs="宋体"/>
                      <w:color w:val="auto"/>
                      <w:kern w:val="0"/>
                      <w:sz w:val="21"/>
                      <w:szCs w:val="21"/>
                      <w:lang w:bidi="ar"/>
                    </w:rPr>
                    <w:t>保控制带，控制带内禁止新增居民住宅、学校、医院等敏感目标（敏感建筑物），环保控制带用地可规划为公共设施配套用地、道路、物流、仓储和其</w:t>
                  </w:r>
                  <w:r>
                    <w:rPr>
                      <w:rFonts w:hint="eastAsia" w:cs="宋体"/>
                      <w:color w:val="auto"/>
                      <w:kern w:val="0"/>
                      <w:sz w:val="21"/>
                      <w:szCs w:val="21"/>
                      <w:lang w:bidi="ar"/>
                    </w:rPr>
                    <w:t>他</w:t>
                  </w:r>
                  <w:r>
                    <w:rPr>
                      <w:rFonts w:cs="宋体"/>
                      <w:color w:val="auto"/>
                      <w:kern w:val="0"/>
                      <w:sz w:val="21"/>
                      <w:szCs w:val="21"/>
                      <w:lang w:bidi="ar"/>
                    </w:rPr>
                    <w:t>无污染型工业，或者绿化隔离带等。</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8.严禁引入用水量和排水量均较大的企业，各企业用水应满足行业清洁生产用水标准，改进耗水工艺，降低单位新鲜水耗，提倡清洁生产。加大工业用水重复利用强度，提高中水回用率，提高污废水回用率，废水循环利用应达到工信部联节〔2021〕213号文的要求。</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9.严格控制工业涂装等高VOCs排放（VOCs产生量大于10t/a）的项目建设。</w:t>
                  </w:r>
                </w:p>
                <w:p>
                  <w:pPr>
                    <w:pStyle w:val="18"/>
                    <w:ind w:right="113" w:rightChars="0"/>
                    <w:rPr>
                      <w:rFonts w:hint="eastAsia" w:ascii="Times New Roman" w:hAnsi="Times New Roman" w:eastAsia="宋体" w:cs="Times New Roman"/>
                      <w:color w:val="auto"/>
                      <w:kern w:val="0"/>
                      <w:sz w:val="21"/>
                      <w:szCs w:val="21"/>
                      <w:highlight w:val="none"/>
                      <w:lang w:val="en-US" w:eastAsia="zh-CN" w:bidi="ar"/>
                    </w:rPr>
                  </w:pPr>
                  <w:r>
                    <w:rPr>
                      <w:rFonts w:cs="宋体"/>
                      <w:color w:val="auto"/>
                      <w:kern w:val="0"/>
                      <w:sz w:val="21"/>
                      <w:szCs w:val="21"/>
                      <w:lang w:bidi="ar"/>
                    </w:rPr>
                    <w:t>10.新建的制造类企业污染物排放工序应与已有的食品企业生产、储存车间保持距离25m以上。</w:t>
                  </w:r>
                </w:p>
              </w:tc>
              <w:tc>
                <w:tcPr>
                  <w:tcW w:w="2635" w:type="dxa"/>
                  <w:vAlign w:val="center"/>
                </w:tcPr>
                <w:p>
                  <w:pPr>
                    <w:pStyle w:val="70"/>
                    <w:jc w:val="both"/>
                    <w:rPr>
                      <w:color w:val="auto"/>
                      <w:highlight w:val="none"/>
                    </w:rPr>
                  </w:pPr>
                  <w:r>
                    <w:rPr>
                      <w:rFonts w:hint="eastAsia"/>
                      <w:color w:val="auto"/>
                      <w:highlight w:val="none"/>
                    </w:rPr>
                    <w:t>1.本项目为片区推荐的重点企业，符合园区产业定位，项目属于国家鼓励类项目。</w:t>
                  </w:r>
                </w:p>
                <w:p>
                  <w:pPr>
                    <w:pStyle w:val="70"/>
                    <w:jc w:val="both"/>
                    <w:rPr>
                      <w:rFonts w:hint="eastAsia"/>
                      <w:color w:val="auto"/>
                      <w:highlight w:val="none"/>
                      <w:lang w:val="en-US" w:eastAsia="zh-CN"/>
                    </w:rPr>
                  </w:pPr>
                  <w:r>
                    <w:rPr>
                      <w:rFonts w:hint="eastAsia"/>
                      <w:color w:val="auto"/>
                      <w:highlight w:val="none"/>
                    </w:rPr>
                    <w:t>2.</w:t>
                  </w:r>
                  <w:r>
                    <w:rPr>
                      <w:rFonts w:hint="eastAsia"/>
                      <w:color w:val="auto"/>
                      <w:highlight w:val="none"/>
                      <w:lang w:val="en-US" w:eastAsia="zh-CN"/>
                    </w:rPr>
                    <w:t>项目产品、原材料均为无毒无害产品，采用的生产工艺、装备技术达到国内领先水平，生产过程采用电等为清洁能源，超声清洗等工序采用逆流漂洗，水经循环利用，清洁生产水平达到国内领先水平。</w:t>
                  </w:r>
                </w:p>
                <w:p>
                  <w:pPr>
                    <w:pStyle w:val="70"/>
                    <w:jc w:val="both"/>
                    <w:rPr>
                      <w:rFonts w:hint="eastAsia"/>
                      <w:color w:val="auto"/>
                      <w:highlight w:val="none"/>
                      <w:lang w:val="en-US" w:eastAsia="zh-CN"/>
                    </w:rPr>
                  </w:pPr>
                  <w:r>
                    <w:rPr>
                      <w:rFonts w:hint="eastAsia"/>
                      <w:color w:val="auto"/>
                      <w:highlight w:val="none"/>
                      <w:lang w:val="en-US" w:eastAsia="zh-CN"/>
                    </w:rPr>
                    <w:t>3.区域水环境达标。</w:t>
                  </w:r>
                </w:p>
                <w:p>
                  <w:pPr>
                    <w:pStyle w:val="70"/>
                    <w:jc w:val="both"/>
                    <w:rPr>
                      <w:rFonts w:hint="eastAsia" w:eastAsia="宋体"/>
                      <w:color w:val="auto"/>
                      <w:highlight w:val="none"/>
                      <w:lang w:val="en-US" w:eastAsia="zh-CN"/>
                    </w:rPr>
                  </w:pPr>
                  <w:r>
                    <w:rPr>
                      <w:rFonts w:hint="eastAsia"/>
                      <w:color w:val="auto"/>
                      <w:highlight w:val="none"/>
                      <w:lang w:val="en-US" w:eastAsia="zh-CN"/>
                    </w:rPr>
                    <w:t>4.项目不涉及电镀、石化、化工、印染行业。</w:t>
                  </w:r>
                </w:p>
                <w:p>
                  <w:pPr>
                    <w:pStyle w:val="70"/>
                    <w:jc w:val="both"/>
                    <w:rPr>
                      <w:rFonts w:hint="default"/>
                      <w:color w:val="auto"/>
                      <w:highlight w:val="none"/>
                      <w:lang w:val="en-US" w:eastAsia="zh-CN"/>
                    </w:rPr>
                  </w:pPr>
                  <w:r>
                    <w:rPr>
                      <w:rFonts w:hint="eastAsia"/>
                      <w:color w:val="auto"/>
                      <w:highlight w:val="none"/>
                      <w:lang w:val="en-US" w:eastAsia="zh-CN"/>
                    </w:rPr>
                    <w:t>5.项目采用高纯金属为原料进行熔铸，不再进行提纯，不涉及冶炼。</w:t>
                  </w:r>
                </w:p>
                <w:p>
                  <w:pPr>
                    <w:pStyle w:val="70"/>
                    <w:jc w:val="both"/>
                    <w:rPr>
                      <w:rFonts w:hint="eastAsia" w:eastAsia="宋体"/>
                      <w:color w:val="auto"/>
                      <w:highlight w:val="none"/>
                      <w:lang w:val="en-US" w:eastAsia="zh-CN"/>
                    </w:rPr>
                  </w:pPr>
                  <w:r>
                    <w:rPr>
                      <w:rFonts w:hint="eastAsia"/>
                      <w:color w:val="auto"/>
                      <w:highlight w:val="none"/>
                      <w:lang w:val="en-US" w:eastAsia="zh-CN"/>
                    </w:rPr>
                    <w:t>6.项目不属于</w:t>
                  </w:r>
                  <w:r>
                    <w:rPr>
                      <w:rFonts w:hint="eastAsia"/>
                      <w:color w:val="auto"/>
                      <w:sz w:val="21"/>
                      <w:szCs w:val="21"/>
                      <w:highlight w:val="none"/>
                    </w:rPr>
                    <w:t>新型纤维素纤维（改性黏胶、天丝、莫代尔）、甲壳素复合纤维、海藻酸盐纤维、壳聚糖纤维等</w:t>
                  </w:r>
                  <w:r>
                    <w:rPr>
                      <w:rFonts w:hint="eastAsia"/>
                      <w:color w:val="auto"/>
                      <w:sz w:val="21"/>
                      <w:szCs w:val="21"/>
                      <w:highlight w:val="none"/>
                      <w:lang w:val="en-US" w:eastAsia="zh-CN"/>
                    </w:rPr>
                    <w:t>生产项目</w:t>
                  </w:r>
                  <w:r>
                    <w:rPr>
                      <w:rFonts w:hint="eastAsia"/>
                      <w:color w:val="auto"/>
                      <w:sz w:val="21"/>
                      <w:szCs w:val="21"/>
                      <w:highlight w:val="none"/>
                      <w:lang w:eastAsia="zh-CN"/>
                    </w:rPr>
                    <w:t>。</w:t>
                  </w:r>
                </w:p>
                <w:p>
                  <w:pPr>
                    <w:pStyle w:val="70"/>
                    <w:jc w:val="both"/>
                    <w:rPr>
                      <w:rFonts w:hint="eastAsia"/>
                      <w:color w:val="auto"/>
                      <w:highlight w:val="none"/>
                      <w:lang w:val="en-US" w:eastAsia="zh-CN"/>
                    </w:rPr>
                  </w:pPr>
                  <w:r>
                    <w:rPr>
                      <w:rFonts w:hint="eastAsia"/>
                      <w:color w:val="auto"/>
                      <w:highlight w:val="none"/>
                      <w:lang w:val="en-US" w:eastAsia="zh-CN"/>
                    </w:rPr>
                    <w:t>7.项目生产过程产生的粉尘经布袋除尘、湿法除尘后排放量很少，基本不会对邻近敏感目标造成影响。新增工业用地属于一类工业用地，现有二厂地块与最近村庄距离290m，新增用地与规划建设的养老院距离在210m，与周边敏感点的距离符合环保控制带要求。</w:t>
                  </w:r>
                </w:p>
                <w:p>
                  <w:pPr>
                    <w:pStyle w:val="70"/>
                    <w:jc w:val="both"/>
                    <w:rPr>
                      <w:rFonts w:hint="eastAsia"/>
                      <w:color w:val="auto"/>
                      <w:highlight w:val="none"/>
                      <w:lang w:val="en-US" w:eastAsia="zh-CN"/>
                    </w:rPr>
                  </w:pPr>
                  <w:r>
                    <w:rPr>
                      <w:rFonts w:hint="eastAsia"/>
                      <w:color w:val="auto"/>
                      <w:highlight w:val="none"/>
                      <w:lang w:val="en-US" w:eastAsia="zh-CN"/>
                    </w:rPr>
                    <w:t>8.项目用排水量均较小，工业用水重复利用率为98.3%。</w:t>
                  </w:r>
                </w:p>
                <w:p>
                  <w:pPr>
                    <w:pStyle w:val="70"/>
                    <w:jc w:val="both"/>
                    <w:rPr>
                      <w:rFonts w:hint="eastAsia" w:cs="宋体"/>
                      <w:color w:val="auto"/>
                      <w:kern w:val="0"/>
                      <w:sz w:val="21"/>
                      <w:szCs w:val="21"/>
                      <w:lang w:val="en-US" w:eastAsia="zh-CN" w:bidi="ar"/>
                    </w:rPr>
                  </w:pPr>
                  <w:r>
                    <w:rPr>
                      <w:rFonts w:hint="eastAsia"/>
                      <w:color w:val="auto"/>
                      <w:highlight w:val="none"/>
                      <w:lang w:val="en-US" w:eastAsia="zh-CN"/>
                    </w:rPr>
                    <w:t>9.项目VOCs排放量很小，不属于高</w:t>
                  </w:r>
                  <w:r>
                    <w:rPr>
                      <w:rFonts w:cs="宋体"/>
                      <w:color w:val="auto"/>
                      <w:kern w:val="0"/>
                      <w:sz w:val="21"/>
                      <w:szCs w:val="21"/>
                      <w:lang w:bidi="ar"/>
                    </w:rPr>
                    <w:t>VOCs排放</w:t>
                  </w:r>
                  <w:r>
                    <w:rPr>
                      <w:rFonts w:hint="eastAsia" w:cs="宋体"/>
                      <w:color w:val="auto"/>
                      <w:kern w:val="0"/>
                      <w:sz w:val="21"/>
                      <w:szCs w:val="21"/>
                      <w:lang w:val="en-US" w:eastAsia="zh-CN" w:bidi="ar"/>
                    </w:rPr>
                    <w:t>项目。</w:t>
                  </w:r>
                </w:p>
                <w:p>
                  <w:pPr>
                    <w:pStyle w:val="70"/>
                    <w:jc w:val="both"/>
                    <w:rPr>
                      <w:rFonts w:hint="default" w:cs="宋体"/>
                      <w:color w:val="auto"/>
                      <w:kern w:val="0"/>
                      <w:sz w:val="21"/>
                      <w:szCs w:val="21"/>
                      <w:lang w:val="en-US" w:eastAsia="zh-CN" w:bidi="ar"/>
                    </w:rPr>
                  </w:pPr>
                  <w:r>
                    <w:rPr>
                      <w:rFonts w:hint="eastAsia" w:cs="宋体"/>
                      <w:color w:val="auto"/>
                      <w:kern w:val="0"/>
                      <w:sz w:val="21"/>
                      <w:szCs w:val="21"/>
                      <w:lang w:val="en-US" w:eastAsia="zh-CN" w:bidi="ar"/>
                    </w:rPr>
                    <w:t>10.项目新征地块四周为道路和空地，生产车间与友谊食品厂界距离在40m左右，符合要求。</w:t>
                  </w:r>
                </w:p>
              </w:tc>
              <w:tc>
                <w:tcPr>
                  <w:tcW w:w="717" w:type="dxa"/>
                  <w:vAlign w:val="center"/>
                </w:tcPr>
                <w:p>
                  <w:pPr>
                    <w:pStyle w:val="70"/>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568" w:type="dxa"/>
                  <w:vMerge w:val="continue"/>
                  <w:vAlign w:val="center"/>
                </w:tcPr>
                <w:p>
                  <w:pPr>
                    <w:widowControl/>
                    <w:spacing w:line="240" w:lineRule="auto"/>
                    <w:ind w:firstLine="0" w:firstLineChars="0"/>
                    <w:textAlignment w:val="center"/>
                    <w:rPr>
                      <w:color w:val="auto"/>
                      <w:highlight w:val="none"/>
                    </w:rPr>
                  </w:pPr>
                </w:p>
              </w:tc>
              <w:tc>
                <w:tcPr>
                  <w:tcW w:w="541" w:type="dxa"/>
                  <w:vAlign w:val="center"/>
                </w:tcPr>
                <w:p>
                  <w:pPr>
                    <w:widowControl/>
                    <w:spacing w:line="240" w:lineRule="auto"/>
                    <w:ind w:firstLine="0" w:firstLineChars="0"/>
                    <w:textAlignment w:val="center"/>
                    <w:rPr>
                      <w:rFonts w:hint="eastAsia" w:cs="宋体"/>
                      <w:color w:val="auto"/>
                      <w:kern w:val="0"/>
                      <w:sz w:val="21"/>
                      <w:szCs w:val="21"/>
                      <w:highlight w:val="none"/>
                      <w:lang w:bidi="ar"/>
                    </w:rPr>
                  </w:pPr>
                  <w:r>
                    <w:rPr>
                      <w:rFonts w:hint="eastAsia" w:cs="宋体"/>
                      <w:color w:val="auto"/>
                      <w:kern w:val="0"/>
                      <w:sz w:val="21"/>
                      <w:szCs w:val="21"/>
                      <w:highlight w:val="none"/>
                      <w:lang w:bidi="ar"/>
                    </w:rPr>
                    <w:t>污染物排放管控</w:t>
                  </w:r>
                </w:p>
              </w:tc>
              <w:tc>
                <w:tcPr>
                  <w:tcW w:w="3124" w:type="dxa"/>
                  <w:vAlign w:val="center"/>
                </w:tcPr>
                <w:p>
                  <w:pPr>
                    <w:widowControl/>
                    <w:numPr>
                      <w:ilvl w:val="255"/>
                      <w:numId w:val="0"/>
                    </w:numPr>
                    <w:spacing w:line="240" w:lineRule="auto"/>
                    <w:textAlignment w:val="center"/>
                    <w:rPr>
                      <w:rFonts w:cs="宋体"/>
                      <w:color w:val="auto"/>
                      <w:kern w:val="0"/>
                      <w:sz w:val="21"/>
                      <w:szCs w:val="21"/>
                      <w:lang w:bidi="ar"/>
                    </w:rPr>
                  </w:pPr>
                  <w:r>
                    <w:rPr>
                      <w:rFonts w:hint="eastAsia" w:cs="宋体"/>
                      <w:color w:val="auto"/>
                      <w:kern w:val="0"/>
                      <w:sz w:val="21"/>
                      <w:szCs w:val="21"/>
                      <w:lang w:bidi="ar"/>
                    </w:rPr>
                    <w:t>1.引进的项目必须具备完善、有效的“三废”治理措施，能够实现废水、废气等污染物的稳定达标排放，保障区域环境功能达标。</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2.</w:t>
                  </w:r>
                  <w:r>
                    <w:rPr>
                      <w:rFonts w:hint="eastAsia" w:cs="宋体"/>
                      <w:color w:val="auto"/>
                      <w:kern w:val="0"/>
                      <w:sz w:val="21"/>
                      <w:szCs w:val="21"/>
                      <w:lang w:bidi="ar"/>
                    </w:rPr>
                    <w:t>引进的项目污染物排放总量符合临空经济区总量控制要求。</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3.</w:t>
                  </w:r>
                  <w:r>
                    <w:rPr>
                      <w:rFonts w:hint="eastAsia" w:cs="宋体"/>
                      <w:color w:val="auto"/>
                      <w:kern w:val="0"/>
                      <w:sz w:val="21"/>
                      <w:szCs w:val="21"/>
                      <w:lang w:bidi="ar"/>
                    </w:rPr>
                    <w:t>企业应使用天然气、电能、太阳能等清洁能源，</w:t>
                  </w:r>
                  <w:r>
                    <w:rPr>
                      <w:rFonts w:cs="宋体"/>
                      <w:color w:val="auto"/>
                      <w:kern w:val="0"/>
                      <w:sz w:val="21"/>
                      <w:szCs w:val="21"/>
                      <w:lang w:bidi="ar"/>
                    </w:rPr>
                    <w:t>不再新建每小时35蒸吨以下的燃煤锅炉，鼓励燃气锅炉实施低氮改造。</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4.</w:t>
                  </w:r>
                  <w:r>
                    <w:rPr>
                      <w:rFonts w:hint="eastAsia" w:cs="宋体"/>
                      <w:color w:val="auto"/>
                      <w:kern w:val="0"/>
                      <w:sz w:val="21"/>
                      <w:szCs w:val="21"/>
                      <w:lang w:bidi="ar"/>
                    </w:rPr>
                    <w:t>临空经济区企业新增主要污染物排放量（不含使用天然气、液化石油气等作为燃料的非火电锅炉和工业炉窑的工业企业新增的二氧化硫、氮氧化物排放量），按不低于</w:t>
                  </w:r>
                  <w:r>
                    <w:rPr>
                      <w:rFonts w:cs="宋体"/>
                      <w:color w:val="auto"/>
                      <w:kern w:val="0"/>
                      <w:sz w:val="21"/>
                      <w:szCs w:val="21"/>
                      <w:lang w:bidi="ar"/>
                    </w:rPr>
                    <w:t>1.2</w:t>
                  </w:r>
                  <w:r>
                    <w:rPr>
                      <w:rFonts w:hint="eastAsia" w:cs="宋体"/>
                      <w:color w:val="auto"/>
                      <w:kern w:val="0"/>
                      <w:sz w:val="21"/>
                      <w:szCs w:val="21"/>
                      <w:lang w:bidi="ar"/>
                    </w:rPr>
                    <w:t>倍交易。涉新增</w:t>
                  </w:r>
                  <w:r>
                    <w:rPr>
                      <w:rFonts w:cs="宋体"/>
                      <w:color w:val="auto"/>
                      <w:kern w:val="0"/>
                      <w:sz w:val="21"/>
                      <w:szCs w:val="21"/>
                      <w:lang w:bidi="ar"/>
                    </w:rPr>
                    <w:t>VOCs</w:t>
                  </w:r>
                  <w:r>
                    <w:rPr>
                      <w:rFonts w:hint="eastAsia" w:cs="宋体"/>
                      <w:color w:val="auto"/>
                      <w:kern w:val="0"/>
                      <w:sz w:val="21"/>
                      <w:szCs w:val="21"/>
                      <w:lang w:bidi="ar"/>
                    </w:rPr>
                    <w:t>排放项目，</w:t>
                  </w:r>
                  <w:r>
                    <w:rPr>
                      <w:rFonts w:cs="宋体"/>
                      <w:color w:val="auto"/>
                      <w:kern w:val="0"/>
                      <w:sz w:val="21"/>
                      <w:szCs w:val="21"/>
                      <w:lang w:bidi="ar"/>
                    </w:rPr>
                    <w:t>VOCs</w:t>
                  </w:r>
                  <w:r>
                    <w:rPr>
                      <w:rFonts w:hint="eastAsia" w:cs="宋体"/>
                      <w:color w:val="auto"/>
                      <w:kern w:val="0"/>
                      <w:sz w:val="21"/>
                      <w:szCs w:val="21"/>
                      <w:lang w:bidi="ar"/>
                    </w:rPr>
                    <w:t>排放实行区域内倍量替代。</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5.</w:t>
                  </w:r>
                  <w:r>
                    <w:rPr>
                      <w:rFonts w:hint="eastAsia" w:cs="宋体"/>
                      <w:color w:val="auto"/>
                      <w:kern w:val="0"/>
                      <w:sz w:val="21"/>
                      <w:szCs w:val="21"/>
                      <w:lang w:bidi="ar"/>
                    </w:rPr>
                    <w:t>新、扩、改项目清洁生产水平应达到国内先进以上水平，符合强制性清洁生产审核的企业必须通过强制性清洁生产审核。</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6.</w:t>
                  </w:r>
                  <w:r>
                    <w:rPr>
                      <w:rFonts w:hint="eastAsia" w:cs="宋体"/>
                      <w:color w:val="auto"/>
                      <w:kern w:val="0"/>
                      <w:sz w:val="21"/>
                      <w:szCs w:val="21"/>
                      <w:lang w:bidi="ar"/>
                    </w:rPr>
                    <w:t>规划区大气污染物容量为</w:t>
                  </w:r>
                  <w:r>
                    <w:rPr>
                      <w:color w:val="auto"/>
                      <w:kern w:val="0"/>
                      <w:sz w:val="21"/>
                      <w:szCs w:val="21"/>
                      <w:lang w:bidi="ar"/>
                    </w:rPr>
                    <w:t>SO</w:t>
                  </w:r>
                  <w:r>
                    <w:rPr>
                      <w:color w:val="auto"/>
                      <w:kern w:val="0"/>
                      <w:sz w:val="21"/>
                      <w:szCs w:val="21"/>
                      <w:vertAlign w:val="subscript"/>
                      <w:lang w:bidi="ar"/>
                    </w:rPr>
                    <w:t>2</w:t>
                  </w:r>
                  <w:r>
                    <w:rPr>
                      <w:rFonts w:hint="eastAsia" w:cs="宋体"/>
                      <w:color w:val="auto"/>
                      <w:kern w:val="0"/>
                      <w:sz w:val="21"/>
                      <w:szCs w:val="21"/>
                      <w:lang w:bidi="ar"/>
                    </w:rPr>
                    <w:t>、</w:t>
                  </w:r>
                  <w:r>
                    <w:rPr>
                      <w:color w:val="auto"/>
                      <w:kern w:val="0"/>
                      <w:sz w:val="21"/>
                      <w:szCs w:val="21"/>
                      <w:lang w:bidi="ar"/>
                    </w:rPr>
                    <w:t>NO</w:t>
                  </w:r>
                  <w:r>
                    <w:rPr>
                      <w:color w:val="auto"/>
                      <w:kern w:val="0"/>
                      <w:sz w:val="21"/>
                      <w:szCs w:val="21"/>
                      <w:vertAlign w:val="subscript"/>
                      <w:lang w:bidi="ar"/>
                    </w:rPr>
                    <w:t>2</w:t>
                  </w:r>
                  <w:r>
                    <w:rPr>
                      <w:rFonts w:hint="eastAsia" w:cs="宋体"/>
                      <w:color w:val="auto"/>
                      <w:kern w:val="0"/>
                      <w:sz w:val="21"/>
                      <w:szCs w:val="21"/>
                      <w:lang w:bidi="ar"/>
                    </w:rPr>
                    <w:t>、</w:t>
                  </w:r>
                  <w:r>
                    <w:rPr>
                      <w:color w:val="auto"/>
                      <w:kern w:val="0"/>
                      <w:sz w:val="21"/>
                      <w:szCs w:val="21"/>
                      <w:lang w:bidi="ar"/>
                    </w:rPr>
                    <w:t>PM</w:t>
                  </w:r>
                  <w:r>
                    <w:rPr>
                      <w:color w:val="auto"/>
                      <w:kern w:val="0"/>
                      <w:sz w:val="21"/>
                      <w:szCs w:val="21"/>
                      <w:vertAlign w:val="subscript"/>
                      <w:lang w:bidi="ar"/>
                    </w:rPr>
                    <w:t>10</w:t>
                  </w:r>
                  <w:r>
                    <w:rPr>
                      <w:rFonts w:hint="eastAsia" w:cs="宋体"/>
                      <w:color w:val="auto"/>
                      <w:kern w:val="0"/>
                      <w:sz w:val="21"/>
                      <w:szCs w:val="21"/>
                      <w:lang w:bidi="ar"/>
                    </w:rPr>
                    <w:t>、</w:t>
                  </w:r>
                  <w:r>
                    <w:rPr>
                      <w:color w:val="auto"/>
                      <w:kern w:val="0"/>
                      <w:sz w:val="21"/>
                      <w:szCs w:val="21"/>
                      <w:lang w:bidi="ar"/>
                    </w:rPr>
                    <w:t>PM</w:t>
                  </w:r>
                  <w:r>
                    <w:rPr>
                      <w:color w:val="auto"/>
                      <w:kern w:val="0"/>
                      <w:sz w:val="21"/>
                      <w:szCs w:val="21"/>
                      <w:vertAlign w:val="subscript"/>
                      <w:lang w:bidi="ar"/>
                    </w:rPr>
                    <w:t>2.5</w:t>
                  </w:r>
                  <w:r>
                    <w:rPr>
                      <w:rFonts w:hint="eastAsia" w:cs="宋体"/>
                      <w:color w:val="auto"/>
                      <w:kern w:val="0"/>
                      <w:sz w:val="21"/>
                      <w:szCs w:val="21"/>
                      <w:lang w:bidi="ar"/>
                    </w:rPr>
                    <w:t>分别为</w:t>
                  </w:r>
                  <w:r>
                    <w:rPr>
                      <w:rFonts w:cs="宋体"/>
                      <w:color w:val="auto"/>
                      <w:kern w:val="0"/>
                      <w:sz w:val="21"/>
                      <w:szCs w:val="21"/>
                      <w:lang w:bidi="ar"/>
                    </w:rPr>
                    <w:t>23208t/a</w:t>
                  </w:r>
                  <w:r>
                    <w:rPr>
                      <w:rFonts w:hint="eastAsia" w:cs="宋体"/>
                      <w:color w:val="auto"/>
                      <w:kern w:val="0"/>
                      <w:sz w:val="21"/>
                      <w:szCs w:val="21"/>
                      <w:lang w:bidi="ar"/>
                    </w:rPr>
                    <w:t>、</w:t>
                  </w:r>
                  <w:r>
                    <w:rPr>
                      <w:rFonts w:cs="宋体"/>
                      <w:color w:val="auto"/>
                      <w:kern w:val="0"/>
                      <w:sz w:val="21"/>
                      <w:szCs w:val="21"/>
                      <w:lang w:bidi="ar"/>
                    </w:rPr>
                    <w:t>9117t/a</w:t>
                  </w:r>
                  <w:r>
                    <w:rPr>
                      <w:rFonts w:hint="eastAsia" w:cs="宋体"/>
                      <w:color w:val="auto"/>
                      <w:kern w:val="0"/>
                      <w:sz w:val="21"/>
                      <w:szCs w:val="21"/>
                      <w:lang w:bidi="ar"/>
                    </w:rPr>
                    <w:t>、</w:t>
                  </w:r>
                  <w:r>
                    <w:rPr>
                      <w:rFonts w:cs="宋体"/>
                      <w:color w:val="auto"/>
                      <w:kern w:val="0"/>
                      <w:sz w:val="21"/>
                      <w:szCs w:val="21"/>
                      <w:lang w:bidi="ar"/>
                    </w:rPr>
                    <w:t>14091t/a</w:t>
                  </w:r>
                  <w:r>
                    <w:rPr>
                      <w:rFonts w:hint="eastAsia" w:cs="宋体"/>
                      <w:color w:val="auto"/>
                      <w:kern w:val="0"/>
                      <w:sz w:val="21"/>
                      <w:szCs w:val="21"/>
                      <w:lang w:bidi="ar"/>
                    </w:rPr>
                    <w:t>、</w:t>
                  </w:r>
                  <w:r>
                    <w:rPr>
                      <w:rFonts w:cs="宋体"/>
                      <w:color w:val="auto"/>
                      <w:kern w:val="0"/>
                      <w:sz w:val="21"/>
                      <w:szCs w:val="21"/>
                      <w:lang w:bidi="ar"/>
                    </w:rPr>
                    <w:t>7874t/a</w:t>
                  </w:r>
                  <w:r>
                    <w:rPr>
                      <w:rFonts w:hint="eastAsia" w:cs="宋体"/>
                      <w:color w:val="auto"/>
                      <w:kern w:val="0"/>
                      <w:sz w:val="21"/>
                      <w:szCs w:val="21"/>
                      <w:lang w:bidi="ar"/>
                    </w:rPr>
                    <w:t>。</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7.</w:t>
                  </w:r>
                  <w:r>
                    <w:rPr>
                      <w:rFonts w:hint="eastAsia" w:cs="宋体"/>
                      <w:color w:val="auto"/>
                      <w:kern w:val="0"/>
                      <w:sz w:val="21"/>
                      <w:szCs w:val="21"/>
                      <w:lang w:bidi="ar"/>
                    </w:rPr>
                    <w:t>潭头污水处理厂排污区COD、无机氮</w:t>
                  </w:r>
                  <w:r>
                    <w:rPr>
                      <w:rFonts w:cs="宋体"/>
                      <w:color w:val="auto"/>
                      <w:kern w:val="0"/>
                      <w:sz w:val="21"/>
                      <w:szCs w:val="21"/>
                      <w:lang w:bidi="ar"/>
                    </w:rPr>
                    <w:t>、磷酸盐已经超标</w:t>
                  </w:r>
                  <w:r>
                    <w:rPr>
                      <w:rFonts w:hint="eastAsia" w:cs="宋体"/>
                      <w:color w:val="auto"/>
                      <w:kern w:val="0"/>
                      <w:sz w:val="21"/>
                      <w:szCs w:val="21"/>
                      <w:lang w:bidi="ar"/>
                    </w:rPr>
                    <w:t>，已无COD、无机氮</w:t>
                  </w:r>
                  <w:r>
                    <w:rPr>
                      <w:rFonts w:cs="宋体"/>
                      <w:color w:val="auto"/>
                      <w:kern w:val="0"/>
                      <w:sz w:val="21"/>
                      <w:szCs w:val="21"/>
                      <w:lang w:bidi="ar"/>
                    </w:rPr>
                    <w:t>、磷酸盐</w:t>
                  </w:r>
                  <w:r>
                    <w:rPr>
                      <w:rFonts w:hint="eastAsia" w:cs="宋体"/>
                      <w:color w:val="auto"/>
                      <w:kern w:val="0"/>
                      <w:sz w:val="21"/>
                      <w:szCs w:val="21"/>
                      <w:lang w:bidi="ar"/>
                    </w:rPr>
                    <w:t>环境容量；滨海工业区污水厂排污区</w:t>
                  </w:r>
                  <w:r>
                    <w:rPr>
                      <w:rFonts w:cs="宋体"/>
                      <w:color w:val="auto"/>
                      <w:kern w:val="0"/>
                      <w:sz w:val="21"/>
                      <w:szCs w:val="21"/>
                      <w:lang w:bidi="ar"/>
                    </w:rPr>
                    <w:t>COD</w:t>
                  </w:r>
                  <w:r>
                    <w:rPr>
                      <w:rFonts w:hint="eastAsia" w:cs="宋体"/>
                      <w:color w:val="auto"/>
                      <w:kern w:val="0"/>
                      <w:sz w:val="21"/>
                      <w:szCs w:val="21"/>
                      <w:lang w:bidi="ar"/>
                    </w:rPr>
                    <w:t>最大允许污水排污规模为</w:t>
                  </w:r>
                  <w:r>
                    <w:rPr>
                      <w:rFonts w:cs="宋体"/>
                      <w:color w:val="auto"/>
                      <w:kern w:val="0"/>
                      <w:sz w:val="21"/>
                      <w:szCs w:val="21"/>
                      <w:lang w:bidi="ar"/>
                    </w:rPr>
                    <w:t>85</w:t>
                  </w:r>
                  <w:r>
                    <w:rPr>
                      <w:rFonts w:hint="eastAsia" w:cs="宋体"/>
                      <w:color w:val="auto"/>
                      <w:kern w:val="0"/>
                      <w:sz w:val="21"/>
                      <w:szCs w:val="21"/>
                      <w:lang w:bidi="ar"/>
                    </w:rPr>
                    <w:t>万吨</w:t>
                  </w:r>
                  <w:r>
                    <w:rPr>
                      <w:rFonts w:cs="宋体"/>
                      <w:color w:val="auto"/>
                      <w:kern w:val="0"/>
                      <w:sz w:val="21"/>
                      <w:szCs w:val="21"/>
                      <w:lang w:bidi="ar"/>
                    </w:rPr>
                    <w:t>/</w:t>
                  </w:r>
                  <w:r>
                    <w:rPr>
                      <w:rFonts w:hint="eastAsia" w:cs="宋体"/>
                      <w:color w:val="auto"/>
                      <w:kern w:val="0"/>
                      <w:sz w:val="21"/>
                      <w:szCs w:val="21"/>
                      <w:lang w:bidi="ar"/>
                    </w:rPr>
                    <w:t>天、无机氮最大允许污水排放规模为</w:t>
                  </w:r>
                  <w:r>
                    <w:rPr>
                      <w:rFonts w:cs="宋体"/>
                      <w:color w:val="auto"/>
                      <w:kern w:val="0"/>
                      <w:sz w:val="21"/>
                      <w:szCs w:val="21"/>
                      <w:lang w:bidi="ar"/>
                    </w:rPr>
                    <w:t>35</w:t>
                  </w:r>
                  <w:r>
                    <w:rPr>
                      <w:rFonts w:hint="eastAsia" w:cs="宋体"/>
                      <w:color w:val="auto"/>
                      <w:kern w:val="0"/>
                      <w:sz w:val="21"/>
                      <w:szCs w:val="21"/>
                      <w:lang w:bidi="ar"/>
                    </w:rPr>
                    <w:t>万吨</w:t>
                  </w:r>
                  <w:r>
                    <w:rPr>
                      <w:rFonts w:cs="宋体"/>
                      <w:color w:val="auto"/>
                      <w:kern w:val="0"/>
                      <w:sz w:val="21"/>
                      <w:szCs w:val="21"/>
                      <w:lang w:bidi="ar"/>
                    </w:rPr>
                    <w:t>/</w:t>
                  </w:r>
                  <w:r>
                    <w:rPr>
                      <w:rFonts w:hint="eastAsia" w:cs="宋体"/>
                      <w:color w:val="auto"/>
                      <w:kern w:val="0"/>
                      <w:sz w:val="21"/>
                      <w:szCs w:val="21"/>
                      <w:lang w:bidi="ar"/>
                    </w:rPr>
                    <w:t>天、磷酸盐最大允许污水排放规模为</w:t>
                  </w:r>
                  <w:r>
                    <w:rPr>
                      <w:rFonts w:cs="宋体"/>
                      <w:color w:val="auto"/>
                      <w:kern w:val="0"/>
                      <w:sz w:val="21"/>
                      <w:szCs w:val="21"/>
                      <w:lang w:bidi="ar"/>
                    </w:rPr>
                    <w:t>49</w:t>
                  </w:r>
                  <w:r>
                    <w:rPr>
                      <w:rFonts w:hint="eastAsia" w:cs="宋体"/>
                      <w:color w:val="auto"/>
                      <w:kern w:val="0"/>
                      <w:sz w:val="21"/>
                      <w:szCs w:val="21"/>
                      <w:lang w:bidi="ar"/>
                    </w:rPr>
                    <w:t>万吨</w:t>
                  </w:r>
                  <w:r>
                    <w:rPr>
                      <w:rFonts w:cs="宋体"/>
                      <w:color w:val="auto"/>
                      <w:kern w:val="0"/>
                      <w:sz w:val="21"/>
                      <w:szCs w:val="21"/>
                      <w:lang w:bidi="ar"/>
                    </w:rPr>
                    <w:t>/</w:t>
                  </w:r>
                  <w:r>
                    <w:rPr>
                      <w:rFonts w:hint="eastAsia" w:cs="宋体"/>
                      <w:color w:val="auto"/>
                      <w:kern w:val="0"/>
                      <w:sz w:val="21"/>
                      <w:szCs w:val="21"/>
                      <w:lang w:bidi="ar"/>
                    </w:rPr>
                    <w:t>天、石油类最大允许污水排放规模为</w:t>
                  </w:r>
                  <w:r>
                    <w:rPr>
                      <w:rFonts w:cs="宋体"/>
                      <w:color w:val="auto"/>
                      <w:kern w:val="0"/>
                      <w:sz w:val="21"/>
                      <w:szCs w:val="21"/>
                      <w:lang w:bidi="ar"/>
                    </w:rPr>
                    <w:t>60</w:t>
                  </w:r>
                  <w:r>
                    <w:rPr>
                      <w:rFonts w:hint="eastAsia" w:cs="宋体"/>
                      <w:color w:val="auto"/>
                      <w:kern w:val="0"/>
                      <w:sz w:val="21"/>
                      <w:szCs w:val="21"/>
                      <w:lang w:bidi="ar"/>
                    </w:rPr>
                    <w:t>万吨</w:t>
                  </w:r>
                  <w:r>
                    <w:rPr>
                      <w:rFonts w:cs="宋体"/>
                      <w:color w:val="auto"/>
                      <w:kern w:val="0"/>
                      <w:sz w:val="21"/>
                      <w:szCs w:val="21"/>
                      <w:lang w:bidi="ar"/>
                    </w:rPr>
                    <w:t>/</w:t>
                  </w:r>
                  <w:r>
                    <w:rPr>
                      <w:rFonts w:hint="eastAsia" w:cs="宋体"/>
                      <w:color w:val="auto"/>
                      <w:kern w:val="0"/>
                      <w:sz w:val="21"/>
                      <w:szCs w:val="21"/>
                      <w:lang w:bidi="ar"/>
                    </w:rPr>
                    <w:t>天。以最小值作为控制条件，滨海工业区污水厂排污口水环境承载力为污水</w:t>
                  </w:r>
                  <w:r>
                    <w:rPr>
                      <w:rFonts w:cs="宋体"/>
                      <w:color w:val="auto"/>
                      <w:kern w:val="0"/>
                      <w:sz w:val="21"/>
                      <w:szCs w:val="21"/>
                      <w:lang w:bidi="ar"/>
                    </w:rPr>
                    <w:t>3</w:t>
                  </w:r>
                  <w:r>
                    <w:rPr>
                      <w:rFonts w:hint="eastAsia" w:cs="宋体"/>
                      <w:color w:val="auto"/>
                      <w:kern w:val="0"/>
                      <w:sz w:val="21"/>
                      <w:szCs w:val="21"/>
                      <w:lang w:bidi="ar"/>
                    </w:rPr>
                    <w:t>5万吨/天。</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8.</w:t>
                  </w:r>
                  <w:r>
                    <w:rPr>
                      <w:rFonts w:hint="eastAsia" w:cs="宋体"/>
                      <w:color w:val="auto"/>
                      <w:kern w:val="0"/>
                      <w:sz w:val="21"/>
                      <w:szCs w:val="21"/>
                      <w:lang w:bidi="ar"/>
                    </w:rPr>
                    <w:t>禁止引进向厂外排放含重金属、</w:t>
                  </w:r>
                  <w:r>
                    <w:rPr>
                      <w:rFonts w:cs="宋体"/>
                      <w:color w:val="auto"/>
                      <w:kern w:val="0"/>
                      <w:sz w:val="21"/>
                      <w:szCs w:val="21"/>
                      <w:lang w:bidi="ar"/>
                    </w:rPr>
                    <w:t>剧毒物质废水</w:t>
                  </w:r>
                  <w:r>
                    <w:rPr>
                      <w:rFonts w:hint="eastAsia" w:cs="宋体"/>
                      <w:color w:val="auto"/>
                      <w:kern w:val="0"/>
                      <w:sz w:val="21"/>
                      <w:szCs w:val="21"/>
                      <w:lang w:bidi="ar"/>
                    </w:rPr>
                    <w:t>的新、改</w:t>
                  </w:r>
                  <w:r>
                    <w:rPr>
                      <w:rFonts w:cs="宋体"/>
                      <w:color w:val="auto"/>
                      <w:kern w:val="0"/>
                      <w:sz w:val="21"/>
                      <w:szCs w:val="21"/>
                      <w:lang w:bidi="ar"/>
                    </w:rPr>
                    <w:t>、扩</w:t>
                  </w:r>
                  <w:r>
                    <w:rPr>
                      <w:rFonts w:hint="eastAsia" w:cs="宋体"/>
                      <w:color w:val="auto"/>
                      <w:kern w:val="0"/>
                      <w:sz w:val="21"/>
                      <w:szCs w:val="21"/>
                      <w:lang w:bidi="ar"/>
                    </w:rPr>
                    <w:t>建项目。</w:t>
                  </w:r>
                </w:p>
                <w:p>
                  <w:pPr>
                    <w:widowControl/>
                    <w:numPr>
                      <w:ilvl w:val="255"/>
                      <w:numId w:val="0"/>
                    </w:numPr>
                    <w:spacing w:line="240" w:lineRule="auto"/>
                    <w:ind w:left="0" w:leftChars="0" w:firstLine="0" w:firstLineChars="0"/>
                    <w:textAlignment w:val="center"/>
                    <w:rPr>
                      <w:color w:val="auto"/>
                      <w:highlight w:val="none"/>
                    </w:rPr>
                  </w:pPr>
                  <w:r>
                    <w:rPr>
                      <w:rFonts w:hint="eastAsia" w:cs="宋体"/>
                      <w:color w:val="auto"/>
                      <w:kern w:val="0"/>
                      <w:sz w:val="21"/>
                      <w:szCs w:val="21"/>
                      <w:lang w:bidi="ar"/>
                    </w:rPr>
                    <w:t>9</w:t>
                  </w:r>
                  <w:r>
                    <w:rPr>
                      <w:rFonts w:cs="宋体"/>
                      <w:color w:val="auto"/>
                      <w:kern w:val="0"/>
                      <w:sz w:val="21"/>
                      <w:szCs w:val="21"/>
                      <w:lang w:bidi="ar"/>
                    </w:rPr>
                    <w:t>.</w:t>
                  </w:r>
                  <w:r>
                    <w:rPr>
                      <w:rFonts w:hint="eastAsia" w:cs="宋体"/>
                      <w:color w:val="auto"/>
                      <w:kern w:val="0"/>
                      <w:sz w:val="21"/>
                      <w:szCs w:val="21"/>
                      <w:lang w:bidi="ar"/>
                    </w:rPr>
                    <w:t>加强</w:t>
                  </w:r>
                  <w:r>
                    <w:rPr>
                      <w:rFonts w:cs="宋体"/>
                      <w:color w:val="auto"/>
                      <w:kern w:val="0"/>
                      <w:sz w:val="21"/>
                      <w:szCs w:val="21"/>
                      <w:lang w:bidi="ar"/>
                    </w:rPr>
                    <w:t>食品企业恶臭污染控制，防止恶臭扰民。</w:t>
                  </w:r>
                </w:p>
              </w:tc>
              <w:tc>
                <w:tcPr>
                  <w:tcW w:w="2635" w:type="dxa"/>
                  <w:vAlign w:val="center"/>
                </w:tcPr>
                <w:p>
                  <w:pPr>
                    <w:pStyle w:val="70"/>
                    <w:jc w:val="both"/>
                    <w:rPr>
                      <w:rFonts w:hint="eastAsia"/>
                      <w:color w:val="auto"/>
                      <w:highlight w:val="none"/>
                      <w:lang w:val="en-US" w:eastAsia="zh-CN"/>
                    </w:rPr>
                  </w:pPr>
                  <w:r>
                    <w:rPr>
                      <w:rFonts w:hint="eastAsia"/>
                      <w:color w:val="auto"/>
                      <w:highlight w:val="none"/>
                    </w:rPr>
                    <w:t>1.</w:t>
                  </w:r>
                  <w:r>
                    <w:rPr>
                      <w:rFonts w:hint="eastAsia"/>
                      <w:color w:val="auto"/>
                      <w:highlight w:val="none"/>
                      <w:lang w:val="en-US" w:eastAsia="zh-CN"/>
                    </w:rPr>
                    <w:t>项目喷砂粉尘采用布袋除尘，抛光粉尘（涉及易燃易爆铝粉）采用湿法除尘，属于《国家污染防治技术指导目录》（2025年）中鼓励类和低效类排除范围。项目废水、废气、噪声经厂内处理后可确保达标排放，区域环境现状维持现状水平。</w:t>
                  </w:r>
                </w:p>
                <w:p>
                  <w:pPr>
                    <w:pStyle w:val="70"/>
                    <w:jc w:val="both"/>
                    <w:rPr>
                      <w:rFonts w:hint="eastAsia"/>
                      <w:color w:val="auto"/>
                      <w:highlight w:val="none"/>
                    </w:rPr>
                  </w:pPr>
                  <w:r>
                    <w:rPr>
                      <w:rFonts w:hint="eastAsia"/>
                      <w:color w:val="auto"/>
                      <w:highlight w:val="none"/>
                    </w:rPr>
                    <w:t>2.</w:t>
                  </w:r>
                  <w:r>
                    <w:rPr>
                      <w:rFonts w:hint="eastAsia"/>
                      <w:color w:val="auto"/>
                      <w:highlight w:val="none"/>
                      <w:lang w:val="en-US" w:eastAsia="zh-CN"/>
                    </w:rPr>
                    <w:t>项目不涉及SO</w:t>
                  </w:r>
                  <w:r>
                    <w:rPr>
                      <w:rFonts w:hint="eastAsia"/>
                      <w:color w:val="auto"/>
                      <w:highlight w:val="none"/>
                      <w:vertAlign w:val="subscript"/>
                      <w:lang w:val="en-US" w:eastAsia="zh-CN"/>
                    </w:rPr>
                    <w:t>2</w:t>
                  </w:r>
                  <w:r>
                    <w:rPr>
                      <w:rFonts w:hint="eastAsia"/>
                      <w:color w:val="auto"/>
                      <w:highlight w:val="none"/>
                      <w:vertAlign w:val="baseline"/>
                      <w:lang w:val="en-US" w:eastAsia="zh-CN"/>
                    </w:rPr>
                    <w:t>、NO</w:t>
                  </w:r>
                  <w:r>
                    <w:rPr>
                      <w:rFonts w:hint="eastAsia"/>
                      <w:color w:val="auto"/>
                      <w:highlight w:val="none"/>
                      <w:vertAlign w:val="subscript"/>
                      <w:lang w:val="en-US" w:eastAsia="zh-CN"/>
                    </w:rPr>
                    <w:t>X</w:t>
                  </w:r>
                  <w:r>
                    <w:rPr>
                      <w:rFonts w:hint="eastAsia"/>
                      <w:color w:val="auto"/>
                      <w:highlight w:val="none"/>
                    </w:rPr>
                    <w:t>排放</w:t>
                  </w:r>
                  <w:r>
                    <w:rPr>
                      <w:rFonts w:hint="eastAsia"/>
                      <w:color w:val="auto"/>
                      <w:highlight w:val="none"/>
                      <w:lang w:eastAsia="zh-CN"/>
                    </w:rPr>
                    <w:t>，</w:t>
                  </w:r>
                  <w:r>
                    <w:rPr>
                      <w:rFonts w:hint="eastAsia"/>
                      <w:color w:val="auto"/>
                      <w:highlight w:val="none"/>
                      <w:lang w:val="en-US" w:eastAsia="zh-CN"/>
                    </w:rPr>
                    <w:t>COD、氨氮、</w:t>
                  </w:r>
                  <w:r>
                    <w:rPr>
                      <w:rFonts w:hint="eastAsia"/>
                      <w:color w:val="auto"/>
                      <w:highlight w:val="none"/>
                    </w:rPr>
                    <w:t>VOCs</w:t>
                  </w:r>
                  <w:r>
                    <w:rPr>
                      <w:rFonts w:hint="eastAsia"/>
                      <w:color w:val="auto"/>
                      <w:highlight w:val="none"/>
                      <w:lang w:val="en-US" w:eastAsia="zh-CN"/>
                    </w:rPr>
                    <w:t>新增排放量很小，符合临空经济区总量控制要求</w:t>
                  </w:r>
                  <w:r>
                    <w:rPr>
                      <w:rFonts w:hint="eastAsia"/>
                      <w:color w:val="auto"/>
                      <w:highlight w:val="none"/>
                    </w:rPr>
                    <w:t>。</w:t>
                  </w:r>
                </w:p>
                <w:p>
                  <w:pPr>
                    <w:pStyle w:val="70"/>
                    <w:jc w:val="both"/>
                    <w:rPr>
                      <w:rFonts w:hint="eastAsia"/>
                      <w:color w:val="auto"/>
                      <w:highlight w:val="none"/>
                    </w:rPr>
                  </w:pPr>
                  <w:r>
                    <w:rPr>
                      <w:rFonts w:hint="eastAsia"/>
                      <w:color w:val="auto"/>
                      <w:highlight w:val="none"/>
                      <w:lang w:val="en-US" w:eastAsia="zh-CN"/>
                    </w:rPr>
                    <w:t>3.项目采用电为能源，不涉及锅炉</w:t>
                  </w:r>
                  <w:r>
                    <w:rPr>
                      <w:rFonts w:hint="eastAsia"/>
                      <w:color w:val="auto"/>
                      <w:highlight w:val="none"/>
                    </w:rPr>
                    <w:t>。</w:t>
                  </w:r>
                </w:p>
                <w:p>
                  <w:pPr>
                    <w:pStyle w:val="70"/>
                    <w:jc w:val="both"/>
                    <w:rPr>
                      <w:rFonts w:hint="eastAsia"/>
                      <w:color w:val="auto"/>
                      <w:highlight w:val="none"/>
                      <w:lang w:eastAsia="zh-CN"/>
                    </w:rPr>
                  </w:pPr>
                  <w:r>
                    <w:rPr>
                      <w:rFonts w:hint="eastAsia"/>
                      <w:color w:val="auto"/>
                      <w:highlight w:val="none"/>
                      <w:lang w:val="en-US" w:eastAsia="zh-CN"/>
                    </w:rPr>
                    <w:t>4.按要求实施总量替代</w:t>
                  </w:r>
                  <w:r>
                    <w:rPr>
                      <w:rFonts w:hint="eastAsia"/>
                      <w:color w:val="auto"/>
                      <w:highlight w:val="none"/>
                      <w:lang w:eastAsia="zh-CN"/>
                    </w:rPr>
                    <w:t>。</w:t>
                  </w:r>
                </w:p>
                <w:p>
                  <w:pPr>
                    <w:pStyle w:val="70"/>
                    <w:jc w:val="both"/>
                    <w:rPr>
                      <w:rFonts w:hint="eastAsia"/>
                      <w:color w:val="auto"/>
                      <w:highlight w:val="none"/>
                      <w:lang w:val="en-US" w:eastAsia="zh-CN"/>
                    </w:rPr>
                  </w:pPr>
                  <w:r>
                    <w:rPr>
                      <w:rFonts w:hint="eastAsia"/>
                      <w:color w:val="auto"/>
                      <w:highlight w:val="none"/>
                      <w:lang w:val="en-US" w:eastAsia="zh-CN"/>
                    </w:rPr>
                    <w:t>5.项目产品属于高纯靶材，采用的原辅料均为无毒无害原料，生产过程污染物排放量小，采用的生产工艺达到同行业先进水平，项目总体清洁生产水平可达到国内先进水平。</w:t>
                  </w:r>
                </w:p>
                <w:p>
                  <w:pPr>
                    <w:pStyle w:val="70"/>
                    <w:jc w:val="both"/>
                    <w:rPr>
                      <w:rFonts w:hint="default"/>
                      <w:color w:val="auto"/>
                      <w:highlight w:val="none"/>
                      <w:lang w:val="en-US" w:eastAsia="zh-CN"/>
                    </w:rPr>
                  </w:pPr>
                  <w:r>
                    <w:rPr>
                      <w:rFonts w:hint="eastAsia"/>
                      <w:color w:val="auto"/>
                      <w:highlight w:val="none"/>
                      <w:lang w:val="en-US" w:eastAsia="zh-CN"/>
                    </w:rPr>
                    <w:t>6.项目颗粒物排放量为1.777t/a，远小于区域允许的</w:t>
                  </w:r>
                  <w:r>
                    <w:rPr>
                      <w:color w:val="auto"/>
                      <w:kern w:val="0"/>
                      <w:sz w:val="21"/>
                      <w:szCs w:val="21"/>
                      <w:highlight w:val="none"/>
                      <w:lang w:bidi="ar"/>
                    </w:rPr>
                    <w:t>PM</w:t>
                  </w:r>
                  <w:r>
                    <w:rPr>
                      <w:color w:val="auto"/>
                      <w:kern w:val="0"/>
                      <w:sz w:val="21"/>
                      <w:szCs w:val="21"/>
                      <w:highlight w:val="none"/>
                      <w:vertAlign w:val="subscript"/>
                      <w:lang w:bidi="ar"/>
                    </w:rPr>
                    <w:t>10</w:t>
                  </w:r>
                  <w:r>
                    <w:rPr>
                      <w:rFonts w:hint="eastAsia" w:cs="宋体"/>
                      <w:color w:val="auto"/>
                      <w:kern w:val="0"/>
                      <w:sz w:val="21"/>
                      <w:szCs w:val="21"/>
                      <w:highlight w:val="none"/>
                      <w:lang w:bidi="ar"/>
                    </w:rPr>
                    <w:t>、</w:t>
                  </w:r>
                  <w:r>
                    <w:rPr>
                      <w:color w:val="auto"/>
                      <w:kern w:val="0"/>
                      <w:sz w:val="21"/>
                      <w:szCs w:val="21"/>
                      <w:highlight w:val="none"/>
                      <w:lang w:bidi="ar"/>
                    </w:rPr>
                    <w:t>PM</w:t>
                  </w:r>
                  <w:r>
                    <w:rPr>
                      <w:color w:val="auto"/>
                      <w:kern w:val="0"/>
                      <w:sz w:val="21"/>
                      <w:szCs w:val="21"/>
                      <w:highlight w:val="none"/>
                      <w:vertAlign w:val="subscript"/>
                      <w:lang w:bidi="ar"/>
                    </w:rPr>
                    <w:t>2.5</w:t>
                  </w:r>
                  <w:r>
                    <w:rPr>
                      <w:rFonts w:hint="eastAsia"/>
                      <w:color w:val="auto"/>
                      <w:highlight w:val="none"/>
                      <w:lang w:val="en-US" w:eastAsia="zh-CN"/>
                    </w:rPr>
                    <w:t>排放总量。</w:t>
                  </w:r>
                </w:p>
                <w:p>
                  <w:pPr>
                    <w:pStyle w:val="70"/>
                    <w:jc w:val="both"/>
                    <w:rPr>
                      <w:rFonts w:hint="eastAsia"/>
                      <w:color w:val="auto"/>
                      <w:highlight w:val="none"/>
                      <w:lang w:val="en-US" w:eastAsia="zh-CN"/>
                    </w:rPr>
                  </w:pPr>
                  <w:r>
                    <w:rPr>
                      <w:rFonts w:hint="eastAsia"/>
                      <w:color w:val="auto"/>
                      <w:highlight w:val="none"/>
                      <w:lang w:val="en-US" w:eastAsia="zh-CN"/>
                    </w:rPr>
                    <w:t>7.项目废水排入滨海工业区污水处理厂。新增废水排放量2784t/a。</w:t>
                  </w:r>
                </w:p>
                <w:p>
                  <w:pPr>
                    <w:pStyle w:val="70"/>
                    <w:jc w:val="both"/>
                    <w:rPr>
                      <w:rFonts w:hint="eastAsia" w:cs="宋体"/>
                      <w:color w:val="auto"/>
                      <w:kern w:val="0"/>
                      <w:sz w:val="21"/>
                      <w:szCs w:val="21"/>
                      <w:highlight w:val="none"/>
                      <w:lang w:val="en-US" w:eastAsia="zh-CN" w:bidi="ar"/>
                    </w:rPr>
                  </w:pPr>
                  <w:r>
                    <w:rPr>
                      <w:rFonts w:hint="eastAsia"/>
                      <w:color w:val="auto"/>
                      <w:highlight w:val="none"/>
                      <w:lang w:val="en-US" w:eastAsia="zh-CN"/>
                    </w:rPr>
                    <w:t>8、项目不涉及</w:t>
                  </w:r>
                  <w:r>
                    <w:rPr>
                      <w:rFonts w:hint="eastAsia" w:cs="宋体"/>
                      <w:color w:val="auto"/>
                      <w:kern w:val="0"/>
                      <w:sz w:val="21"/>
                      <w:szCs w:val="21"/>
                      <w:highlight w:val="none"/>
                      <w:lang w:bidi="ar"/>
                    </w:rPr>
                    <w:t>重金属、剧毒物质和持久性有机污染物</w:t>
                  </w:r>
                  <w:r>
                    <w:rPr>
                      <w:rFonts w:hint="eastAsia" w:cs="宋体"/>
                      <w:color w:val="auto"/>
                      <w:kern w:val="0"/>
                      <w:sz w:val="21"/>
                      <w:szCs w:val="21"/>
                      <w:highlight w:val="none"/>
                      <w:lang w:val="en-US" w:eastAsia="zh-CN" w:bidi="ar"/>
                    </w:rPr>
                    <w:t>的排放。</w:t>
                  </w:r>
                </w:p>
                <w:p>
                  <w:pPr>
                    <w:pStyle w:val="70"/>
                    <w:jc w:val="both"/>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9.项目不属于食品企业，生产过程不产生恶臭气体。</w:t>
                  </w:r>
                </w:p>
                <w:p>
                  <w:pPr>
                    <w:pStyle w:val="70"/>
                    <w:rPr>
                      <w:color w:val="auto"/>
                      <w:highlight w:val="none"/>
                    </w:rPr>
                  </w:pPr>
                </w:p>
              </w:tc>
              <w:tc>
                <w:tcPr>
                  <w:tcW w:w="717" w:type="dxa"/>
                  <w:vAlign w:val="center"/>
                </w:tcPr>
                <w:p>
                  <w:pPr>
                    <w:pStyle w:val="70"/>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568" w:type="dxa"/>
                  <w:vMerge w:val="restart"/>
                  <w:vAlign w:val="center"/>
                </w:tcPr>
                <w:p>
                  <w:pPr>
                    <w:widowControl/>
                    <w:spacing w:line="240" w:lineRule="auto"/>
                    <w:ind w:firstLine="0" w:firstLineChars="0"/>
                    <w:textAlignment w:val="center"/>
                    <w:rPr>
                      <w:rFonts w:hint="eastAsia" w:cs="宋体"/>
                      <w:color w:val="auto"/>
                      <w:kern w:val="0"/>
                      <w:sz w:val="21"/>
                      <w:szCs w:val="21"/>
                      <w:highlight w:val="none"/>
                      <w:lang w:bidi="ar"/>
                    </w:rPr>
                  </w:pPr>
                  <w:r>
                    <w:rPr>
                      <w:rFonts w:hint="eastAsia"/>
                      <w:color w:val="auto"/>
                      <w:lang w:val="en-US" w:eastAsia="zh-CN"/>
                    </w:rPr>
                    <w:t>重点产业区总体要求</w:t>
                  </w:r>
                </w:p>
              </w:tc>
              <w:tc>
                <w:tcPr>
                  <w:tcW w:w="541" w:type="dxa"/>
                  <w:shd w:val="clear" w:color="auto" w:fill="auto"/>
                  <w:vAlign w:val="center"/>
                </w:tcPr>
                <w:p>
                  <w:pPr>
                    <w:widowControl/>
                    <w:spacing w:line="240" w:lineRule="auto"/>
                    <w:ind w:firstLine="0" w:firstLineChars="0"/>
                    <w:textAlignment w:val="center"/>
                    <w:rPr>
                      <w:rFonts w:hint="eastAsia" w:ascii="Calibri" w:hAnsi="Calibri" w:eastAsia="宋体" w:cs="宋体"/>
                      <w:color w:val="auto"/>
                      <w:kern w:val="0"/>
                      <w:sz w:val="21"/>
                      <w:szCs w:val="21"/>
                      <w:highlight w:val="none"/>
                      <w:lang w:val="en-US" w:eastAsia="zh-CN" w:bidi="ar"/>
                    </w:rPr>
                  </w:pPr>
                  <w:r>
                    <w:rPr>
                      <w:rFonts w:hint="eastAsia" w:cs="宋体"/>
                      <w:color w:val="auto"/>
                      <w:kern w:val="0"/>
                      <w:sz w:val="21"/>
                      <w:szCs w:val="21"/>
                      <w:highlight w:val="none"/>
                      <w:lang w:bidi="ar"/>
                    </w:rPr>
                    <w:t>环境风险防控</w:t>
                  </w:r>
                </w:p>
              </w:tc>
              <w:tc>
                <w:tcPr>
                  <w:tcW w:w="3124" w:type="dxa"/>
                  <w:vAlign w:val="center"/>
                </w:tcPr>
                <w:p>
                  <w:pPr>
                    <w:widowControl/>
                    <w:numPr>
                      <w:ilvl w:val="255"/>
                      <w:numId w:val="0"/>
                    </w:numPr>
                    <w:spacing w:line="240" w:lineRule="auto"/>
                    <w:textAlignment w:val="center"/>
                    <w:rPr>
                      <w:rFonts w:cs="宋体"/>
                      <w:color w:val="auto"/>
                      <w:kern w:val="0"/>
                      <w:sz w:val="21"/>
                      <w:szCs w:val="21"/>
                      <w:lang w:bidi="ar"/>
                    </w:rPr>
                  </w:pPr>
                  <w:r>
                    <w:rPr>
                      <w:rFonts w:hint="eastAsia" w:cs="宋体"/>
                      <w:color w:val="auto"/>
                      <w:kern w:val="0"/>
                      <w:sz w:val="21"/>
                      <w:szCs w:val="21"/>
                      <w:lang w:bidi="ar"/>
                    </w:rPr>
                    <w:t>1.强化企业环境风险防范设施设备建设和正常运行监管，加强企业应急预案制定，建立常态化的企业隐患排查整治监管机制；加强风险防控体系建设。</w:t>
                  </w:r>
                </w:p>
                <w:p>
                  <w:pPr>
                    <w:widowControl/>
                    <w:numPr>
                      <w:ilvl w:val="255"/>
                      <w:numId w:val="0"/>
                    </w:numPr>
                    <w:spacing w:line="240" w:lineRule="auto"/>
                    <w:textAlignment w:val="center"/>
                    <w:rPr>
                      <w:color w:val="auto"/>
                      <w:sz w:val="21"/>
                      <w:szCs w:val="21"/>
                    </w:rPr>
                  </w:pPr>
                  <w:r>
                    <w:rPr>
                      <w:color w:val="auto"/>
                      <w:kern w:val="0"/>
                      <w:sz w:val="21"/>
                      <w:szCs w:val="21"/>
                      <w:lang w:bidi="ar"/>
                    </w:rPr>
                    <w:t>2.</w:t>
                  </w:r>
                  <w:r>
                    <w:rPr>
                      <w:rFonts w:hint="eastAsia" w:cs="宋体"/>
                      <w:color w:val="auto"/>
                      <w:kern w:val="0"/>
                      <w:sz w:val="21"/>
                      <w:szCs w:val="21"/>
                      <w:lang w:bidi="ar"/>
                    </w:rPr>
                    <w:t>涉及风险企业内部须设置事故应急池，用于收集事故时的生产废水、消防洗消废水和初期雨水。</w:t>
                  </w:r>
                </w:p>
                <w:p>
                  <w:pPr>
                    <w:widowControl/>
                    <w:numPr>
                      <w:ilvl w:val="255"/>
                      <w:numId w:val="0"/>
                    </w:numPr>
                    <w:spacing w:line="240" w:lineRule="auto"/>
                    <w:textAlignment w:val="center"/>
                    <w:rPr>
                      <w:color w:val="auto"/>
                      <w:sz w:val="21"/>
                      <w:szCs w:val="21"/>
                    </w:rPr>
                  </w:pPr>
                  <w:r>
                    <w:rPr>
                      <w:color w:val="auto"/>
                      <w:kern w:val="0"/>
                      <w:sz w:val="21"/>
                      <w:szCs w:val="21"/>
                      <w:lang w:bidi="ar"/>
                    </w:rPr>
                    <w:t>3.</w:t>
                  </w:r>
                  <w:r>
                    <w:rPr>
                      <w:rFonts w:hint="eastAsia" w:cs="宋体"/>
                      <w:color w:val="auto"/>
                      <w:kern w:val="0"/>
                      <w:sz w:val="21"/>
                      <w:szCs w:val="21"/>
                      <w:lang w:bidi="ar"/>
                    </w:rPr>
                    <w:t>加强固体废物堆放场所建设，临时堆放储存场所、转运站应设置防流失防渗透设施。要求区域内企业在危废间污染区地面建设防渗措施和泄漏、渗漏污染物收集措施，防止危险废物泄漏污染土壤。</w:t>
                  </w:r>
                </w:p>
                <w:p>
                  <w:pPr>
                    <w:widowControl/>
                    <w:numPr>
                      <w:ilvl w:val="255"/>
                      <w:numId w:val="0"/>
                    </w:numPr>
                    <w:spacing w:line="240" w:lineRule="auto"/>
                    <w:ind w:left="0" w:leftChars="0" w:firstLine="0" w:firstLineChars="0"/>
                    <w:textAlignment w:val="center"/>
                    <w:rPr>
                      <w:rFonts w:cs="宋体"/>
                      <w:color w:val="auto"/>
                      <w:kern w:val="0"/>
                      <w:sz w:val="21"/>
                      <w:szCs w:val="21"/>
                      <w:highlight w:val="none"/>
                      <w:lang w:bidi="ar"/>
                    </w:rPr>
                  </w:pPr>
                  <w:r>
                    <w:rPr>
                      <w:color w:val="auto"/>
                      <w:kern w:val="0"/>
                      <w:sz w:val="21"/>
                      <w:szCs w:val="21"/>
                      <w:lang w:bidi="ar"/>
                    </w:rPr>
                    <w:t>4.</w:t>
                  </w:r>
                  <w:r>
                    <w:rPr>
                      <w:rFonts w:hint="eastAsia" w:cs="宋体"/>
                      <w:color w:val="auto"/>
                      <w:kern w:val="0"/>
                      <w:sz w:val="21"/>
                      <w:szCs w:val="21"/>
                      <w:lang w:bidi="ar"/>
                    </w:rPr>
                    <w:t>建立环境风险应急防控体系。</w:t>
                  </w:r>
                </w:p>
              </w:tc>
              <w:tc>
                <w:tcPr>
                  <w:tcW w:w="2635" w:type="dxa"/>
                  <w:vAlign w:val="top"/>
                </w:tcPr>
                <w:p>
                  <w:pPr>
                    <w:pStyle w:val="70"/>
                    <w:jc w:val="both"/>
                    <w:rPr>
                      <w:rFonts w:hint="eastAsia"/>
                      <w:color w:val="auto"/>
                      <w:lang w:val="en-US" w:eastAsia="zh-CN"/>
                    </w:rPr>
                  </w:pPr>
                  <w:r>
                    <w:rPr>
                      <w:rFonts w:hint="eastAsia"/>
                      <w:color w:val="auto"/>
                      <w:lang w:val="en-US" w:eastAsia="zh-CN"/>
                    </w:rPr>
                    <w:t>1.按要求实施</w:t>
                  </w:r>
                </w:p>
                <w:p>
                  <w:pPr>
                    <w:pStyle w:val="70"/>
                    <w:jc w:val="both"/>
                    <w:rPr>
                      <w:rFonts w:hint="default" w:eastAsia="宋体"/>
                      <w:color w:val="auto"/>
                      <w:vertAlign w:val="superscript"/>
                      <w:lang w:val="en-US" w:eastAsia="zh-CN"/>
                    </w:rPr>
                  </w:pPr>
                  <w:r>
                    <w:rPr>
                      <w:rFonts w:hint="eastAsia"/>
                      <w:color w:val="auto"/>
                      <w:lang w:val="en-US" w:eastAsia="zh-CN"/>
                    </w:rPr>
                    <w:t>2.企业内部拟设置一座260m</w:t>
                  </w:r>
                  <w:r>
                    <w:rPr>
                      <w:rFonts w:hint="eastAsia"/>
                      <w:color w:val="auto"/>
                      <w:vertAlign w:val="superscript"/>
                      <w:lang w:val="en-US" w:eastAsia="zh-CN"/>
                    </w:rPr>
                    <w:t>3</w:t>
                  </w:r>
                  <w:r>
                    <w:rPr>
                      <w:rFonts w:hint="eastAsia" w:cs="宋体"/>
                      <w:color w:val="auto"/>
                      <w:kern w:val="0"/>
                      <w:sz w:val="21"/>
                      <w:szCs w:val="21"/>
                      <w:lang w:bidi="ar"/>
                    </w:rPr>
                    <w:t>事故应急池</w:t>
                  </w:r>
                  <w:r>
                    <w:rPr>
                      <w:rFonts w:hint="eastAsia" w:cs="宋体"/>
                      <w:color w:val="auto"/>
                      <w:kern w:val="0"/>
                      <w:sz w:val="21"/>
                      <w:szCs w:val="21"/>
                      <w:lang w:eastAsia="zh-CN" w:bidi="ar"/>
                    </w:rPr>
                    <w:t>，</w:t>
                  </w:r>
                  <w:r>
                    <w:rPr>
                      <w:rFonts w:hint="eastAsia" w:cs="宋体"/>
                      <w:color w:val="auto"/>
                      <w:kern w:val="0"/>
                      <w:sz w:val="21"/>
                      <w:szCs w:val="21"/>
                      <w:lang w:val="en-US" w:eastAsia="zh-CN" w:bidi="ar"/>
                    </w:rPr>
                    <w:t>并配套相应的收集系统。</w:t>
                  </w:r>
                </w:p>
                <w:p>
                  <w:pPr>
                    <w:pStyle w:val="70"/>
                    <w:jc w:val="both"/>
                    <w:rPr>
                      <w:rFonts w:hint="eastAsia"/>
                      <w:color w:val="auto"/>
                      <w:lang w:val="en-US" w:eastAsia="zh-CN"/>
                    </w:rPr>
                  </w:pPr>
                  <w:r>
                    <w:rPr>
                      <w:rFonts w:hint="eastAsia"/>
                      <w:color w:val="auto"/>
                      <w:lang w:val="en-US" w:eastAsia="zh-CN"/>
                    </w:rPr>
                    <w:t>3.企业利用已有一般工业固废、危废暂存场所，场所防控要求符合相关标准要求。</w:t>
                  </w:r>
                </w:p>
                <w:p>
                  <w:pPr>
                    <w:pStyle w:val="70"/>
                    <w:jc w:val="both"/>
                    <w:rPr>
                      <w:rFonts w:hint="default"/>
                      <w:color w:val="auto"/>
                      <w:highlight w:val="none"/>
                      <w:lang w:val="en-US" w:eastAsia="zh-CN"/>
                    </w:rPr>
                  </w:pPr>
                  <w:r>
                    <w:rPr>
                      <w:rFonts w:hint="eastAsia"/>
                      <w:color w:val="auto"/>
                      <w:lang w:val="en-US" w:eastAsia="zh-CN"/>
                    </w:rPr>
                    <w:t>4.企业按要求编制应急预案，建立环境风险应急防控体系。</w:t>
                  </w:r>
                </w:p>
              </w:tc>
              <w:tc>
                <w:tcPr>
                  <w:tcW w:w="717" w:type="dxa"/>
                  <w:vAlign w:val="center"/>
                </w:tcPr>
                <w:p>
                  <w:pPr>
                    <w:pStyle w:val="7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568" w:type="dxa"/>
                  <w:vMerge w:val="continue"/>
                  <w:vAlign w:val="center"/>
                </w:tcPr>
                <w:p>
                  <w:pPr>
                    <w:widowControl/>
                    <w:spacing w:line="240" w:lineRule="auto"/>
                    <w:ind w:firstLine="0" w:firstLineChars="0"/>
                    <w:jc w:val="center"/>
                    <w:textAlignment w:val="center"/>
                    <w:rPr>
                      <w:rFonts w:hint="eastAsia" w:cs="宋体"/>
                      <w:color w:val="auto"/>
                      <w:kern w:val="0"/>
                      <w:sz w:val="21"/>
                      <w:szCs w:val="21"/>
                      <w:highlight w:val="none"/>
                      <w:lang w:bidi="ar"/>
                    </w:rPr>
                  </w:pPr>
                </w:p>
              </w:tc>
              <w:tc>
                <w:tcPr>
                  <w:tcW w:w="541" w:type="dxa"/>
                  <w:shd w:val="clear" w:color="auto" w:fill="auto"/>
                  <w:vAlign w:val="center"/>
                </w:tcPr>
                <w:p>
                  <w:pPr>
                    <w:widowControl/>
                    <w:spacing w:line="240" w:lineRule="auto"/>
                    <w:ind w:firstLine="0" w:firstLineChars="0"/>
                    <w:jc w:val="center"/>
                    <w:textAlignment w:val="center"/>
                    <w:rPr>
                      <w:rFonts w:hint="eastAsia" w:ascii="Calibri" w:hAnsi="Calibri" w:eastAsia="宋体" w:cs="宋体"/>
                      <w:color w:val="auto"/>
                      <w:kern w:val="0"/>
                      <w:sz w:val="21"/>
                      <w:szCs w:val="21"/>
                      <w:highlight w:val="none"/>
                      <w:lang w:val="en-US" w:eastAsia="zh-CN" w:bidi="ar"/>
                    </w:rPr>
                  </w:pPr>
                  <w:r>
                    <w:rPr>
                      <w:rFonts w:hint="eastAsia" w:cs="宋体"/>
                      <w:color w:val="auto"/>
                      <w:kern w:val="0"/>
                      <w:sz w:val="21"/>
                      <w:szCs w:val="21"/>
                      <w:lang w:bidi="ar"/>
                    </w:rPr>
                    <w:t>资源开发效率要求</w:t>
                  </w:r>
                </w:p>
              </w:tc>
              <w:tc>
                <w:tcPr>
                  <w:tcW w:w="3124" w:type="dxa"/>
                  <w:vAlign w:val="center"/>
                </w:tcPr>
                <w:p>
                  <w:pPr>
                    <w:widowControl/>
                    <w:numPr>
                      <w:ilvl w:val="255"/>
                      <w:numId w:val="0"/>
                    </w:numPr>
                    <w:spacing w:line="240" w:lineRule="auto"/>
                    <w:textAlignment w:val="center"/>
                    <w:rPr>
                      <w:rFonts w:cs="宋体"/>
                      <w:color w:val="auto"/>
                      <w:kern w:val="0"/>
                      <w:sz w:val="21"/>
                      <w:szCs w:val="21"/>
                      <w:lang w:bidi="ar"/>
                    </w:rPr>
                  </w:pPr>
                  <w:r>
                    <w:rPr>
                      <w:rFonts w:hint="eastAsia" w:cs="宋体"/>
                      <w:color w:val="auto"/>
                      <w:kern w:val="0"/>
                      <w:sz w:val="21"/>
                      <w:szCs w:val="21"/>
                      <w:lang w:bidi="ar"/>
                    </w:rPr>
                    <w:t>1.实施能源消耗总量和强度双控。</w:t>
                  </w:r>
                </w:p>
                <w:p>
                  <w:pPr>
                    <w:widowControl/>
                    <w:numPr>
                      <w:ilvl w:val="255"/>
                      <w:numId w:val="0"/>
                    </w:numPr>
                    <w:spacing w:line="240" w:lineRule="auto"/>
                    <w:textAlignment w:val="center"/>
                    <w:rPr>
                      <w:color w:val="auto"/>
                      <w:sz w:val="21"/>
                      <w:szCs w:val="21"/>
                    </w:rPr>
                  </w:pPr>
                  <w:r>
                    <w:rPr>
                      <w:color w:val="auto"/>
                      <w:kern w:val="0"/>
                      <w:sz w:val="21"/>
                      <w:szCs w:val="21"/>
                      <w:lang w:bidi="ar"/>
                    </w:rPr>
                    <w:t>2.</w:t>
                  </w:r>
                  <w:r>
                    <w:rPr>
                      <w:rFonts w:hint="eastAsia" w:cs="宋体"/>
                      <w:color w:val="auto"/>
                      <w:kern w:val="0"/>
                      <w:sz w:val="21"/>
                      <w:szCs w:val="21"/>
                      <w:lang w:bidi="ar"/>
                    </w:rPr>
                    <w:t>强化产业园区单位土地面积投资强度和效用指标的刚性约束，提高土地利用效率，入驻项目投资强度不低于</w:t>
                  </w:r>
                  <w:r>
                    <w:rPr>
                      <w:color w:val="auto"/>
                      <w:kern w:val="0"/>
                      <w:sz w:val="21"/>
                      <w:szCs w:val="21"/>
                      <w:lang w:bidi="ar"/>
                    </w:rPr>
                    <w:t>400</w:t>
                  </w:r>
                  <w:r>
                    <w:rPr>
                      <w:rFonts w:hint="eastAsia" w:cs="宋体"/>
                      <w:color w:val="auto"/>
                      <w:kern w:val="0"/>
                      <w:sz w:val="21"/>
                      <w:szCs w:val="21"/>
                      <w:lang w:bidi="ar"/>
                    </w:rPr>
                    <w:t>万元</w:t>
                  </w:r>
                  <w:r>
                    <w:rPr>
                      <w:color w:val="auto"/>
                      <w:kern w:val="0"/>
                      <w:sz w:val="21"/>
                      <w:szCs w:val="21"/>
                      <w:lang w:bidi="ar"/>
                    </w:rPr>
                    <w:t>/</w:t>
                  </w:r>
                  <w:r>
                    <w:rPr>
                      <w:rFonts w:hint="eastAsia" w:cs="宋体"/>
                      <w:color w:val="auto"/>
                      <w:kern w:val="0"/>
                      <w:sz w:val="21"/>
                      <w:szCs w:val="21"/>
                      <w:lang w:bidi="ar"/>
                    </w:rPr>
                    <w:t>亩，入驻项目投产后年税收不低于</w:t>
                  </w:r>
                  <w:r>
                    <w:rPr>
                      <w:color w:val="auto"/>
                      <w:kern w:val="0"/>
                      <w:sz w:val="21"/>
                      <w:szCs w:val="21"/>
                      <w:lang w:bidi="ar"/>
                    </w:rPr>
                    <w:t>20</w:t>
                  </w:r>
                  <w:r>
                    <w:rPr>
                      <w:rFonts w:hint="eastAsia" w:cs="宋体"/>
                      <w:color w:val="auto"/>
                      <w:kern w:val="0"/>
                      <w:sz w:val="21"/>
                      <w:szCs w:val="21"/>
                      <w:lang w:bidi="ar"/>
                    </w:rPr>
                    <w:t>万元</w:t>
                  </w:r>
                  <w:r>
                    <w:rPr>
                      <w:color w:val="auto"/>
                      <w:kern w:val="0"/>
                      <w:sz w:val="21"/>
                      <w:szCs w:val="21"/>
                      <w:lang w:bidi="ar"/>
                    </w:rPr>
                    <w:t>/</w:t>
                  </w:r>
                  <w:r>
                    <w:rPr>
                      <w:rFonts w:hint="eastAsia" w:cs="宋体"/>
                      <w:color w:val="auto"/>
                      <w:kern w:val="0"/>
                      <w:sz w:val="21"/>
                      <w:szCs w:val="21"/>
                      <w:lang w:bidi="ar"/>
                    </w:rPr>
                    <w:t>亩，年产值不低于</w:t>
                  </w:r>
                  <w:r>
                    <w:rPr>
                      <w:color w:val="auto"/>
                      <w:kern w:val="0"/>
                      <w:sz w:val="21"/>
                      <w:szCs w:val="21"/>
                      <w:lang w:bidi="ar"/>
                    </w:rPr>
                    <w:t>500</w:t>
                  </w:r>
                  <w:r>
                    <w:rPr>
                      <w:rFonts w:hint="eastAsia" w:cs="宋体"/>
                      <w:color w:val="auto"/>
                      <w:kern w:val="0"/>
                      <w:sz w:val="21"/>
                      <w:szCs w:val="21"/>
                      <w:lang w:bidi="ar"/>
                    </w:rPr>
                    <w:t>万元</w:t>
                  </w:r>
                  <w:r>
                    <w:rPr>
                      <w:color w:val="auto"/>
                      <w:kern w:val="0"/>
                      <w:sz w:val="21"/>
                      <w:szCs w:val="21"/>
                      <w:lang w:bidi="ar"/>
                    </w:rPr>
                    <w:t>/</w:t>
                  </w:r>
                  <w:r>
                    <w:rPr>
                      <w:rFonts w:hint="eastAsia" w:cs="宋体"/>
                      <w:color w:val="auto"/>
                      <w:kern w:val="0"/>
                      <w:sz w:val="21"/>
                      <w:szCs w:val="21"/>
                      <w:lang w:bidi="ar"/>
                    </w:rPr>
                    <w:t>亩。</w:t>
                  </w:r>
                </w:p>
                <w:p>
                  <w:pPr>
                    <w:widowControl/>
                    <w:numPr>
                      <w:ilvl w:val="255"/>
                      <w:numId w:val="0"/>
                    </w:numPr>
                    <w:spacing w:line="240" w:lineRule="auto"/>
                    <w:ind w:left="0" w:leftChars="0" w:firstLine="0" w:firstLineChars="0"/>
                    <w:textAlignment w:val="center"/>
                    <w:rPr>
                      <w:rFonts w:cs="宋体"/>
                      <w:color w:val="auto"/>
                      <w:kern w:val="0"/>
                      <w:sz w:val="21"/>
                      <w:szCs w:val="21"/>
                      <w:highlight w:val="none"/>
                      <w:lang w:bidi="ar"/>
                    </w:rPr>
                  </w:pPr>
                  <w:r>
                    <w:rPr>
                      <w:color w:val="auto"/>
                      <w:kern w:val="0"/>
                      <w:sz w:val="21"/>
                      <w:szCs w:val="21"/>
                      <w:lang w:bidi="ar"/>
                    </w:rPr>
                    <w:t>3.</w:t>
                  </w:r>
                  <w:r>
                    <w:rPr>
                      <w:rFonts w:hint="eastAsia" w:cs="宋体"/>
                      <w:color w:val="auto"/>
                      <w:kern w:val="0"/>
                      <w:sz w:val="21"/>
                      <w:szCs w:val="21"/>
                      <w:lang w:bidi="ar"/>
                    </w:rPr>
                    <w:t>推进工业废水重复利用、污水处理厂尾水回用，工业用水重复利用率≥</w:t>
                  </w:r>
                  <w:r>
                    <w:rPr>
                      <w:color w:val="auto"/>
                      <w:kern w:val="0"/>
                      <w:sz w:val="21"/>
                      <w:szCs w:val="21"/>
                      <w:lang w:bidi="ar"/>
                    </w:rPr>
                    <w:t>80%</w:t>
                  </w:r>
                  <w:r>
                    <w:rPr>
                      <w:rFonts w:hint="eastAsia" w:cs="宋体"/>
                      <w:color w:val="auto"/>
                      <w:kern w:val="0"/>
                      <w:sz w:val="21"/>
                      <w:szCs w:val="21"/>
                      <w:lang w:bidi="ar"/>
                    </w:rPr>
                    <w:t>。</w:t>
                  </w:r>
                </w:p>
              </w:tc>
              <w:tc>
                <w:tcPr>
                  <w:tcW w:w="2635" w:type="dxa"/>
                  <w:vAlign w:val="center"/>
                </w:tcPr>
                <w:p>
                  <w:pPr>
                    <w:pStyle w:val="70"/>
                    <w:jc w:val="both"/>
                    <w:rPr>
                      <w:rFonts w:hint="eastAsia"/>
                      <w:color w:val="auto"/>
                      <w:highlight w:val="none"/>
                      <w:lang w:val="en-US" w:eastAsia="zh-CN"/>
                    </w:rPr>
                  </w:pPr>
                  <w:r>
                    <w:rPr>
                      <w:rFonts w:hint="eastAsia"/>
                      <w:color w:val="auto"/>
                      <w:highlight w:val="none"/>
                      <w:lang w:val="en-US" w:eastAsia="zh-CN"/>
                    </w:rPr>
                    <w:t>1.按要求实施。</w:t>
                  </w:r>
                </w:p>
                <w:p>
                  <w:pPr>
                    <w:pStyle w:val="70"/>
                    <w:jc w:val="both"/>
                    <w:rPr>
                      <w:rFonts w:hint="eastAsia"/>
                      <w:color w:val="auto"/>
                      <w:highlight w:val="none"/>
                      <w:lang w:val="en-US" w:eastAsia="zh-CN"/>
                    </w:rPr>
                  </w:pPr>
                  <w:r>
                    <w:rPr>
                      <w:rFonts w:hint="eastAsia"/>
                      <w:color w:val="auto"/>
                      <w:highlight w:val="none"/>
                      <w:lang w:val="en-US" w:eastAsia="zh-CN"/>
                    </w:rPr>
                    <w:t>2.项目投资强度为503万元/亩，投产后税收、产值等符合相关要求。</w:t>
                  </w:r>
                </w:p>
                <w:p>
                  <w:pPr>
                    <w:pStyle w:val="70"/>
                    <w:jc w:val="both"/>
                    <w:rPr>
                      <w:rFonts w:hint="default"/>
                      <w:color w:val="auto"/>
                      <w:highlight w:val="none"/>
                      <w:lang w:val="en-US" w:eastAsia="zh-CN"/>
                    </w:rPr>
                  </w:pPr>
                  <w:r>
                    <w:rPr>
                      <w:rFonts w:hint="eastAsia"/>
                      <w:color w:val="auto"/>
                      <w:highlight w:val="none"/>
                      <w:lang w:val="en-US" w:eastAsia="zh-CN"/>
                    </w:rPr>
                    <w:t>3.项目工业用水重复利用率98.3%。</w:t>
                  </w:r>
                </w:p>
              </w:tc>
              <w:tc>
                <w:tcPr>
                  <w:tcW w:w="717" w:type="dxa"/>
                  <w:vAlign w:val="center"/>
                </w:tcPr>
                <w:p>
                  <w:pPr>
                    <w:pStyle w:val="7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568" w:type="dxa"/>
                  <w:vAlign w:val="center"/>
                </w:tcPr>
                <w:p>
                  <w:pPr>
                    <w:widowControl/>
                    <w:spacing w:line="240" w:lineRule="auto"/>
                    <w:ind w:firstLine="0" w:firstLineChars="0"/>
                    <w:jc w:val="center"/>
                    <w:textAlignment w:val="center"/>
                    <w:rPr>
                      <w:rFonts w:hint="default"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产业聚集带</w:t>
                  </w:r>
                </w:p>
              </w:tc>
              <w:tc>
                <w:tcPr>
                  <w:tcW w:w="541" w:type="dxa"/>
                  <w:vAlign w:val="center"/>
                </w:tcPr>
                <w:p>
                  <w:pPr>
                    <w:widowControl/>
                    <w:spacing w:line="240" w:lineRule="auto"/>
                    <w:ind w:firstLine="0" w:firstLineChars="0"/>
                    <w:textAlignment w:val="center"/>
                    <w:rPr>
                      <w:rFonts w:hint="eastAsia" w:cs="宋体"/>
                      <w:color w:val="auto"/>
                      <w:kern w:val="0"/>
                      <w:sz w:val="21"/>
                      <w:szCs w:val="21"/>
                      <w:highlight w:val="none"/>
                      <w:lang w:bidi="ar"/>
                    </w:rPr>
                  </w:pPr>
                  <w:r>
                    <w:rPr>
                      <w:rFonts w:hint="eastAsia" w:cs="宋体"/>
                      <w:color w:val="auto"/>
                      <w:kern w:val="0"/>
                      <w:sz w:val="21"/>
                      <w:szCs w:val="21"/>
                      <w:lang w:bidi="ar"/>
                    </w:rPr>
                    <w:t>空间布局约束</w:t>
                  </w:r>
                </w:p>
              </w:tc>
              <w:tc>
                <w:tcPr>
                  <w:tcW w:w="3124" w:type="dxa"/>
                  <w:vAlign w:val="center"/>
                </w:tcPr>
                <w:p>
                  <w:pPr>
                    <w:widowControl/>
                    <w:numPr>
                      <w:ilvl w:val="255"/>
                      <w:numId w:val="0"/>
                    </w:numPr>
                    <w:spacing w:line="240" w:lineRule="auto"/>
                    <w:textAlignment w:val="center"/>
                    <w:rPr>
                      <w:rFonts w:cs="宋体"/>
                      <w:color w:val="auto"/>
                      <w:kern w:val="0"/>
                      <w:sz w:val="21"/>
                      <w:szCs w:val="21"/>
                      <w:lang w:bidi="ar"/>
                    </w:rPr>
                  </w:pPr>
                  <w:r>
                    <w:rPr>
                      <w:rFonts w:hint="eastAsia" w:cs="宋体"/>
                      <w:color w:val="auto"/>
                      <w:kern w:val="0"/>
                      <w:sz w:val="21"/>
                      <w:szCs w:val="21"/>
                      <w:lang w:bidi="ar"/>
                    </w:rPr>
                    <w:t>1.准入与片区规划产业一致的低能耗、低水耗、低污染、低风险的高新技术产业项目或国家鼓励类产业项目。</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2.</w:t>
                  </w:r>
                  <w:r>
                    <w:rPr>
                      <w:rFonts w:hint="eastAsia" w:cs="宋体"/>
                      <w:color w:val="auto"/>
                      <w:kern w:val="0"/>
                      <w:sz w:val="21"/>
                      <w:szCs w:val="21"/>
                      <w:lang w:bidi="ar"/>
                    </w:rPr>
                    <w:t>食品产业禁止引进发酵类食品；纺织业禁止引进含染整工序的项目；禁止发展废钢、废铁、</w:t>
                  </w:r>
                  <w:r>
                    <w:rPr>
                      <w:rFonts w:cs="宋体"/>
                      <w:color w:val="auto"/>
                      <w:kern w:val="0"/>
                      <w:sz w:val="21"/>
                      <w:szCs w:val="21"/>
                      <w:lang w:bidi="ar"/>
                    </w:rPr>
                    <w:t>废铝、废铜等废旧金属</w:t>
                  </w:r>
                  <w:r>
                    <w:rPr>
                      <w:rFonts w:hint="eastAsia" w:cs="宋体"/>
                      <w:color w:val="auto"/>
                      <w:kern w:val="0"/>
                      <w:sz w:val="21"/>
                      <w:szCs w:val="21"/>
                      <w:lang w:bidi="ar"/>
                    </w:rPr>
                    <w:t>为原料的铸造行业，禁止新建</w:t>
                  </w:r>
                  <w:r>
                    <w:rPr>
                      <w:rFonts w:cs="宋体"/>
                      <w:color w:val="auto"/>
                      <w:kern w:val="0"/>
                      <w:sz w:val="21"/>
                      <w:szCs w:val="21"/>
                      <w:lang w:bidi="ar"/>
                    </w:rPr>
                    <w:t>砂型铸造，推荐金属模铸造法</w:t>
                  </w:r>
                  <w:r>
                    <w:rPr>
                      <w:rFonts w:hint="eastAsia" w:cs="宋体"/>
                      <w:color w:val="auto"/>
                      <w:kern w:val="0"/>
                      <w:sz w:val="21"/>
                      <w:szCs w:val="21"/>
                      <w:lang w:bidi="ar"/>
                    </w:rPr>
                    <w:t>。</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3.</w:t>
                  </w:r>
                  <w:r>
                    <w:rPr>
                      <w:rFonts w:hint="eastAsia" w:cs="宋体"/>
                      <w:color w:val="auto"/>
                      <w:kern w:val="0"/>
                      <w:sz w:val="21"/>
                      <w:szCs w:val="21"/>
                      <w:lang w:bidi="ar"/>
                    </w:rPr>
                    <w:t>推荐高附加值的电子组装等，禁止其中污染严重的前端电子专用器材制造以及影响航空通讯的产业。</w:t>
                  </w:r>
                </w:p>
                <w:p>
                  <w:pPr>
                    <w:widowControl/>
                    <w:numPr>
                      <w:ilvl w:val="255"/>
                      <w:numId w:val="0"/>
                    </w:numPr>
                    <w:spacing w:line="240" w:lineRule="auto"/>
                    <w:textAlignment w:val="center"/>
                    <w:rPr>
                      <w:rFonts w:cs="宋体"/>
                      <w:color w:val="auto"/>
                      <w:kern w:val="0"/>
                      <w:sz w:val="21"/>
                      <w:szCs w:val="21"/>
                      <w:lang w:bidi="ar"/>
                    </w:rPr>
                  </w:pPr>
                  <w:r>
                    <w:rPr>
                      <w:rFonts w:hint="eastAsia" w:cs="宋体"/>
                      <w:color w:val="auto"/>
                      <w:kern w:val="0"/>
                      <w:sz w:val="21"/>
                      <w:szCs w:val="21"/>
                      <w:lang w:bidi="ar"/>
                    </w:rPr>
                    <w:t>4.准入氢燃料电池研发及制造。</w:t>
                  </w:r>
                </w:p>
                <w:p>
                  <w:pPr>
                    <w:widowControl/>
                    <w:numPr>
                      <w:ilvl w:val="255"/>
                      <w:numId w:val="0"/>
                    </w:numPr>
                    <w:spacing w:line="240" w:lineRule="auto"/>
                    <w:textAlignment w:val="center"/>
                    <w:rPr>
                      <w:rFonts w:cs="宋体"/>
                      <w:color w:val="auto"/>
                      <w:kern w:val="0"/>
                      <w:sz w:val="21"/>
                      <w:szCs w:val="21"/>
                      <w:lang w:bidi="ar"/>
                    </w:rPr>
                  </w:pPr>
                  <w:r>
                    <w:rPr>
                      <w:rFonts w:hint="eastAsia" w:cs="宋体"/>
                      <w:color w:val="auto"/>
                      <w:kern w:val="0"/>
                      <w:sz w:val="21"/>
                      <w:szCs w:val="21"/>
                      <w:lang w:bidi="ar"/>
                    </w:rPr>
                    <w:t>5..在长乐国际机场净空保护区范围内的各类建筑物、构筑物等必须满足净空及导航电磁环境的相关要求。</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6.</w:t>
                  </w:r>
                  <w:r>
                    <w:rPr>
                      <w:rFonts w:hint="eastAsia" w:cs="宋体"/>
                      <w:color w:val="auto"/>
                      <w:kern w:val="0"/>
                      <w:sz w:val="21"/>
                      <w:szCs w:val="21"/>
                      <w:lang w:bidi="ar"/>
                    </w:rPr>
                    <w:t>将园区内海滨森林公园划入禁止建设区。在保护区周边布局无污染、轻污染的产业，保护区内禁止新建排污口。</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7.</w:t>
                  </w:r>
                  <w:r>
                    <w:rPr>
                      <w:rFonts w:hint="eastAsia" w:cs="宋体"/>
                      <w:color w:val="auto"/>
                      <w:kern w:val="0"/>
                      <w:sz w:val="21"/>
                      <w:szCs w:val="21"/>
                      <w:lang w:bidi="ar"/>
                    </w:rPr>
                    <w:t>一般建设项目不得占用永久基本农田，重大建设项目选址确实难以避让永久基本农田的，必须依法依规办理。在土地性质调整及占补措施落实前暂缓开发。</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8.</w:t>
                  </w:r>
                  <w:r>
                    <w:rPr>
                      <w:rFonts w:hint="eastAsia" w:cs="宋体"/>
                      <w:color w:val="auto"/>
                      <w:kern w:val="0"/>
                      <w:sz w:val="21"/>
                      <w:szCs w:val="21"/>
                      <w:lang w:bidi="ar"/>
                    </w:rPr>
                    <w:t>禁止新型纤维素纤维（改性黏胶、天丝、莫代尔）、甲壳素复合纤维、海藻酸盐纤维、壳聚糖纤维等。</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9.</w:t>
                  </w:r>
                  <w:r>
                    <w:rPr>
                      <w:rFonts w:hint="eastAsia" w:cs="宋体"/>
                      <w:color w:val="auto"/>
                      <w:kern w:val="0"/>
                      <w:sz w:val="21"/>
                      <w:szCs w:val="21"/>
                      <w:lang w:bidi="ar"/>
                    </w:rPr>
                    <w:t>严格控制工业涂装等高</w:t>
                  </w:r>
                  <w:r>
                    <w:rPr>
                      <w:rFonts w:cs="宋体"/>
                      <w:color w:val="auto"/>
                      <w:kern w:val="0"/>
                      <w:sz w:val="21"/>
                      <w:szCs w:val="21"/>
                      <w:lang w:bidi="ar"/>
                    </w:rPr>
                    <w:t>VOCs</w:t>
                  </w:r>
                  <w:r>
                    <w:rPr>
                      <w:rFonts w:hint="eastAsia" w:cs="宋体"/>
                      <w:color w:val="auto"/>
                      <w:kern w:val="0"/>
                      <w:sz w:val="21"/>
                      <w:szCs w:val="21"/>
                      <w:lang w:bidi="ar"/>
                    </w:rPr>
                    <w:t>排放（VOCs</w:t>
                  </w:r>
                  <w:r>
                    <w:rPr>
                      <w:rFonts w:cs="宋体"/>
                      <w:color w:val="auto"/>
                      <w:kern w:val="0"/>
                      <w:sz w:val="21"/>
                      <w:szCs w:val="21"/>
                      <w:lang w:bidi="ar"/>
                    </w:rPr>
                    <w:t>产生量大于</w:t>
                  </w:r>
                  <w:r>
                    <w:rPr>
                      <w:rFonts w:hint="eastAsia" w:cs="宋体"/>
                      <w:color w:val="auto"/>
                      <w:kern w:val="0"/>
                      <w:sz w:val="21"/>
                      <w:szCs w:val="21"/>
                      <w:lang w:bidi="ar"/>
                    </w:rPr>
                    <w:t>10</w:t>
                  </w:r>
                  <w:r>
                    <w:rPr>
                      <w:rFonts w:cs="宋体"/>
                      <w:color w:val="auto"/>
                      <w:kern w:val="0"/>
                      <w:sz w:val="21"/>
                      <w:szCs w:val="21"/>
                      <w:lang w:bidi="ar"/>
                    </w:rPr>
                    <w:t>t/a</w:t>
                  </w:r>
                  <w:r>
                    <w:rPr>
                      <w:rFonts w:hint="eastAsia" w:cs="宋体"/>
                      <w:color w:val="auto"/>
                      <w:kern w:val="0"/>
                      <w:sz w:val="21"/>
                      <w:szCs w:val="21"/>
                      <w:lang w:bidi="ar"/>
                    </w:rPr>
                    <w:t>）的项目建设。</w:t>
                  </w:r>
                </w:p>
                <w:p>
                  <w:pPr>
                    <w:widowControl/>
                    <w:numPr>
                      <w:ilvl w:val="255"/>
                      <w:numId w:val="0"/>
                    </w:numPr>
                    <w:spacing w:line="240" w:lineRule="auto"/>
                    <w:textAlignment w:val="center"/>
                    <w:rPr>
                      <w:rFonts w:cs="宋体"/>
                      <w:color w:val="auto"/>
                      <w:kern w:val="0"/>
                      <w:sz w:val="21"/>
                      <w:szCs w:val="21"/>
                      <w:lang w:bidi="ar"/>
                    </w:rPr>
                  </w:pPr>
                  <w:r>
                    <w:rPr>
                      <w:rFonts w:cs="宋体"/>
                      <w:color w:val="auto"/>
                      <w:kern w:val="0"/>
                      <w:sz w:val="21"/>
                      <w:szCs w:val="21"/>
                      <w:lang w:bidi="ar"/>
                    </w:rPr>
                    <w:t>10</w:t>
                  </w:r>
                  <w:r>
                    <w:rPr>
                      <w:rFonts w:hint="eastAsia" w:cs="宋体"/>
                      <w:color w:val="auto"/>
                      <w:kern w:val="0"/>
                      <w:sz w:val="21"/>
                      <w:szCs w:val="21"/>
                      <w:lang w:bidi="ar"/>
                    </w:rPr>
                    <w:t>.禁止新建电镀、石化、化工项目。</w:t>
                  </w:r>
                </w:p>
                <w:p>
                  <w:pPr>
                    <w:pStyle w:val="18"/>
                    <w:ind w:right="113" w:rightChars="0"/>
                    <w:rPr>
                      <w:color w:val="auto"/>
                      <w:kern w:val="0"/>
                      <w:sz w:val="21"/>
                      <w:szCs w:val="21"/>
                      <w:highlight w:val="none"/>
                      <w:lang w:bidi="ar"/>
                    </w:rPr>
                  </w:pPr>
                  <w:r>
                    <w:rPr>
                      <w:rFonts w:hint="eastAsia"/>
                      <w:color w:val="auto"/>
                      <w:sz w:val="21"/>
                      <w:szCs w:val="21"/>
                      <w:lang w:bidi="ar"/>
                    </w:rPr>
                    <w:t>11.禁止</w:t>
                  </w:r>
                  <w:r>
                    <w:rPr>
                      <w:color w:val="auto"/>
                      <w:sz w:val="21"/>
                      <w:szCs w:val="21"/>
                      <w:lang w:bidi="ar"/>
                    </w:rPr>
                    <w:t>冶炼项目。</w:t>
                  </w:r>
                </w:p>
              </w:tc>
              <w:tc>
                <w:tcPr>
                  <w:tcW w:w="2635" w:type="dxa"/>
                  <w:vAlign w:val="center"/>
                </w:tcPr>
                <w:p>
                  <w:pPr>
                    <w:pStyle w:val="70"/>
                    <w:jc w:val="both"/>
                    <w:rPr>
                      <w:rFonts w:hint="eastAsia"/>
                      <w:color w:val="auto"/>
                      <w:highlight w:val="none"/>
                      <w:lang w:val="en-US" w:eastAsia="zh-CN"/>
                    </w:rPr>
                  </w:pPr>
                  <w:r>
                    <w:rPr>
                      <w:rFonts w:hint="eastAsia"/>
                      <w:color w:val="auto"/>
                      <w:highlight w:val="none"/>
                      <w:lang w:val="en-US" w:eastAsia="zh-CN"/>
                    </w:rPr>
                    <w:t>1.项目符合园区规划定位和产业，属于国家鼓励类产业。</w:t>
                  </w:r>
                </w:p>
                <w:p>
                  <w:pPr>
                    <w:pStyle w:val="70"/>
                    <w:jc w:val="both"/>
                    <w:rPr>
                      <w:rFonts w:hint="eastAsia"/>
                      <w:color w:val="auto"/>
                      <w:highlight w:val="none"/>
                      <w:lang w:val="en-US" w:eastAsia="zh-CN"/>
                    </w:rPr>
                  </w:pPr>
                  <w:r>
                    <w:rPr>
                      <w:rFonts w:hint="eastAsia"/>
                      <w:color w:val="auto"/>
                      <w:highlight w:val="none"/>
                      <w:lang w:val="en-US" w:eastAsia="zh-CN"/>
                    </w:rPr>
                    <w:t>2.项目不属于食品、纺织企业及以旧金属为原料的铸造企业。</w:t>
                  </w:r>
                </w:p>
                <w:p>
                  <w:pPr>
                    <w:pStyle w:val="70"/>
                    <w:jc w:val="both"/>
                    <w:rPr>
                      <w:rFonts w:hint="eastAsia" w:cs="宋体"/>
                      <w:color w:val="auto"/>
                      <w:kern w:val="0"/>
                      <w:sz w:val="21"/>
                      <w:szCs w:val="21"/>
                      <w:highlight w:val="none"/>
                      <w:lang w:eastAsia="zh-CN" w:bidi="ar"/>
                    </w:rPr>
                  </w:pPr>
                  <w:r>
                    <w:rPr>
                      <w:rFonts w:hint="eastAsia"/>
                      <w:color w:val="auto"/>
                      <w:highlight w:val="none"/>
                      <w:lang w:val="en-US" w:eastAsia="zh-CN"/>
                    </w:rPr>
                    <w:t>3、项目不属于污染严重的</w:t>
                  </w:r>
                  <w:r>
                    <w:rPr>
                      <w:rFonts w:hint="eastAsia" w:cs="宋体"/>
                      <w:color w:val="auto"/>
                      <w:kern w:val="0"/>
                      <w:sz w:val="21"/>
                      <w:szCs w:val="21"/>
                      <w:highlight w:val="none"/>
                      <w:lang w:bidi="ar"/>
                    </w:rPr>
                    <w:t>前端电子专用器材制造以及影响航空通讯的产业</w:t>
                  </w:r>
                  <w:r>
                    <w:rPr>
                      <w:rFonts w:hint="eastAsia" w:cs="宋体"/>
                      <w:color w:val="auto"/>
                      <w:kern w:val="0"/>
                      <w:sz w:val="21"/>
                      <w:szCs w:val="21"/>
                      <w:highlight w:val="none"/>
                      <w:lang w:eastAsia="zh-CN" w:bidi="ar"/>
                    </w:rPr>
                    <w:t>。</w:t>
                  </w:r>
                </w:p>
                <w:p>
                  <w:pPr>
                    <w:pStyle w:val="70"/>
                    <w:jc w:val="both"/>
                    <w:rPr>
                      <w:rFonts w:hint="eastAsia" w:cs="宋体"/>
                      <w:color w:val="auto"/>
                      <w:kern w:val="0"/>
                      <w:sz w:val="21"/>
                      <w:szCs w:val="21"/>
                      <w:highlight w:val="none"/>
                      <w:lang w:bidi="ar"/>
                    </w:rPr>
                  </w:pPr>
                  <w:r>
                    <w:rPr>
                      <w:rFonts w:hint="eastAsia" w:cs="宋体"/>
                      <w:color w:val="auto"/>
                      <w:kern w:val="0"/>
                      <w:sz w:val="21"/>
                      <w:szCs w:val="21"/>
                      <w:highlight w:val="none"/>
                      <w:lang w:val="en-US" w:eastAsia="zh-CN" w:bidi="ar"/>
                    </w:rPr>
                    <w:t>4、项目不属于</w:t>
                  </w:r>
                  <w:r>
                    <w:rPr>
                      <w:rFonts w:hint="eastAsia" w:cs="宋体"/>
                      <w:color w:val="auto"/>
                      <w:kern w:val="0"/>
                      <w:sz w:val="21"/>
                      <w:szCs w:val="21"/>
                      <w:highlight w:val="none"/>
                      <w:lang w:bidi="ar"/>
                    </w:rPr>
                    <w:t>氢燃料电池研发及制造</w:t>
                  </w:r>
                </w:p>
                <w:p>
                  <w:pPr>
                    <w:widowControl/>
                    <w:numPr>
                      <w:ilvl w:val="255"/>
                      <w:numId w:val="0"/>
                    </w:numPr>
                    <w:spacing w:line="240" w:lineRule="auto"/>
                    <w:ind w:left="0" w:leftChars="0" w:firstLine="0" w:firstLineChars="0"/>
                    <w:jc w:val="left"/>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5、项目建筑物高度不超过15m，采用的设备基本不会对机场导航电磁环境影响。项目建设符合《福州长乐国际机场保护条例》、《福州市人民政府关于福州长乐国际机场净空保护区域范围和控制要求的通告》（</w:t>
                  </w:r>
                </w:p>
                <w:p>
                  <w:pPr>
                    <w:widowControl/>
                    <w:numPr>
                      <w:ilvl w:val="255"/>
                      <w:numId w:val="0"/>
                    </w:numPr>
                    <w:spacing w:line="240" w:lineRule="auto"/>
                    <w:ind w:left="0" w:leftChars="0" w:firstLine="0" w:firstLineChars="0"/>
                    <w:jc w:val="left"/>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榕政规〔2023〕5号）的要求；</w:t>
                  </w:r>
                </w:p>
                <w:p>
                  <w:pPr>
                    <w:widowControl/>
                    <w:numPr>
                      <w:ilvl w:val="255"/>
                      <w:numId w:val="0"/>
                    </w:numPr>
                    <w:spacing w:line="240" w:lineRule="auto"/>
                    <w:ind w:left="0" w:leftChars="0" w:firstLine="0" w:firstLineChars="0"/>
                    <w:jc w:val="left"/>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6、项目不位于保护区范围；</w:t>
                  </w:r>
                </w:p>
                <w:p>
                  <w:pPr>
                    <w:widowControl/>
                    <w:numPr>
                      <w:ilvl w:val="255"/>
                      <w:numId w:val="0"/>
                    </w:numPr>
                    <w:spacing w:line="240" w:lineRule="auto"/>
                    <w:ind w:left="0" w:leftChars="0" w:firstLine="0" w:firstLineChars="0"/>
                    <w:jc w:val="left"/>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7、项目用地不涉及永久基本农田。</w:t>
                  </w:r>
                </w:p>
                <w:p>
                  <w:pPr>
                    <w:widowControl/>
                    <w:numPr>
                      <w:ilvl w:val="255"/>
                      <w:numId w:val="0"/>
                    </w:numPr>
                    <w:spacing w:line="240" w:lineRule="auto"/>
                    <w:ind w:left="0" w:leftChars="0" w:firstLine="0" w:firstLineChars="0"/>
                    <w:jc w:val="left"/>
                    <w:textAlignment w:val="center"/>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8、项目不属于新型纤维素纤维</w:t>
                  </w:r>
                  <w:r>
                    <w:rPr>
                      <w:rFonts w:hint="eastAsia"/>
                      <w:color w:val="auto"/>
                      <w:kern w:val="0"/>
                      <w:sz w:val="21"/>
                      <w:szCs w:val="21"/>
                      <w:highlight w:val="none"/>
                      <w:lang w:bidi="ar"/>
                    </w:rPr>
                    <w:t>、甲壳素复合纤维、海藻酸盐纤维、壳聚糖纤维等</w:t>
                  </w:r>
                  <w:r>
                    <w:rPr>
                      <w:rFonts w:hint="eastAsia"/>
                      <w:color w:val="auto"/>
                      <w:kern w:val="0"/>
                      <w:sz w:val="21"/>
                      <w:szCs w:val="21"/>
                      <w:highlight w:val="none"/>
                      <w:lang w:val="en-US" w:eastAsia="zh-CN" w:bidi="ar"/>
                    </w:rPr>
                    <w:t>制造项目；</w:t>
                  </w:r>
                </w:p>
                <w:p>
                  <w:pPr>
                    <w:widowControl/>
                    <w:numPr>
                      <w:ilvl w:val="255"/>
                      <w:numId w:val="0"/>
                    </w:numPr>
                    <w:spacing w:line="240" w:lineRule="auto"/>
                    <w:ind w:left="0" w:leftChars="0" w:firstLine="0" w:firstLineChars="0"/>
                    <w:jc w:val="left"/>
                    <w:textAlignment w:val="center"/>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9、项目新增</w:t>
                  </w:r>
                  <w:r>
                    <w:rPr>
                      <w:color w:val="auto"/>
                      <w:kern w:val="0"/>
                      <w:sz w:val="21"/>
                      <w:szCs w:val="21"/>
                      <w:highlight w:val="none"/>
                      <w:lang w:bidi="ar"/>
                    </w:rPr>
                    <w:t>VOCs</w:t>
                  </w:r>
                  <w:r>
                    <w:rPr>
                      <w:rFonts w:hint="eastAsia"/>
                      <w:color w:val="auto"/>
                      <w:kern w:val="0"/>
                      <w:sz w:val="21"/>
                      <w:szCs w:val="21"/>
                      <w:highlight w:val="none"/>
                      <w:lang w:bidi="ar"/>
                    </w:rPr>
                    <w:t>排放</w:t>
                  </w:r>
                  <w:r>
                    <w:rPr>
                      <w:rFonts w:hint="eastAsia"/>
                      <w:color w:val="auto"/>
                      <w:kern w:val="0"/>
                      <w:sz w:val="21"/>
                      <w:szCs w:val="21"/>
                      <w:highlight w:val="none"/>
                      <w:lang w:val="en-US" w:eastAsia="zh-CN" w:bidi="ar"/>
                    </w:rPr>
                    <w:t>量</w:t>
                  </w:r>
                  <w:r>
                    <w:rPr>
                      <w:rFonts w:hint="eastAsia"/>
                      <w:color w:val="auto"/>
                      <w:highlight w:val="none"/>
                    </w:rPr>
                    <w:t>0.</w:t>
                  </w:r>
                  <w:r>
                    <w:rPr>
                      <w:rFonts w:hint="eastAsia"/>
                      <w:color w:val="auto"/>
                      <w:highlight w:val="none"/>
                      <w:lang w:val="en-US" w:eastAsia="zh-CN"/>
                    </w:rPr>
                    <w:t>316t/a，不属于严格控制的高VOCs排放项目</w:t>
                  </w:r>
                  <w:r>
                    <w:rPr>
                      <w:rFonts w:hint="eastAsia"/>
                      <w:color w:val="auto"/>
                      <w:kern w:val="0"/>
                      <w:sz w:val="21"/>
                      <w:szCs w:val="21"/>
                      <w:highlight w:val="none"/>
                      <w:lang w:val="en-US" w:eastAsia="zh-CN" w:bidi="ar"/>
                    </w:rPr>
                    <w:t>；</w:t>
                  </w:r>
                </w:p>
                <w:p>
                  <w:pPr>
                    <w:pStyle w:val="18"/>
                    <w:rPr>
                      <w:rFonts w:hint="eastAsia" w:cs="宋体"/>
                      <w:color w:val="auto"/>
                      <w:kern w:val="0"/>
                      <w:sz w:val="21"/>
                      <w:szCs w:val="21"/>
                      <w:lang w:eastAsia="zh-CN" w:bidi="ar"/>
                    </w:rPr>
                  </w:pPr>
                  <w:r>
                    <w:rPr>
                      <w:rFonts w:hint="eastAsia"/>
                      <w:color w:val="auto"/>
                      <w:kern w:val="0"/>
                      <w:sz w:val="21"/>
                      <w:szCs w:val="21"/>
                      <w:highlight w:val="none"/>
                      <w:lang w:val="en-US" w:eastAsia="zh-CN" w:bidi="ar"/>
                    </w:rPr>
                    <w:t>10.项目不属于</w:t>
                  </w:r>
                  <w:r>
                    <w:rPr>
                      <w:rFonts w:hint="eastAsia" w:cs="宋体"/>
                      <w:color w:val="auto"/>
                      <w:kern w:val="0"/>
                      <w:sz w:val="21"/>
                      <w:szCs w:val="21"/>
                      <w:lang w:bidi="ar"/>
                    </w:rPr>
                    <w:t>电镀、石化、化工项目</w:t>
                  </w:r>
                  <w:r>
                    <w:rPr>
                      <w:rFonts w:hint="eastAsia" w:cs="宋体"/>
                      <w:color w:val="auto"/>
                      <w:kern w:val="0"/>
                      <w:sz w:val="21"/>
                      <w:szCs w:val="21"/>
                      <w:lang w:eastAsia="zh-CN" w:bidi="ar"/>
                    </w:rPr>
                    <w:t>。</w:t>
                  </w:r>
                </w:p>
                <w:p>
                  <w:pPr>
                    <w:pStyle w:val="18"/>
                    <w:rPr>
                      <w:rFonts w:hint="default" w:cs="宋体"/>
                      <w:color w:val="auto"/>
                      <w:kern w:val="0"/>
                      <w:sz w:val="21"/>
                      <w:szCs w:val="21"/>
                      <w:lang w:val="en-US" w:eastAsia="zh-CN" w:bidi="ar"/>
                    </w:rPr>
                  </w:pPr>
                  <w:r>
                    <w:rPr>
                      <w:rFonts w:hint="eastAsia" w:cs="宋体"/>
                      <w:color w:val="auto"/>
                      <w:kern w:val="0"/>
                      <w:sz w:val="21"/>
                      <w:szCs w:val="21"/>
                      <w:lang w:val="en-US" w:eastAsia="zh-CN" w:bidi="ar"/>
                    </w:rPr>
                    <w:t>11.项目不属于冶炼项目。</w:t>
                  </w:r>
                </w:p>
                <w:p>
                  <w:pPr>
                    <w:pStyle w:val="70"/>
                    <w:jc w:val="both"/>
                    <w:rPr>
                      <w:rFonts w:hint="default" w:eastAsia="宋体" w:cs="宋体"/>
                      <w:color w:val="auto"/>
                      <w:kern w:val="0"/>
                      <w:sz w:val="21"/>
                      <w:szCs w:val="21"/>
                      <w:highlight w:val="none"/>
                      <w:lang w:val="en-US" w:eastAsia="zh-CN" w:bidi="ar"/>
                    </w:rPr>
                  </w:pPr>
                </w:p>
              </w:tc>
              <w:tc>
                <w:tcPr>
                  <w:tcW w:w="717" w:type="dxa"/>
                  <w:vAlign w:val="center"/>
                </w:tcPr>
                <w:p>
                  <w:pPr>
                    <w:pStyle w:val="70"/>
                    <w:rPr>
                      <w:rFonts w:hint="eastAsia"/>
                      <w:color w:val="auto"/>
                      <w:highlight w:val="none"/>
                    </w:rPr>
                  </w:pPr>
                </w:p>
              </w:tc>
            </w:tr>
          </w:tbl>
          <w:p>
            <w:pPr>
              <w:pStyle w:val="72"/>
              <w:ind w:firstLine="0" w:firstLineChars="0"/>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5" w:type="dxa"/>
            <w:vAlign w:val="center"/>
          </w:tcPr>
          <w:p>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7825" w:type="dxa"/>
            <w:gridSpan w:val="3"/>
            <w:vAlign w:val="center"/>
          </w:tcPr>
          <w:p>
            <w:pPr>
              <w:pStyle w:val="72"/>
              <w:ind w:firstLine="0" w:firstLineChars="0"/>
              <w:rPr>
                <w:color w:val="auto"/>
                <w:highlight w:val="none"/>
              </w:rPr>
            </w:pPr>
            <w:r>
              <w:rPr>
                <w:rFonts w:hint="eastAsia"/>
                <w:color w:val="auto"/>
                <w:highlight w:val="none"/>
              </w:rPr>
              <w:t>（1）产业政策符合性分析</w:t>
            </w:r>
          </w:p>
          <w:p>
            <w:pPr>
              <w:pStyle w:val="72"/>
              <w:ind w:firstLine="480"/>
              <w:rPr>
                <w:rFonts w:hint="eastAsia"/>
                <w:color w:val="auto"/>
                <w:highlight w:val="none"/>
                <w:lang w:eastAsia="zh-CN"/>
              </w:rPr>
            </w:pPr>
            <w:r>
              <w:rPr>
                <w:rFonts w:hint="eastAsia"/>
                <w:color w:val="auto"/>
                <w:highlight w:val="none"/>
              </w:rPr>
              <w:t>本项目</w:t>
            </w:r>
            <w:r>
              <w:rPr>
                <w:rFonts w:hint="eastAsia"/>
                <w:color w:val="auto"/>
                <w:highlight w:val="none"/>
                <w:lang w:val="en-US" w:eastAsia="zh-CN"/>
              </w:rPr>
              <w:t>主要从事铝、钼、铜、钛、硅、铌、钽等大规格靶材的生产，</w:t>
            </w:r>
            <w:r>
              <w:rPr>
                <w:rFonts w:hint="eastAsia"/>
                <w:color w:val="auto"/>
                <w:highlight w:val="none"/>
              </w:rPr>
              <w:t>属于《产业结构调整指导目录（2024年本）》</w:t>
            </w:r>
            <w:r>
              <w:rPr>
                <w:rFonts w:hint="eastAsia"/>
                <w:color w:val="auto"/>
                <w:highlight w:val="none"/>
                <w:lang w:val="en-US" w:eastAsia="zh-CN"/>
              </w:rPr>
              <w:t>中</w:t>
            </w:r>
            <w:r>
              <w:rPr>
                <w:rFonts w:hint="eastAsia"/>
                <w:color w:val="auto"/>
                <w:highlight w:val="none"/>
              </w:rPr>
              <w:t>第一类鼓励类</w:t>
            </w:r>
            <w:r>
              <w:rPr>
                <w:rFonts w:hint="eastAsia"/>
                <w:color w:val="auto"/>
                <w:highlight w:val="none"/>
                <w:lang w:val="en-US" w:eastAsia="zh-CN"/>
              </w:rPr>
              <w:t>中的有色金属新材料中的“</w:t>
            </w:r>
            <w:r>
              <w:rPr>
                <w:rFonts w:hint="eastAsia"/>
                <w:color w:val="auto"/>
                <w:highlight w:val="none"/>
              </w:rPr>
              <w:t>铝铜硅钨钼稀土等大规格高纯靶材</w:t>
            </w:r>
            <w:r>
              <w:rPr>
                <w:rFonts w:hint="eastAsia"/>
                <w:color w:val="auto"/>
                <w:highlight w:val="none"/>
                <w:lang w:eastAsia="zh-CN"/>
              </w:rPr>
              <w:t>、</w:t>
            </w:r>
            <w:r>
              <w:rPr>
                <w:rFonts w:ascii="宋体" w:hAnsi="宋体" w:eastAsia="宋体" w:cs="宋体"/>
                <w:color w:val="auto"/>
                <w:sz w:val="24"/>
                <w:szCs w:val="24"/>
                <w:highlight w:val="none"/>
              </w:rPr>
              <w:t>超高纯稀有金属及靶材</w:t>
            </w:r>
            <w:r>
              <w:rPr>
                <w:rFonts w:hint="eastAsia"/>
                <w:color w:val="auto"/>
                <w:highlight w:val="none"/>
                <w:lang w:eastAsia="zh-CN"/>
              </w:rPr>
              <w:t>”</w:t>
            </w:r>
            <w:r>
              <w:rPr>
                <w:rFonts w:hint="eastAsia"/>
                <w:color w:val="auto"/>
                <w:highlight w:val="none"/>
                <w:lang w:val="en-US" w:eastAsia="zh-CN"/>
              </w:rPr>
              <w:t>，项目采用的设备、工艺和生产的产品不属于限制类和淘汰类产品，项目建设符合国家产业政策。</w:t>
            </w:r>
          </w:p>
          <w:p>
            <w:pPr>
              <w:pStyle w:val="72"/>
              <w:numPr>
                <w:ilvl w:val="0"/>
                <w:numId w:val="4"/>
              </w:numPr>
              <w:ind w:left="0" w:leftChars="0" w:firstLine="0" w:firstLineChars="0"/>
              <w:rPr>
                <w:rFonts w:hint="eastAsia"/>
                <w:color w:val="auto"/>
                <w:highlight w:val="none"/>
                <w:lang w:val="en-US" w:eastAsia="zh-CN"/>
              </w:rPr>
            </w:pPr>
            <w:r>
              <w:rPr>
                <w:rFonts w:hint="eastAsia"/>
                <w:color w:val="auto"/>
                <w:highlight w:val="none"/>
                <w:lang w:val="en-US" w:eastAsia="zh-CN"/>
              </w:rPr>
              <w:t>用地符合性分析</w:t>
            </w:r>
          </w:p>
          <w:p>
            <w:pPr>
              <w:pStyle w:val="72"/>
              <w:numPr>
                <w:ilvl w:val="0"/>
                <w:numId w:val="0"/>
              </w:numPr>
              <w:ind w:leftChars="0" w:firstLine="480" w:firstLineChars="200"/>
              <w:rPr>
                <w:rFonts w:hint="default"/>
                <w:color w:val="auto"/>
                <w:highlight w:val="none"/>
                <w:lang w:val="en-US" w:eastAsia="zh-CN"/>
              </w:rPr>
            </w:pPr>
            <w:r>
              <w:rPr>
                <w:rFonts w:hint="eastAsia"/>
                <w:color w:val="auto"/>
                <w:highlight w:val="none"/>
                <w:lang w:val="en-US" w:eastAsia="zh-CN"/>
              </w:rPr>
              <w:t>依据建设单位与长乐区自然资源局签订的《国有建设用地使用权出让合同》（见附件5），本次新增用地土地类别为一类工业用地，准入产业类型为新材料新能源产业，项目属于电子专用新材料生产企业，属于轻污染行业，项目选址符合用地布局及准入产业要求。</w:t>
            </w:r>
          </w:p>
          <w:p>
            <w:pPr>
              <w:pStyle w:val="72"/>
              <w:ind w:firstLine="0" w:firstLineChars="0"/>
              <w:rPr>
                <w:color w:val="auto"/>
                <w:highlight w:val="none"/>
              </w:rPr>
            </w:pPr>
            <w:r>
              <w:rPr>
                <w:rFonts w:hint="eastAsia"/>
                <w:color w:val="auto"/>
                <w:highlight w:val="none"/>
              </w:rPr>
              <w:t>（2）环境功能相容性分析</w:t>
            </w:r>
          </w:p>
          <w:p>
            <w:pPr>
              <w:pStyle w:val="72"/>
              <w:ind w:firstLine="480"/>
              <w:rPr>
                <w:color w:val="auto"/>
                <w:highlight w:val="none"/>
              </w:rPr>
            </w:pPr>
            <w:r>
              <w:rPr>
                <w:rFonts w:hint="eastAsia"/>
                <w:color w:val="auto"/>
                <w:highlight w:val="none"/>
              </w:rPr>
              <w:t>本项目位于福州临空经济区，远离城镇居民稠密区且厂址位置较为开阔，与最近的敏感点</w:t>
            </w:r>
            <w:r>
              <w:rPr>
                <w:rFonts w:hint="eastAsia"/>
                <w:color w:val="auto"/>
                <w:highlight w:val="none"/>
                <w:lang w:val="en-US" w:eastAsia="zh-CN"/>
              </w:rPr>
              <w:t>龙峰村（半山自然村）</w:t>
            </w:r>
            <w:r>
              <w:rPr>
                <w:rFonts w:hint="eastAsia"/>
                <w:color w:val="auto"/>
                <w:highlight w:val="none"/>
              </w:rPr>
              <w:t>距离为</w:t>
            </w:r>
            <w:r>
              <w:rPr>
                <w:rFonts w:hint="eastAsia"/>
                <w:color w:val="auto"/>
                <w:highlight w:val="none"/>
                <w:lang w:val="en-US" w:eastAsia="zh-CN"/>
              </w:rPr>
              <w:t>29</w:t>
            </w:r>
            <w:r>
              <w:rPr>
                <w:rFonts w:hint="eastAsia"/>
                <w:color w:val="auto"/>
                <w:highlight w:val="none"/>
              </w:rPr>
              <w:t>0m</w:t>
            </w:r>
            <w:r>
              <w:rPr>
                <w:rFonts w:hint="eastAsia"/>
                <w:color w:val="auto"/>
                <w:highlight w:val="none"/>
                <w:lang w:eastAsia="zh-CN"/>
              </w:rPr>
              <w:t>，</w:t>
            </w:r>
            <w:r>
              <w:rPr>
                <w:rFonts w:hint="eastAsia"/>
                <w:color w:val="auto"/>
                <w:highlight w:val="none"/>
                <w:lang w:val="en-US" w:eastAsia="zh-CN"/>
              </w:rPr>
              <w:t>新增用地与在建的养老院距离在210m</w:t>
            </w:r>
            <w:r>
              <w:rPr>
                <w:rFonts w:hint="eastAsia"/>
                <w:color w:val="auto"/>
                <w:highlight w:val="none"/>
              </w:rPr>
              <w:t>。项目区周边均为规划中的工业用地，周边现有的工业企业主要为景丰科技园区</w:t>
            </w:r>
            <w:r>
              <w:rPr>
                <w:rFonts w:hint="eastAsia"/>
                <w:color w:val="auto"/>
                <w:highlight w:val="none"/>
                <w:lang w:eastAsia="zh-CN"/>
              </w:rPr>
              <w:t>、</w:t>
            </w:r>
            <w:r>
              <w:rPr>
                <w:rFonts w:hint="eastAsia"/>
                <w:color w:val="auto"/>
                <w:highlight w:val="none"/>
              </w:rPr>
              <w:t>长乐区航港针织品公司</w:t>
            </w:r>
            <w:r>
              <w:rPr>
                <w:rFonts w:hint="eastAsia"/>
                <w:color w:val="auto"/>
                <w:highlight w:val="none"/>
                <w:lang w:eastAsia="zh-CN"/>
              </w:rPr>
              <w:t>、</w:t>
            </w:r>
            <w:r>
              <w:rPr>
                <w:rFonts w:hint="eastAsia"/>
                <w:color w:val="auto"/>
                <w:highlight w:val="none"/>
              </w:rPr>
              <w:t>福建友谊食品有限公司、福州力添针纺有限公司。项目周边无自然保护区、风景名胜区和文物保护区、饮水水源保护区等。项目属轻污染型企业，原材料的来源、运输、使用及污染物的排放均进行严格的控制，各污染物能够达标排放，对周围环境</w:t>
            </w:r>
            <w:r>
              <w:rPr>
                <w:rFonts w:hint="eastAsia"/>
                <w:color w:val="auto"/>
                <w:highlight w:val="none"/>
                <w:lang w:val="en-US" w:eastAsia="zh-CN"/>
              </w:rPr>
              <w:t>及敏感目标</w:t>
            </w:r>
            <w:r>
              <w:rPr>
                <w:rFonts w:hint="eastAsia"/>
                <w:color w:val="auto"/>
                <w:highlight w:val="none"/>
              </w:rPr>
              <w:t>的影响均可在接受范围内，项目选址与周边环境基本相容。</w:t>
            </w:r>
          </w:p>
          <w:p>
            <w:pPr>
              <w:pStyle w:val="72"/>
              <w:ind w:firstLine="0" w:firstLineChars="0"/>
              <w:rPr>
                <w:color w:val="auto"/>
                <w:highlight w:val="none"/>
              </w:rPr>
            </w:pPr>
            <w:r>
              <w:rPr>
                <w:color w:val="auto"/>
                <w:highlight w:val="none"/>
              </w:rPr>
              <w:t>（3）</w:t>
            </w:r>
            <w:r>
              <w:rPr>
                <w:rFonts w:hint="eastAsia"/>
                <w:color w:val="auto"/>
                <w:highlight w:val="none"/>
              </w:rPr>
              <w:t>生态环境分区管控符合性分析</w:t>
            </w:r>
          </w:p>
          <w:p>
            <w:pPr>
              <w:pStyle w:val="72"/>
              <w:ind w:firstLine="480"/>
              <w:rPr>
                <w:color w:val="auto"/>
                <w:highlight w:val="none"/>
              </w:rPr>
            </w:pPr>
            <w:r>
              <w:rPr>
                <w:rFonts w:hint="eastAsia"/>
                <w:color w:val="auto"/>
                <w:highlight w:val="none"/>
              </w:rPr>
              <w:t>①生态保护红线</w:t>
            </w:r>
          </w:p>
          <w:p>
            <w:pPr>
              <w:pStyle w:val="72"/>
              <w:ind w:firstLine="480"/>
              <w:rPr>
                <w:color w:val="auto"/>
                <w:highlight w:val="none"/>
              </w:rPr>
            </w:pPr>
            <w:r>
              <w:rPr>
                <w:rFonts w:hint="eastAsia"/>
                <w:color w:val="auto"/>
                <w:highlight w:val="none"/>
              </w:rPr>
              <w:t>项目不涉及自然保护区、风景名胜区、饮用水水源保护区等生态敏感区，不触及生态保护红线。</w:t>
            </w:r>
          </w:p>
          <w:p>
            <w:pPr>
              <w:pStyle w:val="72"/>
              <w:ind w:firstLine="480"/>
              <w:rPr>
                <w:color w:val="auto"/>
                <w:highlight w:val="none"/>
              </w:rPr>
            </w:pPr>
            <w:r>
              <w:rPr>
                <w:rFonts w:hint="eastAsia"/>
                <w:color w:val="auto"/>
                <w:highlight w:val="none"/>
              </w:rPr>
              <w:t>②环境质量底线</w:t>
            </w:r>
          </w:p>
          <w:p>
            <w:pPr>
              <w:pStyle w:val="72"/>
              <w:ind w:firstLine="480"/>
              <w:rPr>
                <w:color w:val="auto"/>
                <w:highlight w:val="none"/>
              </w:rPr>
            </w:pPr>
            <w:r>
              <w:rPr>
                <w:color w:val="auto"/>
                <w:highlight w:val="none"/>
              </w:rPr>
              <w:t>项目所在区域的环境质量底线为：大气环境质量目标为《环境空气质量标准》(GB3095-2012)中二级及其修改单标准；地表水环境目标为《地表水环境质量标准》(GB3838-2002)Ⅴ类标准；声环境质量目标为《声环境质量标准》(GB3096-2008)3类区标准。根据项目所在地环境质量现状调查和污染排放影响预测可知，本项目运营后对区域内环境影响较小，不会对区域环境质量底线造成冲击。</w:t>
            </w:r>
          </w:p>
          <w:p>
            <w:pPr>
              <w:pStyle w:val="72"/>
              <w:ind w:firstLine="480"/>
              <w:rPr>
                <w:color w:val="auto"/>
                <w:highlight w:val="none"/>
              </w:rPr>
            </w:pPr>
            <w:r>
              <w:rPr>
                <w:rFonts w:hint="eastAsia"/>
                <w:color w:val="auto"/>
                <w:highlight w:val="none"/>
              </w:rPr>
              <w:t>③资源利用上限</w:t>
            </w:r>
          </w:p>
          <w:p>
            <w:pPr>
              <w:pStyle w:val="72"/>
              <w:ind w:firstLine="480"/>
              <w:rPr>
                <w:color w:val="auto"/>
                <w:highlight w:val="none"/>
              </w:rPr>
            </w:pPr>
            <w:r>
              <w:rPr>
                <w:color w:val="auto"/>
                <w:highlight w:val="none"/>
              </w:rPr>
              <w:t>本项目营运过程中消耗一定量的电源、水资源等资源，项目资源消耗量相对区域利用总量较少，符合资源利用上限要求。</w:t>
            </w:r>
          </w:p>
          <w:p>
            <w:pPr>
              <w:pStyle w:val="72"/>
              <w:ind w:firstLine="480"/>
              <w:rPr>
                <w:color w:val="auto"/>
                <w:highlight w:val="none"/>
              </w:rPr>
            </w:pPr>
            <w:r>
              <w:rPr>
                <w:rFonts w:hint="eastAsia"/>
                <w:color w:val="auto"/>
                <w:highlight w:val="none"/>
              </w:rPr>
              <w:t>④环境准入负面清单</w:t>
            </w:r>
          </w:p>
          <w:p>
            <w:pPr>
              <w:pStyle w:val="72"/>
              <w:ind w:firstLine="480"/>
              <w:rPr>
                <w:color w:val="auto"/>
                <w:highlight w:val="none"/>
              </w:rPr>
            </w:pPr>
            <w:r>
              <w:rPr>
                <w:color w:val="auto"/>
                <w:highlight w:val="none"/>
              </w:rPr>
              <w:t>项目符合国家产业政策，不属于《市场准</w:t>
            </w:r>
            <w:r>
              <w:rPr>
                <w:rFonts w:hint="eastAsia"/>
                <w:color w:val="auto"/>
                <w:highlight w:val="none"/>
              </w:rPr>
              <w:t>入</w:t>
            </w:r>
            <w:r>
              <w:rPr>
                <w:color w:val="auto"/>
                <w:highlight w:val="none"/>
              </w:rPr>
              <w:t>负面清单》(20</w:t>
            </w:r>
            <w:r>
              <w:rPr>
                <w:rFonts w:hint="eastAsia"/>
                <w:color w:val="auto"/>
                <w:highlight w:val="none"/>
              </w:rPr>
              <w:t>22</w:t>
            </w:r>
            <w:r>
              <w:rPr>
                <w:color w:val="auto"/>
                <w:highlight w:val="none"/>
              </w:rPr>
              <w:t>年版)中禁止准入类的项目。</w:t>
            </w:r>
          </w:p>
          <w:p>
            <w:pPr>
              <w:pStyle w:val="72"/>
              <w:ind w:firstLine="480"/>
              <w:rPr>
                <w:rFonts w:hint="eastAsia"/>
                <w:color w:val="auto"/>
                <w:highlight w:val="none"/>
              </w:rPr>
            </w:pPr>
            <w:r>
              <w:rPr>
                <w:rFonts w:hint="eastAsia"/>
                <w:color w:val="auto"/>
                <w:highlight w:val="none"/>
              </w:rPr>
              <w:t>⑤与《关于发布福州市2024年生态环境分区管控动态更新成果的通知》（榕环保综〔2025〕1号）的符合性分析</w:t>
            </w: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69"/>
                <w:rFonts w:hint="eastAsia"/>
                <w:color w:val="auto"/>
                <w:sz w:val="21"/>
                <w:szCs w:val="21"/>
                <w:highlight w:val="none"/>
              </w:rPr>
            </w:pPr>
          </w:p>
          <w:p>
            <w:pPr>
              <w:pStyle w:val="7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69"/>
                <w:color w:val="auto"/>
                <w:highlight w:val="none"/>
              </w:rPr>
            </w:pPr>
            <w:r>
              <w:rPr>
                <w:rStyle w:val="69"/>
                <w:rFonts w:hint="eastAsia"/>
                <w:color w:val="auto"/>
                <w:sz w:val="21"/>
                <w:szCs w:val="21"/>
                <w:highlight w:val="none"/>
              </w:rPr>
              <w:t>表1.1.2与《关于发布福州市2024年生态环境分区管控动态更新成果的通知》（榕环保综〔2025〕1号）的符合性分析一览表</w:t>
            </w:r>
          </w:p>
          <w:tbl>
            <w:tblPr>
              <w:tblStyle w:val="29"/>
              <w:tblW w:w="7638"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18"/>
              <w:gridCol w:w="419"/>
              <w:gridCol w:w="4070"/>
              <w:gridCol w:w="2094"/>
              <w:gridCol w:w="6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6" w:hRule="atLeast"/>
              </w:trPr>
              <w:tc>
                <w:tcPr>
                  <w:tcW w:w="837" w:type="dxa"/>
                  <w:gridSpan w:val="2"/>
                  <w:tcBorders>
                    <w:tl2br w:val="nil"/>
                    <w:tr2bl w:val="nil"/>
                  </w:tcBorders>
                  <w:vAlign w:val="center"/>
                </w:tcPr>
                <w:p>
                  <w:pPr>
                    <w:pStyle w:val="70"/>
                    <w:rPr>
                      <w:color w:val="auto"/>
                      <w:sz w:val="18"/>
                      <w:szCs w:val="18"/>
                      <w:highlight w:val="none"/>
                    </w:rPr>
                  </w:pPr>
                  <w:r>
                    <w:rPr>
                      <w:rFonts w:hint="eastAsia"/>
                      <w:color w:val="auto"/>
                      <w:sz w:val="18"/>
                      <w:szCs w:val="18"/>
                      <w:highlight w:val="none"/>
                    </w:rPr>
                    <w:t>项目</w:t>
                  </w:r>
                </w:p>
              </w:tc>
              <w:tc>
                <w:tcPr>
                  <w:tcW w:w="4070"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环境管控单元准入要求</w:t>
                  </w:r>
                </w:p>
              </w:tc>
              <w:tc>
                <w:tcPr>
                  <w:tcW w:w="2094"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项目情况</w:t>
                  </w:r>
                </w:p>
              </w:tc>
              <w:tc>
                <w:tcPr>
                  <w:tcW w:w="637"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1" w:hRule="atLeast"/>
              </w:trPr>
              <w:tc>
                <w:tcPr>
                  <w:tcW w:w="418" w:type="dxa"/>
                  <w:vMerge w:val="restart"/>
                  <w:tcBorders>
                    <w:tl2br w:val="nil"/>
                    <w:tr2bl w:val="nil"/>
                  </w:tcBorders>
                  <w:vAlign w:val="center"/>
                </w:tcPr>
                <w:p>
                  <w:pPr>
                    <w:pStyle w:val="70"/>
                    <w:rPr>
                      <w:color w:val="auto"/>
                      <w:sz w:val="18"/>
                      <w:szCs w:val="18"/>
                      <w:highlight w:val="none"/>
                    </w:rPr>
                  </w:pPr>
                  <w:r>
                    <w:rPr>
                      <w:rFonts w:hint="eastAsia"/>
                      <w:color w:val="auto"/>
                      <w:sz w:val="18"/>
                      <w:szCs w:val="18"/>
                      <w:highlight w:val="none"/>
                    </w:rPr>
                    <w:t>全省陆域</w:t>
                  </w:r>
                </w:p>
              </w:tc>
              <w:tc>
                <w:tcPr>
                  <w:tcW w:w="419"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空间布局约束</w:t>
                  </w:r>
                </w:p>
              </w:tc>
              <w:tc>
                <w:tcPr>
                  <w:tcW w:w="4070" w:type="dxa"/>
                  <w:tcBorders>
                    <w:tl2br w:val="nil"/>
                    <w:tr2bl w:val="nil"/>
                  </w:tcBorders>
                  <w:vAlign w:val="center"/>
                </w:tcPr>
                <w:p>
                  <w:pPr>
                    <w:pStyle w:val="70"/>
                    <w:numPr>
                      <w:ilvl w:val="0"/>
                      <w:numId w:val="5"/>
                    </w:numPr>
                    <w:rPr>
                      <w:color w:val="auto"/>
                      <w:sz w:val="18"/>
                      <w:szCs w:val="18"/>
                      <w:highlight w:val="none"/>
                    </w:rPr>
                  </w:pPr>
                  <w:r>
                    <w:rPr>
                      <w:rFonts w:hint="eastAsia"/>
                      <w:color w:val="auto"/>
                      <w:sz w:val="18"/>
                      <w:szCs w:val="18"/>
                      <w:highlight w:val="none"/>
                    </w:rPr>
                    <w:t>石化、汽车、船舶、冶金、水泥、制浆造纸、印染等重点产业，要符合全省规划布局要求。2.严控钢铁、水泥、平板玻璃等产能过剩行业新增产能，新增产能应实施产能等量或减量置换。</w:t>
                  </w:r>
                </w:p>
                <w:p>
                  <w:pPr>
                    <w:pStyle w:val="70"/>
                    <w:jc w:val="both"/>
                    <w:rPr>
                      <w:color w:val="auto"/>
                      <w:sz w:val="18"/>
                      <w:szCs w:val="18"/>
                      <w:highlight w:val="none"/>
                    </w:rPr>
                  </w:pPr>
                  <w:r>
                    <w:rPr>
                      <w:rFonts w:hint="eastAsia"/>
                      <w:color w:val="auto"/>
                      <w:sz w:val="18"/>
                      <w:szCs w:val="18"/>
                      <w:highlight w:val="none"/>
                    </w:rPr>
                    <w:t>3.除列入国家规划的大型煤电和符合相关要求的等容量替代项目，以及以供热为主的热电联产项目外，原则上不再建设新的煤电项目。</w:t>
                  </w:r>
                </w:p>
                <w:p>
                  <w:pPr>
                    <w:pStyle w:val="70"/>
                    <w:jc w:val="both"/>
                    <w:rPr>
                      <w:color w:val="auto"/>
                      <w:sz w:val="18"/>
                      <w:szCs w:val="18"/>
                      <w:highlight w:val="none"/>
                    </w:rPr>
                  </w:pPr>
                  <w:r>
                    <w:rPr>
                      <w:rFonts w:hint="eastAsia"/>
                      <w:color w:val="auto"/>
                      <w:sz w:val="18"/>
                      <w:szCs w:val="18"/>
                      <w:highlight w:val="none"/>
                    </w:rPr>
                    <w:t>4.氟化工产业应集中布局在《关于促进我省氟化工产业绿色高效发展的若干意见》中确定的园区，在上述园区之外不再新建氟化工项目，园区之外现有氟化工项目不再扩大规模。5.禁止在水环境质量不能稳定达标的区域内，建设新增相应不达标污染物指标排放量的工业项目。6.禁止在通风廊道和主导风向的上风向布局大气重污染企业，推进建成区大气重污染企业搬迁或升级改造、环境风险企业搬迁或关闭退出。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2094" w:type="dxa"/>
                  <w:tcBorders>
                    <w:tl2br w:val="nil"/>
                    <w:tr2bl w:val="nil"/>
                  </w:tcBorders>
                  <w:vAlign w:val="center"/>
                </w:tcPr>
                <w:p>
                  <w:pPr>
                    <w:pStyle w:val="70"/>
                    <w:jc w:val="both"/>
                    <w:rPr>
                      <w:color w:val="auto"/>
                      <w:sz w:val="18"/>
                      <w:szCs w:val="18"/>
                      <w:highlight w:val="none"/>
                    </w:rPr>
                  </w:pPr>
                  <w:r>
                    <w:rPr>
                      <w:rFonts w:hint="eastAsia"/>
                      <w:color w:val="auto"/>
                      <w:sz w:val="18"/>
                      <w:szCs w:val="18"/>
                      <w:highlight w:val="none"/>
                    </w:rPr>
                    <w:t>1.项目不属于石化、汽车、船舶、冶金、水泥、制浆造纸、印染等产业。</w:t>
                  </w:r>
                </w:p>
                <w:p>
                  <w:pPr>
                    <w:pStyle w:val="70"/>
                    <w:jc w:val="both"/>
                    <w:rPr>
                      <w:color w:val="auto"/>
                      <w:sz w:val="18"/>
                      <w:szCs w:val="18"/>
                      <w:highlight w:val="none"/>
                    </w:rPr>
                  </w:pPr>
                  <w:r>
                    <w:rPr>
                      <w:rFonts w:hint="eastAsia"/>
                      <w:color w:val="auto"/>
                      <w:sz w:val="18"/>
                      <w:szCs w:val="18"/>
                      <w:highlight w:val="none"/>
                    </w:rPr>
                    <w:t>2.项目不属于钢铁、水泥、平板玻璃等行业。</w:t>
                  </w:r>
                </w:p>
                <w:p>
                  <w:pPr>
                    <w:pStyle w:val="70"/>
                    <w:jc w:val="both"/>
                    <w:rPr>
                      <w:color w:val="auto"/>
                      <w:sz w:val="18"/>
                      <w:szCs w:val="18"/>
                      <w:highlight w:val="none"/>
                    </w:rPr>
                  </w:pPr>
                  <w:r>
                    <w:rPr>
                      <w:rFonts w:hint="eastAsia"/>
                      <w:color w:val="auto"/>
                      <w:sz w:val="18"/>
                      <w:szCs w:val="18"/>
                      <w:highlight w:val="none"/>
                    </w:rPr>
                    <w:t>3.项目不属于热电联产、煤电行业。</w:t>
                  </w:r>
                </w:p>
                <w:p>
                  <w:pPr>
                    <w:pStyle w:val="70"/>
                    <w:jc w:val="both"/>
                    <w:rPr>
                      <w:color w:val="auto"/>
                      <w:sz w:val="18"/>
                      <w:szCs w:val="18"/>
                      <w:highlight w:val="none"/>
                    </w:rPr>
                  </w:pPr>
                  <w:r>
                    <w:rPr>
                      <w:rFonts w:hint="eastAsia"/>
                      <w:color w:val="auto"/>
                      <w:sz w:val="18"/>
                      <w:szCs w:val="18"/>
                      <w:highlight w:val="none"/>
                    </w:rPr>
                    <w:t>4.项目不属于氟化工产业。</w:t>
                  </w:r>
                </w:p>
                <w:p>
                  <w:pPr>
                    <w:pStyle w:val="70"/>
                    <w:jc w:val="both"/>
                    <w:rPr>
                      <w:color w:val="auto"/>
                      <w:sz w:val="18"/>
                      <w:szCs w:val="18"/>
                      <w:highlight w:val="none"/>
                    </w:rPr>
                  </w:pPr>
                  <w:r>
                    <w:rPr>
                      <w:rFonts w:hint="eastAsia"/>
                      <w:color w:val="auto"/>
                      <w:sz w:val="18"/>
                      <w:szCs w:val="18"/>
                      <w:highlight w:val="none"/>
                    </w:rPr>
                    <w:t>5.项目所在区域水环境质量能稳定达标，本项目产生的生活污水经厂区污水处理设施处理达标后接管汇入滨海工业区污水处理厂；设备冷却水循环使用不外排。</w:t>
                  </w:r>
                </w:p>
                <w:p>
                  <w:pPr>
                    <w:pStyle w:val="70"/>
                    <w:jc w:val="both"/>
                    <w:rPr>
                      <w:rFonts w:hint="default"/>
                      <w:color w:val="auto"/>
                      <w:sz w:val="18"/>
                      <w:szCs w:val="18"/>
                      <w:highlight w:val="none"/>
                      <w:lang w:val="en-US"/>
                    </w:rPr>
                  </w:pPr>
                  <w:r>
                    <w:rPr>
                      <w:rFonts w:hint="eastAsia"/>
                      <w:color w:val="auto"/>
                      <w:sz w:val="18"/>
                      <w:szCs w:val="18"/>
                      <w:highlight w:val="none"/>
                    </w:rPr>
                    <w:t>6.项目位于福州临空经济区内，</w:t>
                  </w:r>
                  <w:r>
                    <w:rPr>
                      <w:rFonts w:hint="eastAsia"/>
                      <w:color w:val="auto"/>
                      <w:sz w:val="18"/>
                      <w:szCs w:val="18"/>
                      <w:highlight w:val="none"/>
                      <w:lang w:val="en-US" w:eastAsia="zh-CN"/>
                    </w:rPr>
                    <w:t>项目不属于大气重污染企业。</w:t>
                  </w:r>
                </w:p>
                <w:p>
                  <w:pPr>
                    <w:pStyle w:val="70"/>
                    <w:jc w:val="both"/>
                    <w:rPr>
                      <w:color w:val="auto"/>
                      <w:sz w:val="18"/>
                      <w:szCs w:val="18"/>
                      <w:highlight w:val="none"/>
                    </w:rPr>
                  </w:pPr>
                  <w:r>
                    <w:rPr>
                      <w:rFonts w:hint="eastAsia"/>
                      <w:color w:val="auto"/>
                      <w:sz w:val="18"/>
                      <w:szCs w:val="18"/>
                      <w:highlight w:val="none"/>
                    </w:rPr>
                    <w:t>7.项目不属于有色金属冶炼、电镀、制革、铅蓄电池制造产业。</w:t>
                  </w:r>
                </w:p>
              </w:tc>
              <w:tc>
                <w:tcPr>
                  <w:tcW w:w="637"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48" w:hRule="atLeast"/>
              </w:trPr>
              <w:tc>
                <w:tcPr>
                  <w:tcW w:w="418" w:type="dxa"/>
                  <w:vMerge w:val="continue"/>
                  <w:tcBorders>
                    <w:tl2br w:val="nil"/>
                    <w:tr2bl w:val="nil"/>
                  </w:tcBorders>
                  <w:vAlign w:val="center"/>
                </w:tcPr>
                <w:p>
                  <w:pPr>
                    <w:pStyle w:val="70"/>
                    <w:rPr>
                      <w:color w:val="auto"/>
                      <w:sz w:val="18"/>
                      <w:szCs w:val="18"/>
                      <w:highlight w:val="none"/>
                    </w:rPr>
                  </w:pPr>
                </w:p>
              </w:tc>
              <w:tc>
                <w:tcPr>
                  <w:tcW w:w="419"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污染物排放管控</w:t>
                  </w:r>
                </w:p>
              </w:tc>
              <w:tc>
                <w:tcPr>
                  <w:tcW w:w="4070" w:type="dxa"/>
                  <w:tcBorders>
                    <w:tl2br w:val="nil"/>
                    <w:tr2bl w:val="nil"/>
                  </w:tcBorders>
                  <w:vAlign w:val="center"/>
                </w:tcPr>
                <w:p>
                  <w:pPr>
                    <w:numPr>
                      <w:ilvl w:val="0"/>
                      <w:numId w:val="6"/>
                    </w:numPr>
                    <w:rPr>
                      <w:rFonts w:hint="eastAsia"/>
                      <w:color w:val="auto"/>
                      <w:sz w:val="18"/>
                      <w:szCs w:val="18"/>
                      <w:highlight w:val="none"/>
                    </w:rPr>
                  </w:pPr>
                  <w:r>
                    <w:rPr>
                      <w:rFonts w:hint="eastAsia"/>
                      <w:color w:val="auto"/>
                      <w:sz w:val="18"/>
                      <w:szCs w:val="18"/>
                      <w:highlight w:val="none"/>
                    </w:rPr>
                    <w:t>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2］建设项目要符合“闽环保固体〔2022〕17号”文件要求</w:t>
                  </w:r>
                </w:p>
                <w:p>
                  <w:pPr>
                    <w:numPr>
                      <w:ilvl w:val="0"/>
                      <w:numId w:val="0"/>
                    </w:numPr>
                    <w:rPr>
                      <w:rFonts w:hint="eastAsia"/>
                      <w:color w:val="auto"/>
                      <w:sz w:val="18"/>
                      <w:szCs w:val="18"/>
                      <w:highlight w:val="none"/>
                    </w:rPr>
                  </w:pPr>
                  <w:r>
                    <w:rPr>
                      <w:rFonts w:hint="eastAsia"/>
                      <w:color w:val="auto"/>
                      <w:sz w:val="18"/>
                      <w:szCs w:val="18"/>
                      <w:highlight w:val="none"/>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p>
                  <w:pPr>
                    <w:numPr>
                      <w:ilvl w:val="0"/>
                      <w:numId w:val="0"/>
                    </w:numPr>
                    <w:rPr>
                      <w:color w:val="auto"/>
                      <w:sz w:val="18"/>
                      <w:szCs w:val="18"/>
                      <w:highlight w:val="none"/>
                    </w:rPr>
                  </w:pPr>
                  <w:r>
                    <w:rPr>
                      <w:rFonts w:hint="eastAsia"/>
                      <w:color w:val="auto"/>
                      <w:sz w:val="18"/>
                      <w:szCs w:val="18"/>
                      <w:highlight w:val="none"/>
                    </w:rPr>
                    <w:t>4.优化调整货物运输方式，提升铁路货运比例，推进钢铁、电力、电解铝、焦化等重点工业企业和工业园区货物由公路运输转向铁路运输。5.加强石化、涂料、纺织印染、橡胶、医药等行业新污染物环境风险管控。</w:t>
                  </w:r>
                </w:p>
              </w:tc>
              <w:tc>
                <w:tcPr>
                  <w:tcW w:w="2094" w:type="dxa"/>
                  <w:tcBorders>
                    <w:tl2br w:val="nil"/>
                    <w:tr2bl w:val="nil"/>
                  </w:tcBorders>
                  <w:vAlign w:val="center"/>
                </w:tcPr>
                <w:p>
                  <w:pPr>
                    <w:pStyle w:val="70"/>
                    <w:jc w:val="both"/>
                    <w:rPr>
                      <w:color w:val="auto"/>
                      <w:sz w:val="18"/>
                      <w:szCs w:val="18"/>
                      <w:highlight w:val="none"/>
                    </w:rPr>
                  </w:pPr>
                  <w:r>
                    <w:rPr>
                      <w:rFonts w:hint="eastAsia"/>
                      <w:color w:val="auto"/>
                      <w:sz w:val="18"/>
                      <w:szCs w:val="18"/>
                      <w:highlight w:val="none"/>
                    </w:rPr>
                    <w:t>1.项目位于福州临空经济区，不涉及重金属等污染物排放，项目VOCs排放</w:t>
                  </w:r>
                  <w:r>
                    <w:rPr>
                      <w:rFonts w:hint="eastAsia"/>
                      <w:color w:val="auto"/>
                      <w:sz w:val="18"/>
                      <w:szCs w:val="18"/>
                      <w:highlight w:val="none"/>
                      <w:lang w:val="en-US" w:eastAsia="zh-CN"/>
                    </w:rPr>
                    <w:t>量很小，按要求实行倍量替代</w:t>
                  </w:r>
                  <w:r>
                    <w:rPr>
                      <w:rFonts w:hint="eastAsia"/>
                      <w:color w:val="auto"/>
                      <w:sz w:val="18"/>
                      <w:szCs w:val="18"/>
                      <w:highlight w:val="none"/>
                    </w:rPr>
                    <w:t>。本项目不属于新增总磷排放的建设项目。</w:t>
                  </w:r>
                </w:p>
                <w:p>
                  <w:pPr>
                    <w:pStyle w:val="70"/>
                    <w:jc w:val="both"/>
                    <w:rPr>
                      <w:color w:val="auto"/>
                      <w:sz w:val="18"/>
                      <w:szCs w:val="18"/>
                      <w:highlight w:val="none"/>
                    </w:rPr>
                  </w:pPr>
                  <w:r>
                    <w:rPr>
                      <w:rFonts w:hint="eastAsia"/>
                      <w:color w:val="auto"/>
                      <w:sz w:val="18"/>
                      <w:szCs w:val="18"/>
                      <w:highlight w:val="none"/>
                    </w:rPr>
                    <w:t>2.项目不属于水泥、有色金属、钢铁、火电项目。</w:t>
                  </w:r>
                </w:p>
                <w:p>
                  <w:pPr>
                    <w:pStyle w:val="70"/>
                    <w:jc w:val="both"/>
                    <w:rPr>
                      <w:color w:val="auto"/>
                      <w:sz w:val="18"/>
                      <w:szCs w:val="18"/>
                      <w:highlight w:val="none"/>
                    </w:rPr>
                  </w:pPr>
                  <w:r>
                    <w:rPr>
                      <w:rFonts w:hint="eastAsia"/>
                      <w:color w:val="auto"/>
                      <w:sz w:val="18"/>
                      <w:szCs w:val="18"/>
                      <w:highlight w:val="none"/>
                    </w:rPr>
                    <w:t>3.本项目产生的生活污水经厂区污水处理设施处理达标后接管汇入滨海工业区污水处理厂，滨海工业区污水处理厂出水执行一级A标准；设备冷却水循环使用不外排。</w:t>
                  </w:r>
                </w:p>
                <w:p>
                  <w:pPr>
                    <w:pStyle w:val="70"/>
                    <w:jc w:val="both"/>
                    <w:rPr>
                      <w:color w:val="auto"/>
                      <w:sz w:val="18"/>
                      <w:szCs w:val="18"/>
                      <w:highlight w:val="none"/>
                    </w:rPr>
                  </w:pPr>
                  <w:r>
                    <w:rPr>
                      <w:rFonts w:hint="eastAsia"/>
                      <w:color w:val="auto"/>
                      <w:sz w:val="18"/>
                      <w:szCs w:val="18"/>
                      <w:highlight w:val="none"/>
                    </w:rPr>
                    <w:t>4.项目不属于钢铁、电力、电解铝、焦化等行业。</w:t>
                  </w:r>
                </w:p>
                <w:p>
                  <w:pPr>
                    <w:pStyle w:val="70"/>
                    <w:jc w:val="both"/>
                    <w:rPr>
                      <w:color w:val="auto"/>
                      <w:sz w:val="18"/>
                      <w:szCs w:val="18"/>
                      <w:highlight w:val="none"/>
                    </w:rPr>
                  </w:pPr>
                  <w:r>
                    <w:rPr>
                      <w:rFonts w:hint="eastAsia"/>
                      <w:color w:val="auto"/>
                      <w:sz w:val="18"/>
                      <w:szCs w:val="18"/>
                      <w:highlight w:val="none"/>
                    </w:rPr>
                    <w:t>5.项目不属于石化、涂料、纺织印染、橡胶、医药等行业，也不排放新污染物。</w:t>
                  </w:r>
                </w:p>
              </w:tc>
              <w:tc>
                <w:tcPr>
                  <w:tcW w:w="637"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7" w:hRule="atLeast"/>
              </w:trPr>
              <w:tc>
                <w:tcPr>
                  <w:tcW w:w="418" w:type="dxa"/>
                  <w:vMerge w:val="continue"/>
                  <w:tcBorders>
                    <w:tl2br w:val="nil"/>
                    <w:tr2bl w:val="nil"/>
                  </w:tcBorders>
                  <w:vAlign w:val="center"/>
                </w:tcPr>
                <w:p>
                  <w:pPr>
                    <w:pStyle w:val="70"/>
                    <w:rPr>
                      <w:color w:val="auto"/>
                      <w:sz w:val="18"/>
                      <w:szCs w:val="18"/>
                      <w:highlight w:val="none"/>
                    </w:rPr>
                  </w:pPr>
                </w:p>
              </w:tc>
              <w:tc>
                <w:tcPr>
                  <w:tcW w:w="419"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资源开发效率要求</w:t>
                  </w:r>
                </w:p>
              </w:tc>
              <w:tc>
                <w:tcPr>
                  <w:tcW w:w="4070"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1.实施能源消耗总量和强度双控。2.强化产业园区单位土地面积投资强度和效用指标的刚性约束，提高土地利用效率。3.具备使用再生水条件但未充分利用的钢铁、火电、化工、制浆造纸、印染等项目，不得批准其新增取水许可。在沿海地区电力、化工、石化等行业，推行直接利用海水作为循环冷却等工业用水。4.落实“闽环规〔2023〕1号”文件要求，不再新建每小时35蒸吨以下燃煤锅炉，以及每小时10蒸吨及以下燃生物质和其他使用高污染燃料的锅炉。集中供热管网覆盖范围内禁止新建、扩建分散燃煤、燃油等供热锅炉。5.落实“闽环保大气〔2023〕5号”文件要求，按照“提气、转电、控煤”的发展思路，推动陶瓷行业进一步优化用能结构，实现能源消费清洁低碳化。</w:t>
                  </w:r>
                </w:p>
              </w:tc>
              <w:tc>
                <w:tcPr>
                  <w:tcW w:w="2094" w:type="dxa"/>
                  <w:tcBorders>
                    <w:tl2br w:val="nil"/>
                    <w:tr2bl w:val="nil"/>
                  </w:tcBorders>
                  <w:vAlign w:val="center"/>
                </w:tcPr>
                <w:p>
                  <w:pPr>
                    <w:pStyle w:val="70"/>
                    <w:jc w:val="both"/>
                    <w:rPr>
                      <w:color w:val="auto"/>
                      <w:sz w:val="18"/>
                      <w:szCs w:val="18"/>
                      <w:highlight w:val="none"/>
                    </w:rPr>
                  </w:pPr>
                  <w:r>
                    <w:rPr>
                      <w:rFonts w:hint="eastAsia"/>
                      <w:color w:val="auto"/>
                      <w:sz w:val="18"/>
                      <w:szCs w:val="18"/>
                      <w:highlight w:val="none"/>
                    </w:rPr>
                    <w:t>1.项目生产以电能为主要能源，耗电量为</w:t>
                  </w:r>
                  <w:r>
                    <w:rPr>
                      <w:rFonts w:hint="eastAsia"/>
                      <w:color w:val="auto"/>
                      <w:sz w:val="18"/>
                      <w:szCs w:val="18"/>
                      <w:highlight w:val="none"/>
                      <w:lang w:val="en-US" w:eastAsia="zh-CN"/>
                    </w:rPr>
                    <w:t>400万</w:t>
                  </w:r>
                  <w:r>
                    <w:rPr>
                      <w:rFonts w:hint="eastAsia"/>
                      <w:color w:val="auto"/>
                      <w:sz w:val="18"/>
                      <w:szCs w:val="18"/>
                      <w:highlight w:val="none"/>
                    </w:rPr>
                    <w:t>kWh/a，生产过程严格执行节能优先。</w:t>
                  </w:r>
                </w:p>
                <w:p>
                  <w:pPr>
                    <w:pStyle w:val="70"/>
                    <w:jc w:val="both"/>
                    <w:rPr>
                      <w:color w:val="auto"/>
                      <w:sz w:val="18"/>
                      <w:szCs w:val="18"/>
                      <w:highlight w:val="none"/>
                    </w:rPr>
                  </w:pPr>
                  <w:r>
                    <w:rPr>
                      <w:rFonts w:hint="eastAsia"/>
                      <w:color w:val="auto"/>
                      <w:sz w:val="18"/>
                      <w:szCs w:val="18"/>
                      <w:highlight w:val="none"/>
                    </w:rPr>
                    <w:t>2.</w:t>
                  </w:r>
                  <w:r>
                    <w:rPr>
                      <w:rFonts w:hint="eastAsia"/>
                      <w:color w:val="auto"/>
                      <w:sz w:val="18"/>
                      <w:szCs w:val="18"/>
                      <w:highlight w:val="none"/>
                      <w:lang w:val="en-US" w:eastAsia="zh-CN"/>
                    </w:rPr>
                    <w:t>项目用地强度符合园区规划要求</w:t>
                  </w:r>
                  <w:r>
                    <w:rPr>
                      <w:rFonts w:hint="eastAsia"/>
                      <w:color w:val="auto"/>
                      <w:sz w:val="18"/>
                      <w:szCs w:val="18"/>
                      <w:highlight w:val="none"/>
                    </w:rPr>
                    <w:t>。</w:t>
                  </w:r>
                </w:p>
                <w:p>
                  <w:pPr>
                    <w:pStyle w:val="70"/>
                    <w:jc w:val="both"/>
                    <w:rPr>
                      <w:color w:val="auto"/>
                      <w:sz w:val="18"/>
                      <w:szCs w:val="18"/>
                      <w:highlight w:val="none"/>
                    </w:rPr>
                  </w:pPr>
                  <w:r>
                    <w:rPr>
                      <w:rFonts w:hint="eastAsia"/>
                      <w:color w:val="auto"/>
                      <w:sz w:val="18"/>
                      <w:szCs w:val="18"/>
                      <w:highlight w:val="none"/>
                    </w:rPr>
                    <w:t>3.项目不属于钢铁、火电、化工、制浆造纸、印染等行业。</w:t>
                  </w:r>
                </w:p>
                <w:p>
                  <w:pPr>
                    <w:pStyle w:val="70"/>
                    <w:jc w:val="both"/>
                    <w:rPr>
                      <w:color w:val="auto"/>
                      <w:sz w:val="18"/>
                      <w:szCs w:val="18"/>
                      <w:highlight w:val="none"/>
                    </w:rPr>
                  </w:pPr>
                  <w:r>
                    <w:rPr>
                      <w:rFonts w:hint="eastAsia"/>
                      <w:color w:val="auto"/>
                      <w:sz w:val="18"/>
                      <w:szCs w:val="18"/>
                      <w:highlight w:val="none"/>
                    </w:rPr>
                    <w:t>4.项目不</w:t>
                  </w:r>
                  <w:r>
                    <w:rPr>
                      <w:rFonts w:hint="eastAsia"/>
                      <w:color w:val="auto"/>
                      <w:sz w:val="18"/>
                      <w:szCs w:val="18"/>
                      <w:highlight w:val="none"/>
                      <w:lang w:val="en-US" w:eastAsia="zh-CN"/>
                    </w:rPr>
                    <w:t>使</w:t>
                  </w:r>
                  <w:r>
                    <w:rPr>
                      <w:rFonts w:hint="eastAsia"/>
                      <w:color w:val="auto"/>
                      <w:sz w:val="18"/>
                      <w:szCs w:val="18"/>
                      <w:highlight w:val="none"/>
                    </w:rPr>
                    <w:t>用锅炉。</w:t>
                  </w:r>
                </w:p>
                <w:p>
                  <w:pPr>
                    <w:pStyle w:val="70"/>
                    <w:jc w:val="both"/>
                    <w:rPr>
                      <w:color w:val="auto"/>
                      <w:sz w:val="18"/>
                      <w:szCs w:val="18"/>
                      <w:highlight w:val="none"/>
                    </w:rPr>
                  </w:pPr>
                  <w:r>
                    <w:rPr>
                      <w:rFonts w:hint="eastAsia"/>
                      <w:color w:val="auto"/>
                      <w:sz w:val="18"/>
                      <w:szCs w:val="18"/>
                      <w:highlight w:val="none"/>
                    </w:rPr>
                    <w:t>5.项目不属于陶瓷行业。</w:t>
                  </w:r>
                </w:p>
              </w:tc>
              <w:tc>
                <w:tcPr>
                  <w:tcW w:w="637"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1" w:hRule="atLeast"/>
              </w:trPr>
              <w:tc>
                <w:tcPr>
                  <w:tcW w:w="418" w:type="dxa"/>
                  <w:vMerge w:val="restart"/>
                  <w:tcBorders>
                    <w:tl2br w:val="nil"/>
                    <w:tr2bl w:val="nil"/>
                  </w:tcBorders>
                  <w:vAlign w:val="center"/>
                </w:tcPr>
                <w:p>
                  <w:pPr>
                    <w:pStyle w:val="70"/>
                    <w:rPr>
                      <w:color w:val="auto"/>
                      <w:sz w:val="18"/>
                      <w:szCs w:val="18"/>
                      <w:highlight w:val="none"/>
                    </w:rPr>
                  </w:pPr>
                  <w:r>
                    <w:rPr>
                      <w:rFonts w:hint="eastAsia"/>
                      <w:color w:val="auto"/>
                      <w:sz w:val="18"/>
                      <w:szCs w:val="18"/>
                      <w:highlight w:val="none"/>
                    </w:rPr>
                    <w:t>福州市陆域</w:t>
                  </w:r>
                </w:p>
              </w:tc>
              <w:tc>
                <w:tcPr>
                  <w:tcW w:w="419"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空间布局约束</w:t>
                  </w:r>
                </w:p>
              </w:tc>
              <w:tc>
                <w:tcPr>
                  <w:tcW w:w="4070" w:type="dxa"/>
                  <w:tcBorders>
                    <w:tl2br w:val="nil"/>
                    <w:tr2bl w:val="nil"/>
                  </w:tcBorders>
                  <w:vAlign w:val="center"/>
                </w:tcPr>
                <w:p>
                  <w:pPr>
                    <w:pStyle w:val="70"/>
                    <w:jc w:val="both"/>
                    <w:rPr>
                      <w:color w:val="auto"/>
                      <w:sz w:val="18"/>
                      <w:szCs w:val="18"/>
                      <w:highlight w:val="none"/>
                    </w:rPr>
                  </w:pPr>
                  <w:r>
                    <w:rPr>
                      <w:rFonts w:hint="eastAsia"/>
                      <w:color w:val="auto"/>
                      <w:sz w:val="18"/>
                      <w:szCs w:val="18"/>
                      <w:highlight w:val="none"/>
                    </w:rPr>
                    <w:t>一、优先保护单元中的生态保护红线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3）经依法批准的考古调查发掘、古生物化石调查发掘、标本采集和文物保护活动。（4）按规定对人工商品林进行抚育采伐，或以提升森林质量、优化栖息地、建设生物防火隔离带等为目的的树种更新，依法开展的竹林采伐经营。（5）不破坏生态功能的适度参观旅游、科普宣教及符合相关规划的配套性服务设施和相关的必要公共设施建设及维护。（6）必须且无法避让、符合县级以上国土空间规划的线性基础设施、通讯和防洪、供水设施建设和船舶航行、航道疏浚清淤等活动；已有的合法水利、交通运输等设施运行维护改造。（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8）依据县级以上国土空间规划和生态保护修复专项规划开展的生态修复。（9）法律法规规定允许的其他人为活动。2.依据《福建省自然资源厅福建省生态环境厅福建省林业局关于进一步加强生态保护红线监管的通知（试行）》（闽自然资发〔2023〕56号），允许占用生态保护红线的重大项目范围：（1）党中央、国务院发布文件或批准规划中明确具体名称的项目和国务院批准的项目。（2）中央军委及其有关部门批准的军事国防项目。（3）国家级规划（指国务院及其有关部门正式颁布）明确的交通、水利项目。（4）国家级规划明确的电网项目，国家级规划明确的且符合国家产业政策的能源矿产勘查开采、油气管线、水电、核电项目。（5）为贯彻落实党中央、国务院重大决策部署，国务院投资主管部门或国务院投资主管部门会同有关部门确认的交通、能源、水利等基础设施项目。（6）按照国家重大项目用地保障工作机制要求，国家发展改革委会同有关部门确认的需中央加大建设用地保障力度，确实难以避让的国家重大项目。二、优先保护单元中的一般生态空间1.一般生态空间以保护和修复生态环境、提供生态产品和服务为首要任务，因地制宜地发展不影响主体功能定位的适宜产业。2.一般生态空间内未纳入生态保护红线的饮用水水源保护区等各类法定保护地，其管控要求依照相关法律法规执行。3.一般生态空间内现有合法的水泥厂、矿山开发等生产性设施及生活垃圾处置等民生工程予以保留，应按照法律法规要求落实污染防治和生态保护措施，避免对生态功能造成破坏。三、其它要求</w:t>
                  </w:r>
                  <w:r>
                    <w:rPr>
                      <w:color w:val="auto"/>
                      <w:sz w:val="18"/>
                      <w:szCs w:val="18"/>
                      <w:highlight w:val="none"/>
                    </w:rPr>
                    <w:t>1.福州市石化中上游项目重点在福州江阴港城经济区、可门港经济区化工新材料产业园布局。2.禁止在闽江马尾罗星塔以上流域范围新、扩建制革项目，严控新（扩）建植物制浆、印染、合成革及人造革、电镀项目。3.禁止在通风廊道和主导风向的上风向布局大气重污染企业，推进建成区大气重污染企业搬迁或升级改造、环境风险企业搬迁或关闭退出。4.禁止新、改、扩建生产高VOCs含量有机溶剂型涂料、油墨和胶黏剂的项目。5.持续加强闽清等地建陶产业的环境综合治理，充分衔接国土空间规划和生态环境分区管控，并对照产业政策、城市总体发展规划等要求，进一步明确发展定位，优化产业布局和规模。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7.禁止在流域上游新建、扩建重污染企业和项目。8.重要敏感水体及富营养化湖库生态缓冲带除相关政府部门批准的科学研究活动外，禁止其它可能对保护区构成危害或不良影响的大规模生产、建设活动。9.新、改、扩建煤电、钢铁、建材、石化、化工等“两高”项目，严格落实国家、省、市产业规划、产业政策、“三线一单”、规划环评，以及产能置换、煤炭消费减量替代、区域污染削减等相关要求。</w:t>
                  </w:r>
                  <w:r>
                    <w:rPr>
                      <w:rFonts w:hint="eastAsia"/>
                      <w:color w:val="auto"/>
                      <w:sz w:val="18"/>
                      <w:szCs w:val="18"/>
                      <w:highlight w:val="none"/>
                    </w:rPr>
                    <w:t>10.单元内涉及永久基本农田的，应按照《福建省基本农田保护条例》（2010年修正本）、《国土资源部关于全面实行永久</w:t>
                  </w:r>
                  <w:r>
                    <w:rPr>
                      <w:rFonts w:hint="eastAsia"/>
                      <w:color w:val="auto"/>
                      <w:sz w:val="18"/>
                      <w:szCs w:val="18"/>
                      <w:highlight w:val="none"/>
                      <w:lang w:eastAsia="zh-CN"/>
                    </w:rPr>
                    <w:t>基本农田</w:t>
                  </w:r>
                  <w:r>
                    <w:rPr>
                      <w:rFonts w:hint="eastAsia"/>
                      <w:color w:val="auto"/>
                      <w:sz w:val="18"/>
                      <w:szCs w:val="18"/>
                      <w:highlight w:val="none"/>
                    </w:rPr>
                    <w:t>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094" w:type="dxa"/>
                  <w:tcBorders>
                    <w:tl2br w:val="nil"/>
                    <w:tr2bl w:val="nil"/>
                  </w:tcBorders>
                  <w:vAlign w:val="center"/>
                </w:tcPr>
                <w:p>
                  <w:pPr>
                    <w:pStyle w:val="70"/>
                    <w:jc w:val="both"/>
                    <w:rPr>
                      <w:color w:val="auto"/>
                      <w:sz w:val="18"/>
                      <w:szCs w:val="18"/>
                      <w:highlight w:val="none"/>
                    </w:rPr>
                  </w:pPr>
                  <w:r>
                    <w:rPr>
                      <w:rFonts w:hint="eastAsia"/>
                      <w:color w:val="auto"/>
                      <w:sz w:val="18"/>
                      <w:szCs w:val="18"/>
                      <w:highlight w:val="none"/>
                    </w:rPr>
                    <w:t>一、项目用地不涉及优先保护单元中的生态保护红线。</w:t>
                  </w:r>
                </w:p>
                <w:p>
                  <w:pPr>
                    <w:pStyle w:val="70"/>
                    <w:jc w:val="both"/>
                    <w:rPr>
                      <w:color w:val="auto"/>
                      <w:sz w:val="18"/>
                      <w:szCs w:val="18"/>
                      <w:highlight w:val="none"/>
                    </w:rPr>
                  </w:pPr>
                  <w:r>
                    <w:rPr>
                      <w:rFonts w:hint="eastAsia"/>
                      <w:color w:val="auto"/>
                      <w:sz w:val="18"/>
                      <w:szCs w:val="18"/>
                      <w:highlight w:val="none"/>
                    </w:rPr>
                    <w:t>二、项目用地不涉及优先保护单元中的一般生态空间。</w:t>
                  </w:r>
                </w:p>
                <w:p>
                  <w:pPr>
                    <w:pStyle w:val="70"/>
                    <w:jc w:val="both"/>
                    <w:rPr>
                      <w:color w:val="auto"/>
                      <w:sz w:val="18"/>
                      <w:szCs w:val="18"/>
                      <w:highlight w:val="none"/>
                    </w:rPr>
                  </w:pPr>
                </w:p>
              </w:tc>
              <w:tc>
                <w:tcPr>
                  <w:tcW w:w="637"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60" w:hRule="atLeast"/>
              </w:trPr>
              <w:tc>
                <w:tcPr>
                  <w:tcW w:w="418" w:type="dxa"/>
                  <w:vMerge w:val="continue"/>
                  <w:tcBorders>
                    <w:tl2br w:val="nil"/>
                    <w:tr2bl w:val="nil"/>
                  </w:tcBorders>
                  <w:vAlign w:val="center"/>
                </w:tcPr>
                <w:p>
                  <w:pPr>
                    <w:pStyle w:val="70"/>
                    <w:rPr>
                      <w:color w:val="auto"/>
                      <w:sz w:val="18"/>
                      <w:szCs w:val="18"/>
                      <w:highlight w:val="none"/>
                    </w:rPr>
                  </w:pPr>
                </w:p>
              </w:tc>
              <w:tc>
                <w:tcPr>
                  <w:tcW w:w="419"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污染物排放管控</w:t>
                  </w:r>
                </w:p>
              </w:tc>
              <w:tc>
                <w:tcPr>
                  <w:tcW w:w="4070" w:type="dxa"/>
                  <w:tcBorders>
                    <w:tl2br w:val="nil"/>
                    <w:tr2bl w:val="nil"/>
                  </w:tcBorders>
                  <w:vAlign w:val="center"/>
                </w:tcPr>
                <w:p>
                  <w:pPr>
                    <w:pStyle w:val="70"/>
                    <w:jc w:val="both"/>
                    <w:rPr>
                      <w:color w:val="auto"/>
                      <w:sz w:val="18"/>
                      <w:szCs w:val="18"/>
                      <w:highlight w:val="none"/>
                    </w:rPr>
                  </w:pPr>
                  <w:r>
                    <w:rPr>
                      <w:color w:val="auto"/>
                      <w:sz w:val="18"/>
                      <w:szCs w:val="18"/>
                      <w:highlight w:val="none"/>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2.新、改、扩建涉VOCs排放项目，应从源头加强控制，使用低（无）VOCs含量的原辅材料，实施新建项目VOCs排放区域内1.2及以上倍量替代。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4.氟化工、印染、电镀等行业企业实行水污染物特别排放限值。5.新、改、扩建重点行业［2］建设项目要遵循重点重金属污染物排放“等量替代”原则，总量来源原则上应是同一重点行业内的削减量，当同一重点行业无法满足时可从其他重点行业调剂。6.每小时35（含）—65蒸吨燃煤锅炉和位于县级及以上城市建成区内保留的燃煤、燃油、燃生物质锅炉，原则上2024年底前必须全面实现超低排放。7.水泥行业新改扩建项目严格对照超低排放、能效标杆水平建设实施；现有项目超低排放改造应按文件（闽环规〔2023〕2号）的时限要求分步推进，2025年底前全面完成。</w:t>
                  </w:r>
                </w:p>
              </w:tc>
              <w:tc>
                <w:tcPr>
                  <w:tcW w:w="2094" w:type="dxa"/>
                  <w:tcBorders>
                    <w:tl2br w:val="nil"/>
                    <w:tr2bl w:val="nil"/>
                  </w:tcBorders>
                  <w:vAlign w:val="center"/>
                </w:tcPr>
                <w:p>
                  <w:pPr>
                    <w:pStyle w:val="70"/>
                    <w:jc w:val="both"/>
                    <w:rPr>
                      <w:color w:val="auto"/>
                      <w:sz w:val="18"/>
                      <w:szCs w:val="18"/>
                      <w:highlight w:val="none"/>
                    </w:rPr>
                  </w:pPr>
                  <w:r>
                    <w:rPr>
                      <w:rFonts w:hint="eastAsia"/>
                      <w:color w:val="auto"/>
                      <w:sz w:val="18"/>
                      <w:szCs w:val="18"/>
                      <w:highlight w:val="none"/>
                    </w:rPr>
                    <w:t>1.本项目</w:t>
                  </w:r>
                  <w:r>
                    <w:rPr>
                      <w:rFonts w:hint="eastAsia"/>
                      <w:color w:val="auto"/>
                      <w:sz w:val="18"/>
                      <w:szCs w:val="18"/>
                      <w:highlight w:val="none"/>
                      <w:lang w:val="en-US" w:eastAsia="zh-CN"/>
                    </w:rPr>
                    <w:t>废水排</w:t>
                  </w:r>
                  <w:r>
                    <w:rPr>
                      <w:rFonts w:hint="eastAsia"/>
                      <w:color w:val="auto"/>
                      <w:sz w:val="18"/>
                      <w:szCs w:val="18"/>
                      <w:highlight w:val="none"/>
                    </w:rPr>
                    <w:t>入滨海工业区污水处理厂</w:t>
                  </w:r>
                  <w:r>
                    <w:rPr>
                      <w:rFonts w:hint="eastAsia"/>
                      <w:color w:val="auto"/>
                      <w:sz w:val="18"/>
                      <w:szCs w:val="18"/>
                      <w:highlight w:val="none"/>
                      <w:lang w:val="en-US" w:eastAsia="zh-CN"/>
                    </w:rPr>
                    <w:t>处理，总量指标符合区域总量控制要求</w:t>
                  </w:r>
                  <w:r>
                    <w:rPr>
                      <w:rFonts w:hint="eastAsia"/>
                      <w:color w:val="auto"/>
                      <w:sz w:val="18"/>
                      <w:szCs w:val="18"/>
                      <w:highlight w:val="none"/>
                    </w:rPr>
                    <w:t>。</w:t>
                  </w:r>
                </w:p>
                <w:p>
                  <w:pPr>
                    <w:pStyle w:val="70"/>
                    <w:jc w:val="both"/>
                    <w:rPr>
                      <w:color w:val="auto"/>
                      <w:sz w:val="18"/>
                      <w:szCs w:val="18"/>
                      <w:highlight w:val="none"/>
                    </w:rPr>
                  </w:pPr>
                  <w:r>
                    <w:rPr>
                      <w:rFonts w:hint="eastAsia"/>
                      <w:color w:val="auto"/>
                      <w:sz w:val="18"/>
                      <w:szCs w:val="18"/>
                      <w:highlight w:val="none"/>
                    </w:rPr>
                    <w:t>2</w:t>
                  </w:r>
                  <w:r>
                    <w:rPr>
                      <w:rFonts w:hint="eastAsia"/>
                      <w:color w:val="auto"/>
                      <w:sz w:val="18"/>
                      <w:szCs w:val="18"/>
                      <w:highlight w:val="none"/>
                      <w:lang w:val="en-US" w:eastAsia="zh-CN"/>
                    </w:rPr>
                    <w:t>按要求实施</w:t>
                  </w:r>
                  <w:r>
                    <w:rPr>
                      <w:rFonts w:hint="eastAsia"/>
                      <w:color w:val="auto"/>
                      <w:sz w:val="18"/>
                      <w:szCs w:val="18"/>
                      <w:highlight w:val="none"/>
                    </w:rPr>
                    <w:t>VOCs</w:t>
                  </w:r>
                  <w:r>
                    <w:rPr>
                      <w:rFonts w:hint="eastAsia"/>
                      <w:color w:val="auto"/>
                      <w:sz w:val="18"/>
                      <w:szCs w:val="18"/>
                      <w:highlight w:val="none"/>
                      <w:lang w:val="en-US" w:eastAsia="zh-CN"/>
                    </w:rPr>
                    <w:t>总量替代</w:t>
                  </w:r>
                  <w:r>
                    <w:rPr>
                      <w:rFonts w:hint="eastAsia"/>
                      <w:color w:val="auto"/>
                      <w:sz w:val="18"/>
                      <w:szCs w:val="18"/>
                      <w:highlight w:val="none"/>
                    </w:rPr>
                    <w:t>。</w:t>
                  </w:r>
                </w:p>
                <w:p>
                  <w:pPr>
                    <w:pStyle w:val="70"/>
                    <w:jc w:val="both"/>
                    <w:rPr>
                      <w:color w:val="auto"/>
                      <w:sz w:val="18"/>
                      <w:szCs w:val="18"/>
                      <w:highlight w:val="none"/>
                    </w:rPr>
                  </w:pPr>
                  <w:r>
                    <w:rPr>
                      <w:rFonts w:hint="eastAsia"/>
                      <w:color w:val="auto"/>
                      <w:sz w:val="18"/>
                      <w:szCs w:val="18"/>
                      <w:highlight w:val="none"/>
                    </w:rPr>
                    <w:t>3.项目不属于</w:t>
                  </w:r>
                  <w:r>
                    <w:rPr>
                      <w:color w:val="auto"/>
                      <w:sz w:val="18"/>
                      <w:szCs w:val="18"/>
                      <w:highlight w:val="none"/>
                    </w:rPr>
                    <w:t>钢铁、水泥、平板玻璃、有色金属冶炼、化工等</w:t>
                  </w:r>
                  <w:r>
                    <w:rPr>
                      <w:rFonts w:hint="eastAsia"/>
                      <w:color w:val="auto"/>
                      <w:sz w:val="18"/>
                      <w:szCs w:val="18"/>
                      <w:highlight w:val="none"/>
                    </w:rPr>
                    <w:t>行业。</w:t>
                  </w:r>
                </w:p>
                <w:p>
                  <w:pPr>
                    <w:pStyle w:val="70"/>
                    <w:jc w:val="both"/>
                    <w:rPr>
                      <w:color w:val="auto"/>
                      <w:sz w:val="18"/>
                      <w:szCs w:val="18"/>
                      <w:highlight w:val="none"/>
                    </w:rPr>
                  </w:pPr>
                  <w:r>
                    <w:rPr>
                      <w:rFonts w:hint="eastAsia"/>
                      <w:color w:val="auto"/>
                      <w:sz w:val="18"/>
                      <w:szCs w:val="18"/>
                      <w:highlight w:val="none"/>
                    </w:rPr>
                    <w:t>4.项目不属于</w:t>
                  </w:r>
                  <w:r>
                    <w:rPr>
                      <w:color w:val="auto"/>
                      <w:sz w:val="18"/>
                      <w:szCs w:val="18"/>
                      <w:highlight w:val="none"/>
                    </w:rPr>
                    <w:t>氟化工、印染、电镀等行业</w:t>
                  </w:r>
                  <w:r>
                    <w:rPr>
                      <w:rFonts w:hint="eastAsia"/>
                      <w:color w:val="auto"/>
                      <w:sz w:val="18"/>
                      <w:szCs w:val="18"/>
                      <w:highlight w:val="none"/>
                    </w:rPr>
                    <w:t>。</w:t>
                  </w:r>
                </w:p>
                <w:p>
                  <w:pPr>
                    <w:pStyle w:val="70"/>
                    <w:jc w:val="both"/>
                    <w:rPr>
                      <w:color w:val="auto"/>
                      <w:sz w:val="18"/>
                      <w:szCs w:val="18"/>
                      <w:highlight w:val="none"/>
                    </w:rPr>
                  </w:pPr>
                  <w:r>
                    <w:rPr>
                      <w:rFonts w:hint="eastAsia"/>
                      <w:color w:val="auto"/>
                      <w:sz w:val="18"/>
                      <w:szCs w:val="18"/>
                      <w:highlight w:val="none"/>
                    </w:rPr>
                    <w:t>5.项目不排放重金属污染物。</w:t>
                  </w:r>
                </w:p>
                <w:p>
                  <w:pPr>
                    <w:pStyle w:val="70"/>
                    <w:jc w:val="both"/>
                    <w:rPr>
                      <w:color w:val="auto"/>
                      <w:sz w:val="18"/>
                      <w:szCs w:val="18"/>
                      <w:highlight w:val="none"/>
                    </w:rPr>
                  </w:pPr>
                  <w:r>
                    <w:rPr>
                      <w:rFonts w:hint="eastAsia"/>
                      <w:color w:val="auto"/>
                      <w:sz w:val="18"/>
                      <w:szCs w:val="18"/>
                      <w:highlight w:val="none"/>
                    </w:rPr>
                    <w:t>6.项目不涉及供热锅炉。</w:t>
                  </w:r>
                </w:p>
                <w:p>
                  <w:pPr>
                    <w:pStyle w:val="70"/>
                    <w:jc w:val="both"/>
                    <w:rPr>
                      <w:color w:val="auto"/>
                      <w:sz w:val="18"/>
                      <w:szCs w:val="18"/>
                      <w:highlight w:val="none"/>
                    </w:rPr>
                  </w:pPr>
                  <w:r>
                    <w:rPr>
                      <w:rFonts w:hint="eastAsia"/>
                      <w:color w:val="auto"/>
                      <w:sz w:val="18"/>
                      <w:szCs w:val="18"/>
                      <w:highlight w:val="none"/>
                    </w:rPr>
                    <w:t>7.项目不属于水泥行业。</w:t>
                  </w:r>
                </w:p>
                <w:p>
                  <w:pPr>
                    <w:pStyle w:val="70"/>
                    <w:jc w:val="both"/>
                    <w:rPr>
                      <w:color w:val="auto"/>
                      <w:sz w:val="18"/>
                      <w:szCs w:val="18"/>
                      <w:highlight w:val="none"/>
                    </w:rPr>
                  </w:pPr>
                </w:p>
              </w:tc>
              <w:tc>
                <w:tcPr>
                  <w:tcW w:w="637"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72" w:hRule="atLeast"/>
              </w:trPr>
              <w:tc>
                <w:tcPr>
                  <w:tcW w:w="418" w:type="dxa"/>
                  <w:vMerge w:val="continue"/>
                  <w:tcBorders>
                    <w:tl2br w:val="nil"/>
                    <w:tr2bl w:val="nil"/>
                  </w:tcBorders>
                  <w:vAlign w:val="center"/>
                </w:tcPr>
                <w:p>
                  <w:pPr>
                    <w:pStyle w:val="70"/>
                    <w:rPr>
                      <w:color w:val="auto"/>
                      <w:sz w:val="18"/>
                      <w:szCs w:val="18"/>
                      <w:highlight w:val="none"/>
                    </w:rPr>
                  </w:pPr>
                </w:p>
              </w:tc>
              <w:tc>
                <w:tcPr>
                  <w:tcW w:w="419"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资源开发效率要求</w:t>
                  </w:r>
                </w:p>
              </w:tc>
              <w:tc>
                <w:tcPr>
                  <w:tcW w:w="4070" w:type="dxa"/>
                  <w:tcBorders>
                    <w:tl2br w:val="nil"/>
                    <w:tr2bl w:val="nil"/>
                  </w:tcBorders>
                  <w:vAlign w:val="center"/>
                </w:tcPr>
                <w:p>
                  <w:pPr>
                    <w:pStyle w:val="70"/>
                    <w:jc w:val="both"/>
                    <w:rPr>
                      <w:color w:val="auto"/>
                      <w:sz w:val="18"/>
                      <w:szCs w:val="18"/>
                      <w:highlight w:val="none"/>
                    </w:rPr>
                  </w:pPr>
                  <w:r>
                    <w:rPr>
                      <w:color w:val="auto"/>
                      <w:sz w:val="18"/>
                      <w:szCs w:val="18"/>
                      <w:highlight w:val="none"/>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2.按照“提气、转电、控煤”的发展思路，推动陶瓷行业进一步优化用能结构，实现能源消费清洁低碳化。</w:t>
                  </w:r>
                </w:p>
              </w:tc>
              <w:tc>
                <w:tcPr>
                  <w:tcW w:w="2094" w:type="dxa"/>
                  <w:tcBorders>
                    <w:tl2br w:val="nil"/>
                    <w:tr2bl w:val="nil"/>
                  </w:tcBorders>
                  <w:vAlign w:val="center"/>
                </w:tcPr>
                <w:p>
                  <w:pPr>
                    <w:pStyle w:val="70"/>
                    <w:jc w:val="both"/>
                    <w:rPr>
                      <w:color w:val="auto"/>
                      <w:sz w:val="18"/>
                      <w:szCs w:val="18"/>
                      <w:highlight w:val="none"/>
                    </w:rPr>
                  </w:pPr>
                  <w:r>
                    <w:rPr>
                      <w:rFonts w:hint="eastAsia"/>
                      <w:color w:val="auto"/>
                      <w:sz w:val="18"/>
                      <w:szCs w:val="18"/>
                      <w:highlight w:val="none"/>
                    </w:rPr>
                    <w:t>1.项目不涉及供热锅炉。</w:t>
                  </w:r>
                </w:p>
                <w:p>
                  <w:pPr>
                    <w:pStyle w:val="70"/>
                    <w:jc w:val="both"/>
                    <w:rPr>
                      <w:color w:val="auto"/>
                      <w:sz w:val="18"/>
                      <w:szCs w:val="18"/>
                      <w:highlight w:val="none"/>
                    </w:rPr>
                  </w:pPr>
                  <w:r>
                    <w:rPr>
                      <w:rFonts w:hint="eastAsia"/>
                      <w:color w:val="auto"/>
                      <w:sz w:val="18"/>
                      <w:szCs w:val="18"/>
                      <w:highlight w:val="none"/>
                    </w:rPr>
                    <w:t>2.项目不属于陶瓷行业。</w:t>
                  </w:r>
                </w:p>
              </w:tc>
              <w:tc>
                <w:tcPr>
                  <w:tcW w:w="637"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43" w:hRule="atLeast"/>
              </w:trPr>
              <w:tc>
                <w:tcPr>
                  <w:tcW w:w="418" w:type="dxa"/>
                  <w:vMerge w:val="restart"/>
                  <w:tcBorders>
                    <w:tl2br w:val="nil"/>
                    <w:tr2bl w:val="nil"/>
                  </w:tcBorders>
                  <w:vAlign w:val="center"/>
                </w:tcPr>
                <w:p>
                  <w:pPr>
                    <w:pStyle w:val="70"/>
                    <w:rPr>
                      <w:color w:val="auto"/>
                      <w:sz w:val="18"/>
                      <w:szCs w:val="18"/>
                      <w:highlight w:val="none"/>
                    </w:rPr>
                  </w:pPr>
                  <w:r>
                    <w:rPr>
                      <w:rFonts w:hint="eastAsia"/>
                      <w:color w:val="auto"/>
                      <w:sz w:val="18"/>
                      <w:szCs w:val="18"/>
                      <w:highlight w:val="none"/>
                    </w:rPr>
                    <w:t>福州临空经济区生态环境准入要求</w:t>
                  </w:r>
                </w:p>
              </w:tc>
              <w:tc>
                <w:tcPr>
                  <w:tcW w:w="419"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空间布局约束</w:t>
                  </w:r>
                </w:p>
              </w:tc>
              <w:tc>
                <w:tcPr>
                  <w:tcW w:w="4070" w:type="dxa"/>
                  <w:tcBorders>
                    <w:tl2br w:val="nil"/>
                    <w:tr2bl w:val="nil"/>
                  </w:tcBorders>
                  <w:vAlign w:val="center"/>
                </w:tcPr>
                <w:p>
                  <w:pPr>
                    <w:pStyle w:val="70"/>
                    <w:jc w:val="both"/>
                    <w:rPr>
                      <w:color w:val="auto"/>
                      <w:sz w:val="18"/>
                      <w:szCs w:val="18"/>
                      <w:highlight w:val="none"/>
                    </w:rPr>
                  </w:pPr>
                  <w:r>
                    <w:rPr>
                      <w:color w:val="auto"/>
                      <w:sz w:val="18"/>
                      <w:szCs w:val="18"/>
                      <w:highlight w:val="none"/>
                    </w:rPr>
                    <w:t>1.禁止建设《环境保护综合名录》等负面清单中“高污染、高环境风险”产品相关生产项目。禁止建设向厂外排放含重金属、持久性有机污染物等水污染物的新、改、扩建项目。2.禁止冶炼项目，禁止新建电镀、石化、化工项目，现有低端印染企业应逐步退出。严格控制工业涂装等高VOCs排放的项目建设。3.与居住区等大气环境敏感区相邻的地块禁止引进大气污染物排放量大的企业；合理设置环保控制带，控制带内禁止新增居民住宅、学校、医院等敏感目标。4.优化排污口设置，防止对经济区周边各类海洋生态保护区或敏感区造成不利影响。5.将园区内海滨森林公园划入禁止建设区。在保护区周边布局无污染、轻污染的产业，保护区内禁止新建排污口。6.在长乐国际机场净空保护区范围内的各类建筑物、构筑物等必须满足净空及导航电磁环境的相关要求。7.园区内涉及基本农田的区域在土地性质调整及占补措施落实前应暂缓开发。</w:t>
                  </w:r>
                </w:p>
              </w:tc>
              <w:tc>
                <w:tcPr>
                  <w:tcW w:w="2094" w:type="dxa"/>
                  <w:tcBorders>
                    <w:tl2br w:val="nil"/>
                    <w:tr2bl w:val="nil"/>
                  </w:tcBorders>
                  <w:vAlign w:val="center"/>
                </w:tcPr>
                <w:p>
                  <w:pPr>
                    <w:pStyle w:val="70"/>
                    <w:jc w:val="both"/>
                    <w:rPr>
                      <w:color w:val="auto"/>
                      <w:sz w:val="18"/>
                      <w:szCs w:val="18"/>
                      <w:highlight w:val="none"/>
                    </w:rPr>
                  </w:pPr>
                  <w:r>
                    <w:rPr>
                      <w:rFonts w:hint="eastAsia"/>
                      <w:color w:val="auto"/>
                      <w:sz w:val="18"/>
                      <w:szCs w:val="18"/>
                      <w:highlight w:val="none"/>
                    </w:rPr>
                    <w:t>1.本项目不属于</w:t>
                  </w:r>
                  <w:r>
                    <w:rPr>
                      <w:color w:val="auto"/>
                      <w:sz w:val="18"/>
                      <w:szCs w:val="18"/>
                      <w:highlight w:val="none"/>
                    </w:rPr>
                    <w:t>《环境保护综合名录》等负面清单中“高污染、高环境风险”产品相关生产项目</w:t>
                  </w:r>
                  <w:r>
                    <w:rPr>
                      <w:rFonts w:hint="eastAsia"/>
                      <w:color w:val="auto"/>
                      <w:sz w:val="18"/>
                      <w:szCs w:val="18"/>
                      <w:highlight w:val="none"/>
                    </w:rPr>
                    <w:t>。</w:t>
                  </w:r>
                </w:p>
                <w:p>
                  <w:pPr>
                    <w:pStyle w:val="70"/>
                    <w:jc w:val="both"/>
                    <w:rPr>
                      <w:color w:val="auto"/>
                      <w:sz w:val="18"/>
                      <w:szCs w:val="18"/>
                      <w:highlight w:val="none"/>
                    </w:rPr>
                  </w:pPr>
                  <w:r>
                    <w:rPr>
                      <w:rFonts w:hint="eastAsia"/>
                      <w:color w:val="auto"/>
                      <w:sz w:val="18"/>
                      <w:szCs w:val="18"/>
                      <w:highlight w:val="none"/>
                    </w:rPr>
                    <w:t>2.本项目不属于冶炼、</w:t>
                  </w:r>
                  <w:r>
                    <w:rPr>
                      <w:color w:val="auto"/>
                      <w:sz w:val="18"/>
                      <w:szCs w:val="18"/>
                      <w:highlight w:val="none"/>
                    </w:rPr>
                    <w:t>电镀、石化、化工项目</w:t>
                  </w:r>
                  <w:r>
                    <w:rPr>
                      <w:rFonts w:hint="eastAsia"/>
                      <w:color w:val="auto"/>
                      <w:sz w:val="18"/>
                      <w:szCs w:val="18"/>
                      <w:highlight w:val="none"/>
                    </w:rPr>
                    <w:t>。</w:t>
                  </w:r>
                </w:p>
                <w:p>
                  <w:pPr>
                    <w:pStyle w:val="70"/>
                    <w:jc w:val="both"/>
                    <w:rPr>
                      <w:rFonts w:hint="default" w:eastAsia="宋体"/>
                      <w:color w:val="auto"/>
                      <w:sz w:val="18"/>
                      <w:szCs w:val="18"/>
                      <w:highlight w:val="none"/>
                      <w:lang w:val="en-US" w:eastAsia="zh-CN"/>
                    </w:rPr>
                  </w:pPr>
                  <w:r>
                    <w:rPr>
                      <w:rFonts w:hint="eastAsia"/>
                      <w:color w:val="auto"/>
                      <w:sz w:val="18"/>
                      <w:szCs w:val="18"/>
                      <w:highlight w:val="none"/>
                    </w:rPr>
                    <w:t>3.本项目位于临空经济区，不与</w:t>
                  </w:r>
                  <w:r>
                    <w:rPr>
                      <w:color w:val="auto"/>
                      <w:sz w:val="18"/>
                      <w:szCs w:val="18"/>
                      <w:highlight w:val="none"/>
                    </w:rPr>
                    <w:t>居住区等大气环境敏感区相邻</w:t>
                  </w:r>
                  <w:r>
                    <w:rPr>
                      <w:rFonts w:hint="eastAsia"/>
                      <w:color w:val="auto"/>
                      <w:sz w:val="18"/>
                      <w:szCs w:val="18"/>
                      <w:highlight w:val="none"/>
                    </w:rPr>
                    <w:t>。</w:t>
                  </w:r>
                  <w:r>
                    <w:rPr>
                      <w:rFonts w:hint="eastAsia"/>
                      <w:color w:val="auto"/>
                      <w:sz w:val="18"/>
                      <w:szCs w:val="18"/>
                      <w:highlight w:val="none"/>
                      <w:lang w:val="en-US" w:eastAsia="zh-CN"/>
                    </w:rPr>
                    <w:t>与周边敏感点的距离符合园区要求的100m环保控制带要求。</w:t>
                  </w:r>
                </w:p>
                <w:p>
                  <w:pPr>
                    <w:pStyle w:val="70"/>
                    <w:jc w:val="both"/>
                    <w:rPr>
                      <w:color w:val="auto"/>
                      <w:sz w:val="18"/>
                      <w:szCs w:val="18"/>
                      <w:highlight w:val="none"/>
                    </w:rPr>
                  </w:pPr>
                  <w:r>
                    <w:rPr>
                      <w:rFonts w:hint="eastAsia"/>
                      <w:color w:val="auto"/>
                      <w:sz w:val="18"/>
                      <w:szCs w:val="18"/>
                      <w:highlight w:val="none"/>
                    </w:rPr>
                    <w:t>4.本项目产生的</w:t>
                  </w:r>
                  <w:r>
                    <w:rPr>
                      <w:rFonts w:hint="eastAsia"/>
                      <w:color w:val="auto"/>
                      <w:sz w:val="18"/>
                      <w:szCs w:val="18"/>
                      <w:highlight w:val="none"/>
                      <w:lang w:val="en-US" w:eastAsia="zh-CN"/>
                    </w:rPr>
                    <w:t>生产、</w:t>
                  </w:r>
                  <w:r>
                    <w:rPr>
                      <w:rFonts w:hint="eastAsia"/>
                      <w:color w:val="auto"/>
                      <w:sz w:val="18"/>
                      <w:szCs w:val="18"/>
                      <w:highlight w:val="none"/>
                    </w:rPr>
                    <w:t>生活污水经厂区污水处理设施处理达标后接管汇入滨海工业区污水处理厂；</w:t>
                  </w:r>
                  <w:r>
                    <w:rPr>
                      <w:rFonts w:hint="eastAsia"/>
                      <w:color w:val="auto"/>
                      <w:sz w:val="18"/>
                      <w:szCs w:val="18"/>
                      <w:highlight w:val="none"/>
                      <w:lang w:val="en-US" w:eastAsia="zh-CN"/>
                    </w:rPr>
                    <w:t>污水排放利用原用排放口</w:t>
                  </w:r>
                  <w:r>
                    <w:rPr>
                      <w:rFonts w:hint="eastAsia"/>
                      <w:color w:val="auto"/>
                      <w:sz w:val="18"/>
                      <w:szCs w:val="18"/>
                      <w:highlight w:val="none"/>
                    </w:rPr>
                    <w:t>，不</w:t>
                  </w:r>
                  <w:r>
                    <w:rPr>
                      <w:rFonts w:hint="eastAsia"/>
                      <w:color w:val="auto"/>
                      <w:sz w:val="18"/>
                      <w:szCs w:val="18"/>
                      <w:highlight w:val="none"/>
                      <w:lang w:val="en-US" w:eastAsia="zh-CN"/>
                    </w:rPr>
                    <w:t>新增</w:t>
                  </w:r>
                  <w:r>
                    <w:rPr>
                      <w:rFonts w:hint="eastAsia"/>
                      <w:color w:val="auto"/>
                      <w:sz w:val="18"/>
                      <w:szCs w:val="18"/>
                      <w:highlight w:val="none"/>
                    </w:rPr>
                    <w:t>排污口。</w:t>
                  </w:r>
                </w:p>
                <w:p>
                  <w:pPr>
                    <w:pStyle w:val="70"/>
                    <w:jc w:val="both"/>
                    <w:rPr>
                      <w:color w:val="auto"/>
                      <w:sz w:val="18"/>
                      <w:szCs w:val="18"/>
                      <w:highlight w:val="none"/>
                    </w:rPr>
                  </w:pPr>
                  <w:r>
                    <w:rPr>
                      <w:rFonts w:hint="eastAsia"/>
                      <w:color w:val="auto"/>
                      <w:sz w:val="18"/>
                      <w:szCs w:val="18"/>
                      <w:highlight w:val="none"/>
                    </w:rPr>
                    <w:t>5.本项目位于临空经济区，不涉及</w:t>
                  </w:r>
                  <w:r>
                    <w:rPr>
                      <w:color w:val="auto"/>
                      <w:sz w:val="18"/>
                      <w:szCs w:val="18"/>
                      <w:highlight w:val="none"/>
                    </w:rPr>
                    <w:t>海滨森林公园。</w:t>
                  </w:r>
                </w:p>
                <w:p>
                  <w:pPr>
                    <w:pStyle w:val="70"/>
                    <w:jc w:val="both"/>
                    <w:rPr>
                      <w:color w:val="auto"/>
                      <w:sz w:val="18"/>
                      <w:szCs w:val="18"/>
                      <w:highlight w:val="none"/>
                    </w:rPr>
                  </w:pPr>
                  <w:r>
                    <w:rPr>
                      <w:rFonts w:hint="eastAsia"/>
                      <w:color w:val="auto"/>
                      <w:sz w:val="18"/>
                      <w:szCs w:val="18"/>
                      <w:highlight w:val="none"/>
                    </w:rPr>
                    <w:t>6.本项目</w:t>
                  </w:r>
                  <w:r>
                    <w:rPr>
                      <w:rFonts w:hint="eastAsia"/>
                      <w:color w:val="auto"/>
                      <w:sz w:val="18"/>
                      <w:szCs w:val="18"/>
                      <w:highlight w:val="none"/>
                      <w:lang w:val="en-US" w:eastAsia="zh-CN"/>
                    </w:rPr>
                    <w:t>建筑高度，设备</w:t>
                  </w:r>
                  <w:r>
                    <w:rPr>
                      <w:rFonts w:hint="eastAsia"/>
                      <w:color w:val="auto"/>
                      <w:sz w:val="18"/>
                      <w:szCs w:val="18"/>
                      <w:highlight w:val="none"/>
                    </w:rPr>
                    <w:t>满足</w:t>
                  </w:r>
                  <w:r>
                    <w:rPr>
                      <w:color w:val="auto"/>
                      <w:sz w:val="18"/>
                      <w:szCs w:val="18"/>
                      <w:highlight w:val="none"/>
                    </w:rPr>
                    <w:t>长乐国际机场净空及导航电磁环境的相关要求</w:t>
                  </w:r>
                  <w:r>
                    <w:rPr>
                      <w:rFonts w:hint="eastAsia"/>
                      <w:color w:val="auto"/>
                      <w:sz w:val="18"/>
                      <w:szCs w:val="18"/>
                      <w:highlight w:val="none"/>
                    </w:rPr>
                    <w:t>。</w:t>
                  </w:r>
                </w:p>
                <w:p>
                  <w:pPr>
                    <w:pStyle w:val="70"/>
                    <w:jc w:val="both"/>
                    <w:rPr>
                      <w:color w:val="auto"/>
                      <w:sz w:val="18"/>
                      <w:szCs w:val="18"/>
                      <w:highlight w:val="none"/>
                    </w:rPr>
                  </w:pPr>
                  <w:r>
                    <w:rPr>
                      <w:rFonts w:hint="eastAsia"/>
                      <w:color w:val="auto"/>
                      <w:sz w:val="18"/>
                      <w:szCs w:val="18"/>
                      <w:highlight w:val="none"/>
                    </w:rPr>
                    <w:t>7.不涉及基本农田。</w:t>
                  </w:r>
                </w:p>
              </w:tc>
              <w:tc>
                <w:tcPr>
                  <w:tcW w:w="637"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32" w:hRule="atLeast"/>
              </w:trPr>
              <w:tc>
                <w:tcPr>
                  <w:tcW w:w="418" w:type="dxa"/>
                  <w:vMerge w:val="continue"/>
                  <w:tcBorders>
                    <w:tl2br w:val="nil"/>
                    <w:tr2bl w:val="nil"/>
                  </w:tcBorders>
                  <w:vAlign w:val="center"/>
                </w:tcPr>
                <w:p>
                  <w:pPr>
                    <w:pStyle w:val="70"/>
                    <w:rPr>
                      <w:color w:val="auto"/>
                      <w:sz w:val="18"/>
                      <w:szCs w:val="18"/>
                      <w:highlight w:val="none"/>
                    </w:rPr>
                  </w:pPr>
                </w:p>
              </w:tc>
              <w:tc>
                <w:tcPr>
                  <w:tcW w:w="419"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污染物排放管控</w:t>
                  </w:r>
                </w:p>
              </w:tc>
              <w:tc>
                <w:tcPr>
                  <w:tcW w:w="4070" w:type="dxa"/>
                  <w:tcBorders>
                    <w:tl2br w:val="nil"/>
                    <w:tr2bl w:val="nil"/>
                  </w:tcBorders>
                  <w:vAlign w:val="center"/>
                </w:tcPr>
                <w:p>
                  <w:pPr>
                    <w:pStyle w:val="70"/>
                    <w:jc w:val="both"/>
                    <w:rPr>
                      <w:color w:val="auto"/>
                      <w:sz w:val="18"/>
                      <w:szCs w:val="18"/>
                      <w:highlight w:val="none"/>
                    </w:rPr>
                  </w:pPr>
                  <w:r>
                    <w:rPr>
                      <w:color w:val="auto"/>
                      <w:sz w:val="18"/>
                      <w:szCs w:val="18"/>
                      <w:highlight w:val="none"/>
                    </w:rPr>
                    <w:t>1.加强食品企业恶臭污染控制，防止恶臭扰民。2.实施经济区主要水、大气污染物排放总量控制，落实新增主要污染物排污权交易制度和VOCs排放总量控制要求。3.新、扩、改项目清洁生产水平应达到国内先进以上水平。4.企业应使用天然气、电能、太阳能等清洁能源，鼓励燃气锅炉实施低氮改造。</w:t>
                  </w:r>
                </w:p>
              </w:tc>
              <w:tc>
                <w:tcPr>
                  <w:tcW w:w="2094" w:type="dxa"/>
                  <w:tcBorders>
                    <w:tl2br w:val="nil"/>
                    <w:tr2bl w:val="nil"/>
                  </w:tcBorders>
                  <w:vAlign w:val="center"/>
                </w:tcPr>
                <w:p>
                  <w:pPr>
                    <w:pStyle w:val="70"/>
                    <w:jc w:val="both"/>
                    <w:rPr>
                      <w:rFonts w:hint="default" w:eastAsia="宋体"/>
                      <w:color w:val="auto"/>
                      <w:sz w:val="18"/>
                      <w:szCs w:val="18"/>
                      <w:highlight w:val="none"/>
                      <w:lang w:val="en-US" w:eastAsia="zh-CN"/>
                    </w:rPr>
                  </w:pPr>
                  <w:r>
                    <w:rPr>
                      <w:rFonts w:hint="eastAsia"/>
                      <w:color w:val="auto"/>
                      <w:sz w:val="18"/>
                      <w:szCs w:val="18"/>
                      <w:highlight w:val="none"/>
                    </w:rPr>
                    <w:t>1.</w:t>
                  </w:r>
                  <w:r>
                    <w:rPr>
                      <w:rFonts w:hint="eastAsia"/>
                      <w:color w:val="auto"/>
                      <w:sz w:val="18"/>
                      <w:szCs w:val="18"/>
                      <w:highlight w:val="none"/>
                      <w:lang w:val="en-US" w:eastAsia="zh-CN"/>
                    </w:rPr>
                    <w:t>项目不属于食品企业；</w:t>
                  </w:r>
                </w:p>
                <w:p>
                  <w:pPr>
                    <w:pStyle w:val="70"/>
                    <w:jc w:val="both"/>
                    <w:rPr>
                      <w:rFonts w:hint="eastAsia" w:eastAsia="宋体"/>
                      <w:color w:val="auto"/>
                      <w:sz w:val="18"/>
                      <w:szCs w:val="18"/>
                      <w:highlight w:val="none"/>
                      <w:lang w:val="en-US" w:eastAsia="zh-CN"/>
                    </w:rPr>
                  </w:pPr>
                  <w:r>
                    <w:rPr>
                      <w:rFonts w:hint="eastAsia"/>
                      <w:color w:val="auto"/>
                      <w:sz w:val="18"/>
                      <w:szCs w:val="18"/>
                      <w:highlight w:val="none"/>
                    </w:rPr>
                    <w:t>2.</w:t>
                  </w:r>
                  <w:r>
                    <w:rPr>
                      <w:rFonts w:hint="eastAsia"/>
                      <w:color w:val="auto"/>
                      <w:sz w:val="18"/>
                      <w:szCs w:val="18"/>
                      <w:highlight w:val="none"/>
                      <w:lang w:val="en-US" w:eastAsia="zh-CN"/>
                    </w:rPr>
                    <w:t>按要求实施排污交易等总量控制要求</w:t>
                  </w:r>
                  <w:r>
                    <w:rPr>
                      <w:rFonts w:hint="eastAsia"/>
                      <w:color w:val="auto"/>
                      <w:sz w:val="18"/>
                      <w:szCs w:val="18"/>
                      <w:highlight w:val="none"/>
                      <w:lang w:eastAsia="zh-CN"/>
                    </w:rPr>
                    <w:t>。</w:t>
                  </w:r>
                </w:p>
                <w:p>
                  <w:pPr>
                    <w:pStyle w:val="70"/>
                    <w:jc w:val="both"/>
                    <w:rPr>
                      <w:color w:val="auto"/>
                      <w:sz w:val="18"/>
                      <w:szCs w:val="18"/>
                      <w:highlight w:val="none"/>
                    </w:rPr>
                  </w:pPr>
                  <w:r>
                    <w:rPr>
                      <w:rFonts w:hint="eastAsia"/>
                      <w:color w:val="auto"/>
                      <w:sz w:val="18"/>
                      <w:szCs w:val="18"/>
                      <w:highlight w:val="none"/>
                    </w:rPr>
                    <w:t>3.本项目清洁生产水平</w:t>
                  </w:r>
                  <w:r>
                    <w:rPr>
                      <w:rFonts w:hint="eastAsia"/>
                      <w:color w:val="auto"/>
                      <w:sz w:val="18"/>
                      <w:szCs w:val="18"/>
                      <w:highlight w:val="none"/>
                      <w:lang w:val="en-US" w:eastAsia="zh-CN"/>
                    </w:rPr>
                    <w:t>达到国内先进水平</w:t>
                  </w:r>
                  <w:r>
                    <w:rPr>
                      <w:rFonts w:hint="eastAsia"/>
                      <w:color w:val="auto"/>
                      <w:sz w:val="18"/>
                      <w:szCs w:val="18"/>
                      <w:highlight w:val="none"/>
                    </w:rPr>
                    <w:t>。</w:t>
                  </w:r>
                </w:p>
                <w:p>
                  <w:pPr>
                    <w:pStyle w:val="70"/>
                    <w:jc w:val="both"/>
                    <w:rPr>
                      <w:color w:val="auto"/>
                      <w:sz w:val="18"/>
                      <w:szCs w:val="18"/>
                      <w:highlight w:val="none"/>
                    </w:rPr>
                  </w:pPr>
                  <w:r>
                    <w:rPr>
                      <w:rFonts w:hint="eastAsia"/>
                      <w:color w:val="auto"/>
                      <w:sz w:val="18"/>
                      <w:szCs w:val="18"/>
                      <w:highlight w:val="none"/>
                    </w:rPr>
                    <w:t>4.本项目不涉及供热锅炉。</w:t>
                  </w:r>
                </w:p>
              </w:tc>
              <w:tc>
                <w:tcPr>
                  <w:tcW w:w="637"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49" w:hRule="atLeast"/>
              </w:trPr>
              <w:tc>
                <w:tcPr>
                  <w:tcW w:w="418" w:type="dxa"/>
                  <w:vMerge w:val="continue"/>
                  <w:tcBorders>
                    <w:tl2br w:val="nil"/>
                    <w:tr2bl w:val="nil"/>
                  </w:tcBorders>
                  <w:vAlign w:val="center"/>
                </w:tcPr>
                <w:p>
                  <w:pPr>
                    <w:pStyle w:val="70"/>
                    <w:rPr>
                      <w:color w:val="auto"/>
                      <w:sz w:val="18"/>
                      <w:szCs w:val="18"/>
                      <w:highlight w:val="none"/>
                    </w:rPr>
                  </w:pPr>
                </w:p>
              </w:tc>
              <w:tc>
                <w:tcPr>
                  <w:tcW w:w="419"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环境风险防控</w:t>
                  </w:r>
                </w:p>
              </w:tc>
              <w:tc>
                <w:tcPr>
                  <w:tcW w:w="4070" w:type="dxa"/>
                  <w:tcBorders>
                    <w:tl2br w:val="nil"/>
                    <w:tr2bl w:val="nil"/>
                  </w:tcBorders>
                  <w:vAlign w:val="center"/>
                </w:tcPr>
                <w:p>
                  <w:pPr>
                    <w:pStyle w:val="70"/>
                    <w:jc w:val="both"/>
                    <w:rPr>
                      <w:color w:val="auto"/>
                      <w:sz w:val="18"/>
                      <w:szCs w:val="18"/>
                      <w:highlight w:val="none"/>
                    </w:rPr>
                  </w:pPr>
                  <w:r>
                    <w:rPr>
                      <w:color w:val="auto"/>
                      <w:sz w:val="18"/>
                      <w:szCs w:val="18"/>
                      <w:highlight w:val="none"/>
                    </w:rPr>
                    <w:t>1.建立健全环境风险防控体系，制定环境风险应急预案，建设事故应急池，成立应急组织机构，防止在处理安全生产事故过程中产生的可能严重污染水体的消防废水、废液直接排入水体。2.应采取有效措施防止园区建设对区域地下水、土壤造成污染。</w:t>
                  </w:r>
                </w:p>
              </w:tc>
              <w:tc>
                <w:tcPr>
                  <w:tcW w:w="2094" w:type="dxa"/>
                  <w:tcBorders>
                    <w:tl2br w:val="nil"/>
                    <w:tr2bl w:val="nil"/>
                  </w:tcBorders>
                  <w:vAlign w:val="center"/>
                </w:tcPr>
                <w:p>
                  <w:pPr>
                    <w:pStyle w:val="70"/>
                    <w:jc w:val="both"/>
                    <w:rPr>
                      <w:color w:val="auto"/>
                      <w:sz w:val="18"/>
                      <w:szCs w:val="18"/>
                      <w:highlight w:val="none"/>
                    </w:rPr>
                  </w:pPr>
                  <w:r>
                    <w:rPr>
                      <w:rFonts w:hint="eastAsia"/>
                      <w:color w:val="auto"/>
                      <w:sz w:val="18"/>
                      <w:szCs w:val="18"/>
                      <w:highlight w:val="none"/>
                    </w:rPr>
                    <w:t>1.企业已制定风险应急预案，成立应急组织机构。2.本项目通过在危废暂存间、化学品仓库设置防渗层，在危废仓库四周设置导流沟等</w:t>
                  </w:r>
                  <w:r>
                    <w:rPr>
                      <w:color w:val="auto"/>
                      <w:sz w:val="18"/>
                      <w:szCs w:val="18"/>
                      <w:highlight w:val="none"/>
                    </w:rPr>
                    <w:t>有效措施防止对区域地下水、土壤造成污染</w:t>
                  </w:r>
                  <w:r>
                    <w:rPr>
                      <w:rFonts w:hint="eastAsia"/>
                      <w:color w:val="auto"/>
                      <w:sz w:val="18"/>
                      <w:szCs w:val="18"/>
                      <w:highlight w:val="none"/>
                    </w:rPr>
                    <w:t>。</w:t>
                  </w:r>
                </w:p>
              </w:tc>
              <w:tc>
                <w:tcPr>
                  <w:tcW w:w="637" w:type="dxa"/>
                  <w:tcBorders>
                    <w:tl2br w:val="nil"/>
                    <w:tr2bl w:val="nil"/>
                  </w:tcBorders>
                  <w:vAlign w:val="center"/>
                </w:tcPr>
                <w:p>
                  <w:pPr>
                    <w:pStyle w:val="70"/>
                    <w:rPr>
                      <w:color w:val="auto"/>
                      <w:sz w:val="18"/>
                      <w:szCs w:val="18"/>
                      <w:highlight w:val="none"/>
                    </w:rPr>
                  </w:pPr>
                  <w:r>
                    <w:rPr>
                      <w:rFonts w:hint="eastAsia"/>
                      <w:color w:val="auto"/>
                      <w:sz w:val="18"/>
                      <w:szCs w:val="18"/>
                      <w:highlight w:val="none"/>
                    </w:rPr>
                    <w:t>符合</w:t>
                  </w:r>
                </w:p>
              </w:tc>
            </w:tr>
          </w:tbl>
          <w:p>
            <w:pPr>
              <w:pStyle w:val="72"/>
              <w:ind w:firstLine="480" w:firstLineChars="200"/>
              <w:rPr>
                <w:color w:val="auto"/>
                <w:highlight w:val="none"/>
              </w:rPr>
            </w:pPr>
          </w:p>
        </w:tc>
      </w:tr>
    </w:tbl>
    <w:p>
      <w:pPr>
        <w:spacing w:line="360" w:lineRule="auto"/>
        <w:outlineLvl w:val="0"/>
        <w:rPr>
          <w:rFonts w:eastAsia="黑体"/>
          <w:color w:val="auto"/>
          <w:sz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5"/>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3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39" w:hRule="atLeast"/>
          <w:jc w:val="center"/>
        </w:trPr>
        <w:tc>
          <w:tcPr>
            <w:tcW w:w="587" w:type="dxa"/>
            <w:vAlign w:val="center"/>
          </w:tcPr>
          <w:p>
            <w:pPr>
              <w:pStyle w:val="25"/>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建设内容</w:t>
            </w:r>
          </w:p>
        </w:tc>
        <w:tc>
          <w:tcPr>
            <w:tcW w:w="8397" w:type="dxa"/>
          </w:tcPr>
          <w:p>
            <w:pPr>
              <w:pStyle w:val="64"/>
              <w:numPr>
                <w:ilvl w:val="2"/>
                <w:numId w:val="0"/>
              </w:numPr>
              <w:tabs>
                <w:tab w:val="clear" w:pos="2160"/>
              </w:tabs>
              <w:rPr>
                <w:color w:val="auto"/>
                <w:highlight w:val="none"/>
              </w:rPr>
            </w:pPr>
            <w:r>
              <w:rPr>
                <w:rFonts w:hint="eastAsia"/>
                <w:color w:val="auto"/>
                <w:highlight w:val="none"/>
              </w:rPr>
              <w:t>2.1项目由来</w:t>
            </w:r>
          </w:p>
          <w:p>
            <w:pPr>
              <w:pStyle w:val="72"/>
              <w:ind w:firstLine="480"/>
              <w:rPr>
                <w:color w:val="auto"/>
                <w:highlight w:val="none"/>
              </w:rPr>
            </w:pPr>
            <w:r>
              <w:rPr>
                <w:rFonts w:hint="eastAsia"/>
                <w:color w:val="auto"/>
                <w:highlight w:val="none"/>
              </w:rPr>
              <w:t>福建阿石创新材料股份有限公司（原名福州阿石创光电子材料有限公司）成立于2002年，主要从事PVD镀膜材料的研发、生产与销售，主要产品包括ITO、钼、铜、铝、硅、钛、钽及各类合金与稀有金属靶材。现有两个厂区，一厂位于长乐区航城街道太平里169号</w:t>
            </w:r>
            <w:r>
              <w:rPr>
                <w:rFonts w:hint="eastAsia"/>
                <w:color w:val="auto"/>
                <w:highlight w:val="none"/>
                <w:lang w:eastAsia="zh-CN"/>
              </w:rPr>
              <w:t>（</w:t>
            </w:r>
            <w:r>
              <w:rPr>
                <w:rFonts w:hint="eastAsia"/>
                <w:color w:val="auto"/>
                <w:highlight w:val="none"/>
                <w:lang w:val="en-US" w:eastAsia="zh-CN"/>
              </w:rPr>
              <w:t>也称一期地块</w:t>
            </w:r>
            <w:r>
              <w:rPr>
                <w:rFonts w:hint="eastAsia"/>
                <w:color w:val="auto"/>
                <w:highlight w:val="none"/>
                <w:lang w:eastAsia="zh-CN"/>
              </w:rPr>
              <w:t>）</w:t>
            </w:r>
            <w:r>
              <w:rPr>
                <w:rFonts w:hint="eastAsia"/>
                <w:color w:val="auto"/>
                <w:highlight w:val="none"/>
              </w:rPr>
              <w:t>，二厂位于福建省福州市长乐区漳港街道漳湖路66号</w:t>
            </w:r>
            <w:r>
              <w:rPr>
                <w:rFonts w:hint="eastAsia"/>
                <w:color w:val="auto"/>
                <w:highlight w:val="none"/>
                <w:lang w:eastAsia="zh-CN"/>
              </w:rPr>
              <w:t>（</w:t>
            </w:r>
            <w:r>
              <w:rPr>
                <w:rFonts w:hint="eastAsia"/>
                <w:color w:val="auto"/>
                <w:highlight w:val="none"/>
                <w:lang w:val="en-US" w:eastAsia="zh-CN"/>
              </w:rPr>
              <w:t>包括已建成的二期地块、三期地块及本次计划新增的四期地块</w:t>
            </w:r>
            <w:r>
              <w:rPr>
                <w:rFonts w:hint="eastAsia"/>
                <w:color w:val="auto"/>
                <w:highlight w:val="none"/>
                <w:lang w:eastAsia="zh-CN"/>
              </w:rPr>
              <w:t>），</w:t>
            </w:r>
            <w:r>
              <w:rPr>
                <w:rFonts w:hint="eastAsia"/>
                <w:color w:val="auto"/>
                <w:highlight w:val="none"/>
                <w:lang w:val="en-US" w:eastAsia="zh-CN"/>
              </w:rPr>
              <w:t>二厂地块分布见附图二</w:t>
            </w:r>
            <w:r>
              <w:rPr>
                <w:rFonts w:hint="eastAsia"/>
                <w:color w:val="auto"/>
                <w:highlight w:val="none"/>
              </w:rPr>
              <w:t>。</w:t>
            </w:r>
          </w:p>
          <w:p>
            <w:pPr>
              <w:pStyle w:val="72"/>
              <w:ind w:firstLine="480"/>
              <w:rPr>
                <w:rFonts w:hint="eastAsia"/>
                <w:color w:val="auto"/>
                <w:highlight w:val="none"/>
              </w:rPr>
            </w:pPr>
            <w:r>
              <w:rPr>
                <w:rFonts w:hint="eastAsia"/>
                <w:color w:val="auto"/>
                <w:highlight w:val="none"/>
              </w:rPr>
              <w:t>福建阿石创新材料股份有限公司于2020年在二厂</w:t>
            </w:r>
            <w:r>
              <w:rPr>
                <w:rFonts w:hint="eastAsia"/>
                <w:color w:val="auto"/>
                <w:highlight w:val="none"/>
                <w:lang w:eastAsia="zh-CN"/>
              </w:rPr>
              <w:t>（</w:t>
            </w:r>
            <w:r>
              <w:rPr>
                <w:rFonts w:hint="eastAsia"/>
                <w:color w:val="auto"/>
                <w:highlight w:val="none"/>
                <w:lang w:val="en-US" w:eastAsia="zh-CN"/>
              </w:rPr>
              <w:t>二期地块）</w:t>
            </w:r>
            <w:r>
              <w:rPr>
                <w:rFonts w:hint="eastAsia"/>
                <w:b w:val="0"/>
                <w:bCs w:val="0"/>
                <w:color w:val="auto"/>
                <w:highlight w:val="none"/>
              </w:rPr>
              <w:t>建设</w:t>
            </w:r>
            <w:r>
              <w:rPr>
                <w:rFonts w:hint="eastAsia"/>
                <w:b/>
                <w:bCs/>
                <w:color w:val="auto"/>
                <w:highlight w:val="none"/>
              </w:rPr>
              <w:t>平板显示溅射靶材建设项目</w:t>
            </w:r>
            <w:r>
              <w:rPr>
                <w:rFonts w:hint="eastAsia"/>
                <w:color w:val="auto"/>
                <w:highlight w:val="none"/>
              </w:rPr>
              <w:t>，年产各种靶材1200吨，其中钼靶材800吨、铝靶材350吨、</w:t>
            </w:r>
            <w:r>
              <w:rPr>
                <w:rFonts w:hint="eastAsia"/>
                <w:color w:val="auto"/>
                <w:highlight w:val="none"/>
                <w:lang w:val="en-US" w:eastAsia="zh-CN"/>
              </w:rPr>
              <w:t>旋转</w:t>
            </w:r>
            <w:r>
              <w:rPr>
                <w:rFonts w:hint="eastAsia"/>
                <w:color w:val="auto"/>
                <w:highlight w:val="none"/>
              </w:rPr>
              <w:t>硅靶材50吨，2020年6月取得了福州市长乐生态环境局的批文（长环评[2020]45号），2021年12月完成自主验收。2020年</w:t>
            </w:r>
            <w:r>
              <w:rPr>
                <w:rFonts w:hint="eastAsia"/>
                <w:color w:val="auto"/>
                <w:highlight w:val="none"/>
                <w:lang w:val="en-US" w:eastAsia="zh-CN"/>
              </w:rPr>
              <w:t>规划</w:t>
            </w:r>
            <w:r>
              <w:rPr>
                <w:rFonts w:hint="eastAsia"/>
                <w:color w:val="auto"/>
                <w:highlight w:val="none"/>
              </w:rPr>
              <w:t>建设铝钪靶材和钼靶材的研发建设项目，年产铝钪靶材3吨，钼靶材9吨，2020年6月取得了福州市长乐生态环境局的批文（长环评[2020]46号）</w:t>
            </w:r>
            <w:r>
              <w:rPr>
                <w:rFonts w:hint="eastAsia"/>
                <w:color w:val="auto"/>
                <w:highlight w:val="none"/>
                <w:lang w:eastAsia="zh-CN"/>
              </w:rPr>
              <w:t>，</w:t>
            </w:r>
            <w:r>
              <w:rPr>
                <w:rFonts w:hint="eastAsia"/>
                <w:color w:val="auto"/>
                <w:highlight w:val="none"/>
                <w:lang w:val="en-US" w:eastAsia="zh-CN"/>
              </w:rPr>
              <w:t>该项目已取消</w:t>
            </w:r>
            <w:r>
              <w:rPr>
                <w:rFonts w:hint="eastAsia"/>
                <w:color w:val="auto"/>
                <w:highlight w:val="none"/>
              </w:rPr>
              <w:t>。2020年</w:t>
            </w:r>
            <w:r>
              <w:rPr>
                <w:rFonts w:hint="eastAsia"/>
                <w:color w:val="auto"/>
                <w:highlight w:val="none"/>
                <w:lang w:val="en-US" w:eastAsia="zh-CN"/>
              </w:rPr>
              <w:t>，建设单位新增</w:t>
            </w:r>
            <w:r>
              <w:rPr>
                <w:rFonts w:ascii="宋体" w:hAnsi="宋体" w:eastAsia="宋体" w:cs="宋体"/>
                <w:b w:val="0"/>
                <w:bCs w:val="0"/>
                <w:color w:val="auto"/>
                <w:sz w:val="24"/>
                <w:szCs w:val="24"/>
                <w:highlight w:val="none"/>
              </w:rPr>
              <w:t>占地面积</w:t>
            </w:r>
            <w:r>
              <w:rPr>
                <w:rFonts w:ascii="TimesNewRomanPSMT" w:hAnsi="TimesNewRomanPSMT" w:eastAsia="TimesNewRomanPSMT" w:cs="TimesNewRomanPSMT"/>
                <w:b w:val="0"/>
                <w:bCs w:val="0"/>
                <w:color w:val="auto"/>
                <w:sz w:val="24"/>
                <w:szCs w:val="24"/>
                <w:highlight w:val="none"/>
              </w:rPr>
              <w:t>10013m</w:t>
            </w:r>
            <w:r>
              <w:rPr>
                <w:rFonts w:hint="eastAsia" w:ascii="TimesNewRomanPSMT" w:hAnsi="TimesNewRomanPSMT" w:eastAsia="宋体" w:cs="TimesNewRomanPSMT"/>
                <w:b w:val="0"/>
                <w:bCs w:val="0"/>
                <w:color w:val="auto"/>
                <w:sz w:val="24"/>
                <w:szCs w:val="24"/>
                <w:highlight w:val="none"/>
                <w:vertAlign w:val="superscript"/>
                <w:lang w:val="en-US" w:eastAsia="zh-CN"/>
              </w:rPr>
              <w:t>2</w:t>
            </w:r>
            <w:r>
              <w:rPr>
                <w:rFonts w:hint="eastAsia"/>
                <w:color w:val="auto"/>
                <w:highlight w:val="none"/>
                <w:lang w:eastAsia="zh-CN"/>
              </w:rPr>
              <w:t>（</w:t>
            </w:r>
            <w:r>
              <w:rPr>
                <w:rFonts w:hint="eastAsia"/>
                <w:color w:val="auto"/>
                <w:highlight w:val="none"/>
                <w:lang w:val="en-US" w:eastAsia="zh-CN"/>
              </w:rPr>
              <w:t>三期地块）</w:t>
            </w:r>
            <w:r>
              <w:rPr>
                <w:rFonts w:ascii="宋体" w:hAnsi="宋体" w:eastAsia="宋体" w:cs="宋体"/>
                <w:b w:val="0"/>
                <w:bCs w:val="0"/>
                <w:color w:val="auto"/>
                <w:sz w:val="24"/>
                <w:szCs w:val="24"/>
                <w:highlight w:val="none"/>
              </w:rPr>
              <w:t>，新建厂房建筑面积</w:t>
            </w:r>
            <w:r>
              <w:rPr>
                <w:rFonts w:hint="default" w:ascii="TimesNewRomanPSMT" w:hAnsi="TimesNewRomanPSMT" w:eastAsia="TimesNewRomanPSMT" w:cs="TimesNewRomanPSMT"/>
                <w:b w:val="0"/>
                <w:bCs w:val="0"/>
                <w:color w:val="auto"/>
                <w:sz w:val="24"/>
                <w:szCs w:val="24"/>
                <w:highlight w:val="none"/>
              </w:rPr>
              <w:t>18023m</w:t>
            </w:r>
            <w:r>
              <w:rPr>
                <w:rFonts w:hint="eastAsia" w:ascii="TimesNewRomanPSMT" w:hAnsi="TimesNewRomanPSMT" w:eastAsia="宋体" w:cs="TimesNewRomanPSMT"/>
                <w:b w:val="0"/>
                <w:bCs w:val="0"/>
                <w:color w:val="auto"/>
                <w:sz w:val="24"/>
                <w:szCs w:val="24"/>
                <w:highlight w:val="none"/>
                <w:vertAlign w:val="superscript"/>
                <w:lang w:val="en-US" w:eastAsia="zh-CN"/>
              </w:rPr>
              <w:t>2</w:t>
            </w:r>
            <w:r>
              <w:rPr>
                <w:rFonts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拟</w:t>
            </w:r>
            <w:r>
              <w:rPr>
                <w:rFonts w:hint="eastAsia"/>
                <w:color w:val="auto"/>
                <w:highlight w:val="none"/>
              </w:rPr>
              <w:t>建设超高清显示用铜靶材产业化建设项目，年产超高清显示用铜靶材2000吨</w:t>
            </w:r>
            <w:r>
              <w:rPr>
                <w:rFonts w:hint="eastAsia"/>
                <w:color w:val="auto"/>
                <w:highlight w:val="none"/>
                <w:lang w:eastAsia="zh-CN"/>
              </w:rPr>
              <w:t>，</w:t>
            </w:r>
            <w:r>
              <w:rPr>
                <w:rFonts w:hint="eastAsia"/>
                <w:color w:val="auto"/>
                <w:highlight w:val="none"/>
                <w:lang w:val="en-US" w:eastAsia="zh-CN"/>
              </w:rPr>
              <w:t>该项目于</w:t>
            </w:r>
            <w:r>
              <w:rPr>
                <w:rFonts w:hint="eastAsia"/>
                <w:color w:val="auto"/>
                <w:highlight w:val="none"/>
              </w:rPr>
              <w:t>2020年6月取得了福州市长乐生态环境局的批文（长环评[2020]4</w:t>
            </w:r>
            <w:r>
              <w:rPr>
                <w:rFonts w:hint="eastAsia"/>
                <w:color w:val="auto"/>
                <w:highlight w:val="none"/>
                <w:lang w:val="en-US" w:eastAsia="zh-CN"/>
              </w:rPr>
              <w:t>4</w:t>
            </w:r>
            <w:r>
              <w:rPr>
                <w:rFonts w:hint="eastAsia"/>
                <w:color w:val="auto"/>
                <w:highlight w:val="none"/>
              </w:rPr>
              <w:t>号）</w:t>
            </w:r>
            <w:r>
              <w:rPr>
                <w:rFonts w:hint="eastAsia"/>
                <w:color w:val="auto"/>
                <w:highlight w:val="none"/>
                <w:lang w:eastAsia="zh-CN"/>
              </w:rPr>
              <w:t>，</w:t>
            </w:r>
            <w:r>
              <w:rPr>
                <w:rFonts w:hint="eastAsia"/>
                <w:color w:val="auto"/>
                <w:highlight w:val="none"/>
                <w:lang w:val="en-US" w:eastAsia="zh-CN"/>
              </w:rPr>
              <w:t>2025年6月，</w:t>
            </w:r>
            <w:r>
              <w:rPr>
                <w:rStyle w:val="73"/>
                <w:rFonts w:hint="eastAsia" w:ascii="Calibri" w:hAnsi="Calibri"/>
                <w:color w:val="auto"/>
                <w:kern w:val="0"/>
                <w:szCs w:val="20"/>
                <w:highlight w:val="none"/>
                <w:lang w:val="en-US" w:eastAsia="zh-CN"/>
              </w:rPr>
              <w:t>项目完成阶段性验收（验收产能900吨/年）</w:t>
            </w:r>
            <w:r>
              <w:rPr>
                <w:rFonts w:hint="eastAsia"/>
                <w:color w:val="auto"/>
                <w:highlight w:val="none"/>
              </w:rPr>
              <w:t>。</w:t>
            </w:r>
            <w:r>
              <w:rPr>
                <w:rFonts w:hint="eastAsia"/>
                <w:color w:val="auto"/>
                <w:highlight w:val="none"/>
                <w:lang w:val="en-US" w:eastAsia="zh-CN"/>
              </w:rPr>
              <w:t>2024年，公司拟在三期地块厂房内建设半导体用金属及合金靶材研发及产业化项目、</w:t>
            </w:r>
            <w:r>
              <w:rPr>
                <w:rFonts w:hint="eastAsia"/>
                <w:color w:val="auto"/>
                <w:highlight w:val="none"/>
              </w:rPr>
              <w:t>年产500吨电子材料绿色生产与回收</w:t>
            </w:r>
            <w:r>
              <w:rPr>
                <w:rFonts w:hint="eastAsia"/>
                <w:color w:val="auto"/>
                <w:highlight w:val="none"/>
                <w:lang w:val="en-US" w:eastAsia="zh-CN"/>
              </w:rPr>
              <w:t>项目，</w:t>
            </w:r>
            <w:r>
              <w:rPr>
                <w:rFonts w:hint="eastAsia"/>
                <w:color w:val="auto"/>
                <w:highlight w:val="none"/>
              </w:rPr>
              <w:t>项目</w:t>
            </w:r>
            <w:r>
              <w:rPr>
                <w:rFonts w:hint="eastAsia"/>
                <w:color w:val="auto"/>
                <w:highlight w:val="none"/>
                <w:lang w:val="en-US" w:eastAsia="zh-CN"/>
              </w:rPr>
              <w:t>分别于2024年12月24日以榕长环评[2024]34号、2025年8月6日以榕长环评[2025]25号由福州市长乐生态环境局审批同意，目前，两个项目正在建设中，已完成主体设备安装工作</w:t>
            </w:r>
            <w:r>
              <w:rPr>
                <w:rFonts w:hint="eastAsia"/>
                <w:color w:val="auto"/>
                <w:highlight w:val="none"/>
              </w:rPr>
              <w:t>。</w:t>
            </w:r>
          </w:p>
          <w:p>
            <w:pPr>
              <w:pStyle w:val="72"/>
              <w:ind w:firstLine="480"/>
              <w:rPr>
                <w:rFonts w:hint="eastAsia"/>
                <w:b w:val="0"/>
                <w:bCs w:val="0"/>
                <w:color w:val="auto"/>
                <w:highlight w:val="none"/>
                <w:lang w:val="en-US" w:eastAsia="zh-CN"/>
              </w:rPr>
            </w:pPr>
            <w:r>
              <w:rPr>
                <w:rFonts w:hint="eastAsia"/>
                <w:color w:val="auto"/>
                <w:highlight w:val="none"/>
                <w:lang w:val="en-US" w:eastAsia="zh-CN"/>
              </w:rPr>
              <w:t>建设单位由于公司整体发展的需要，规划近期投资一系列建设项目，现有用地已不能满足规划发展需要，现有厂房均为楼上、楼下布置，不适合大型靶材搬运，因此，公司拟在二厂原有地块北侧新征用地</w:t>
            </w:r>
            <w:r>
              <w:rPr>
                <w:rFonts w:hint="eastAsia" w:ascii="宋体" w:hAnsi="宋体" w:cs="宋体"/>
                <w:color w:val="auto"/>
                <w:highlight w:val="none"/>
              </w:rPr>
              <w:t>22053</w:t>
            </w:r>
            <w:r>
              <w:rPr>
                <w:rFonts w:hint="eastAsia"/>
                <w:color w:val="auto"/>
                <w:highlight w:val="none"/>
              </w:rPr>
              <w:t>m</w:t>
            </w:r>
            <w:r>
              <w:rPr>
                <w:rFonts w:hint="eastAsia"/>
                <w:color w:val="auto"/>
                <w:highlight w:val="none"/>
                <w:vertAlign w:val="superscript"/>
              </w:rPr>
              <w:t>2</w:t>
            </w:r>
            <w:r>
              <w:rPr>
                <w:rFonts w:hint="eastAsia"/>
                <w:color w:val="auto"/>
                <w:highlight w:val="none"/>
                <w:lang w:eastAsia="zh-CN"/>
              </w:rPr>
              <w:t>（</w:t>
            </w:r>
            <w:r>
              <w:rPr>
                <w:rFonts w:hint="eastAsia"/>
                <w:color w:val="auto"/>
                <w:highlight w:val="none"/>
                <w:lang w:val="en-US" w:eastAsia="zh-CN"/>
              </w:rPr>
              <w:t>四期地块）</w:t>
            </w:r>
            <w:r>
              <w:rPr>
                <w:rFonts w:hint="eastAsia"/>
                <w:color w:val="auto"/>
                <w:highlight w:val="none"/>
              </w:rPr>
              <w:t>，</w:t>
            </w:r>
            <w:r>
              <w:rPr>
                <w:rFonts w:hint="eastAsia"/>
                <w:color w:val="auto"/>
                <w:highlight w:val="none"/>
                <w:lang w:val="en-US" w:eastAsia="zh-CN"/>
              </w:rPr>
              <w:t>建设7#A、B、C、D厂房</w:t>
            </w:r>
            <w:r>
              <w:rPr>
                <w:rFonts w:hint="eastAsia"/>
                <w:color w:val="auto"/>
                <w:highlight w:val="none"/>
                <w:lang w:eastAsia="zh-CN"/>
              </w:rPr>
              <w:t>，</w:t>
            </w:r>
            <w:r>
              <w:rPr>
                <w:rFonts w:hint="eastAsia"/>
                <w:color w:val="auto"/>
                <w:highlight w:val="none"/>
                <w:lang w:val="en-US" w:eastAsia="zh-CN"/>
              </w:rPr>
              <w:t>公司将位于二厂二期地块1#楼A车间一层、</w:t>
            </w:r>
            <w:r>
              <w:rPr>
                <w:rFonts w:hint="eastAsia"/>
                <w:b w:val="0"/>
                <w:bCs w:val="0"/>
                <w:color w:val="auto"/>
                <w:highlight w:val="none"/>
                <w:lang w:val="en-US" w:eastAsia="zh-CN"/>
              </w:rPr>
              <w:t>二层的</w:t>
            </w:r>
            <w:r>
              <w:rPr>
                <w:rFonts w:hint="eastAsia"/>
                <w:b w:val="0"/>
                <w:bCs w:val="0"/>
                <w:color w:val="auto"/>
                <w:highlight w:val="none"/>
              </w:rPr>
              <w:t>平板显示溅射靶材建设项目</w:t>
            </w:r>
            <w:r>
              <w:rPr>
                <w:rFonts w:hint="eastAsia"/>
                <w:b w:val="0"/>
                <w:bCs w:val="0"/>
                <w:color w:val="auto"/>
                <w:highlight w:val="none"/>
                <w:lang w:val="en-US" w:eastAsia="zh-CN"/>
              </w:rPr>
              <w:t>铝钼靶材生产线设备搬迁至7#楼A、B厂房，另根据市场行情，新增铝、钼靶材生产规模，同时新增钛、硅、铌、坦等平面靶材生产线，建设高纯金属及合金溅射靶材研发及产业化项目。腾出的厂房作为光掩膜版材料项目、超高纯半导体靶材项目、半导体材料研发等项目建设用地（另行环评）。</w:t>
            </w:r>
          </w:p>
          <w:p>
            <w:pPr>
              <w:pStyle w:val="72"/>
              <w:ind w:firstLine="480"/>
              <w:rPr>
                <w:rFonts w:hint="default" w:eastAsia="宋体"/>
                <w:color w:val="auto"/>
                <w:highlight w:val="none"/>
                <w:lang w:val="en-US" w:eastAsia="zh-CN"/>
              </w:rPr>
            </w:pPr>
            <w:r>
              <w:rPr>
                <w:rFonts w:hint="eastAsia"/>
                <w:b w:val="0"/>
                <w:bCs w:val="0"/>
                <w:color w:val="auto"/>
                <w:highlight w:val="none"/>
                <w:lang w:val="en-US" w:eastAsia="zh-CN"/>
              </w:rPr>
              <w:t>目前，</w:t>
            </w:r>
            <w:r>
              <w:rPr>
                <w:rFonts w:hint="eastAsia"/>
                <w:color w:val="auto"/>
                <w:highlight w:val="none"/>
              </w:rPr>
              <w:t>福建阿石创新材料股份有限公司</w:t>
            </w:r>
            <w:r>
              <w:rPr>
                <w:rFonts w:hint="eastAsia"/>
                <w:b w:val="0"/>
                <w:bCs w:val="0"/>
                <w:color w:val="auto"/>
                <w:highlight w:val="none"/>
                <w:lang w:val="en-US" w:eastAsia="zh-CN"/>
              </w:rPr>
              <w:t>高纯金属及合金溅射靶材研发及产业化项目已于2026年01月13日在福州市长乐区发展和改革局备案</w:t>
            </w:r>
            <w:r>
              <w:rPr>
                <w:rFonts w:hint="eastAsia" w:ascii="宋体" w:hAnsi="宋体" w:cs="宋体"/>
                <w:color w:val="auto"/>
                <w:szCs w:val="21"/>
                <w:highlight w:val="none"/>
                <w:lang w:eastAsia="zh-CN"/>
              </w:rPr>
              <w:t>。</w:t>
            </w:r>
            <w:r>
              <w:rPr>
                <w:rFonts w:hint="eastAsia"/>
                <w:color w:val="auto"/>
                <w:highlight w:val="none"/>
              </w:rPr>
              <w:t>根据《中华人民共和国环境保护法》、《中华人民共和国环境影响评价法》、《建设项目环境保护管理条例》等法律、法规的规定，对照《建设项目环境影响评价分类管理名录（2021年）》项目属于“三十六、计算机、通信和其他电子设备制造业，81</w:t>
            </w:r>
            <w:r>
              <w:rPr>
                <w:rFonts w:hint="eastAsia"/>
                <w:color w:val="auto"/>
                <w:highlight w:val="none"/>
                <w:lang w:eastAsia="zh-CN"/>
              </w:rPr>
              <w:t>电子元件</w:t>
            </w:r>
            <w:r>
              <w:rPr>
                <w:rFonts w:hint="eastAsia"/>
                <w:color w:val="auto"/>
                <w:highlight w:val="none"/>
              </w:rPr>
              <w:t>及电子专用材料制造”。</w:t>
            </w:r>
            <w:r>
              <w:rPr>
                <w:rFonts w:hint="eastAsia"/>
                <w:color w:val="auto"/>
                <w:highlight w:val="none"/>
                <w:lang w:val="en-US" w:eastAsia="zh-CN"/>
              </w:rPr>
              <w:t>项目需编制环境影响报告表。</w:t>
            </w:r>
          </w:p>
          <w:p>
            <w:pPr>
              <w:pStyle w:val="68"/>
              <w:rPr>
                <w:color w:val="auto"/>
                <w:highlight w:val="none"/>
              </w:rPr>
            </w:pPr>
            <w:r>
              <w:rPr>
                <w:rFonts w:hint="eastAsia"/>
                <w:color w:val="auto"/>
                <w:highlight w:val="none"/>
              </w:rPr>
              <w:t>表2.1.1建设项目环境影响评价分类管理名录</w:t>
            </w:r>
          </w:p>
          <w:tbl>
            <w:tblPr>
              <w:tblStyle w:val="29"/>
              <w:tblW w:w="8159"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77"/>
              <w:gridCol w:w="1672"/>
              <w:gridCol w:w="3764"/>
              <w:gridCol w:w="10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89" w:hRule="atLeast"/>
              </w:trPr>
              <w:tc>
                <w:tcPr>
                  <w:tcW w:w="1677" w:type="dxa"/>
                  <w:tcBorders>
                    <w:tl2br w:val="nil"/>
                    <w:tr2bl w:val="nil"/>
                  </w:tcBorders>
                  <w:vAlign w:val="bottom"/>
                </w:tcPr>
                <w:p>
                  <w:pPr>
                    <w:pStyle w:val="70"/>
                    <w:rPr>
                      <w:color w:val="auto"/>
                      <w:highlight w:val="none"/>
                    </w:rPr>
                  </w:pPr>
                  <w:r>
                    <w:rPr>
                      <w:rFonts w:hint="eastAsia"/>
                      <w:color w:val="auto"/>
                      <w:highlight w:val="none"/>
                    </w:rPr>
                    <w:t>环评类别</w:t>
                  </w:r>
                </w:p>
                <w:p>
                  <w:pPr>
                    <w:pStyle w:val="70"/>
                    <w:jc w:val="both"/>
                    <w:rPr>
                      <w:color w:val="auto"/>
                      <w:highlight w:val="none"/>
                    </w:rPr>
                  </w:pPr>
                  <w:r>
                    <w:rPr>
                      <w:rFonts w:hint="eastAsia"/>
                      <w:color w:val="auto"/>
                      <w:highlight w:val="none"/>
                    </w:rPr>
                    <w:t>项目类别</w:t>
                  </w:r>
                </w:p>
              </w:tc>
              <w:tc>
                <w:tcPr>
                  <w:tcW w:w="1672" w:type="dxa"/>
                  <w:tcBorders>
                    <w:tl2br w:val="nil"/>
                    <w:tr2bl w:val="nil"/>
                  </w:tcBorders>
                  <w:vAlign w:val="center"/>
                </w:tcPr>
                <w:p>
                  <w:pPr>
                    <w:pStyle w:val="70"/>
                    <w:spacing w:line="400" w:lineRule="exact"/>
                    <w:rPr>
                      <w:color w:val="auto"/>
                      <w:highlight w:val="none"/>
                    </w:rPr>
                  </w:pPr>
                  <w:r>
                    <w:rPr>
                      <w:rFonts w:hint="eastAsia"/>
                      <w:color w:val="auto"/>
                      <w:highlight w:val="none"/>
                    </w:rPr>
                    <w:t>报告书</w:t>
                  </w:r>
                </w:p>
              </w:tc>
              <w:tc>
                <w:tcPr>
                  <w:tcW w:w="3764" w:type="dxa"/>
                  <w:tcBorders>
                    <w:tl2br w:val="nil"/>
                    <w:tr2bl w:val="nil"/>
                  </w:tcBorders>
                  <w:shd w:val="clear" w:color="auto" w:fill="D7D7D7" w:themeFill="background1" w:themeFillShade="D8"/>
                  <w:vAlign w:val="center"/>
                </w:tcPr>
                <w:p>
                  <w:pPr>
                    <w:pStyle w:val="70"/>
                    <w:spacing w:line="400" w:lineRule="exact"/>
                    <w:rPr>
                      <w:color w:val="auto"/>
                      <w:highlight w:val="none"/>
                    </w:rPr>
                  </w:pPr>
                  <w:r>
                    <w:rPr>
                      <w:rFonts w:hint="eastAsia"/>
                      <w:color w:val="auto"/>
                      <w:highlight w:val="none"/>
                    </w:rPr>
                    <w:t>报告表</w:t>
                  </w:r>
                </w:p>
              </w:tc>
              <w:tc>
                <w:tcPr>
                  <w:tcW w:w="1046" w:type="dxa"/>
                  <w:tcBorders>
                    <w:tl2br w:val="nil"/>
                    <w:tr2bl w:val="nil"/>
                  </w:tcBorders>
                  <w:vAlign w:val="center"/>
                </w:tcPr>
                <w:p>
                  <w:pPr>
                    <w:pStyle w:val="70"/>
                    <w:spacing w:line="400" w:lineRule="exact"/>
                    <w:rPr>
                      <w:color w:val="auto"/>
                      <w:highlight w:val="none"/>
                    </w:rPr>
                  </w:pPr>
                  <w:r>
                    <w:rPr>
                      <w:rFonts w:hint="eastAsia"/>
                      <w:color w:val="auto"/>
                      <w:highlight w:val="none"/>
                    </w:rPr>
                    <w:t>登记表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8159" w:type="dxa"/>
                  <w:gridSpan w:val="4"/>
                  <w:tcBorders>
                    <w:tl2br w:val="nil"/>
                    <w:tr2bl w:val="nil"/>
                  </w:tcBorders>
                  <w:shd w:val="clear" w:color="auto" w:fill="D7D7D7" w:themeFill="background1" w:themeFillShade="D8"/>
                </w:tcPr>
                <w:p>
                  <w:pPr>
                    <w:pStyle w:val="70"/>
                    <w:spacing w:line="400" w:lineRule="exact"/>
                    <w:jc w:val="both"/>
                    <w:rPr>
                      <w:color w:val="auto"/>
                      <w:highlight w:val="none"/>
                    </w:rPr>
                  </w:pPr>
                  <w:r>
                    <w:rPr>
                      <w:rFonts w:hint="eastAsia"/>
                      <w:color w:val="auto"/>
                      <w:highlight w:val="none"/>
                    </w:rPr>
                    <w:t>三十六、计算机、通信和其他电子设备制造业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97" w:hRule="atLeast"/>
              </w:trPr>
              <w:tc>
                <w:tcPr>
                  <w:tcW w:w="1677" w:type="dxa"/>
                  <w:tcBorders>
                    <w:tl2br w:val="nil"/>
                    <w:tr2bl w:val="nil"/>
                  </w:tcBorders>
                  <w:vAlign w:val="center"/>
                </w:tcPr>
                <w:p>
                  <w:pPr>
                    <w:pStyle w:val="70"/>
                    <w:spacing w:line="400" w:lineRule="exact"/>
                    <w:rPr>
                      <w:color w:val="auto"/>
                      <w:highlight w:val="none"/>
                    </w:rPr>
                  </w:pPr>
                  <w:r>
                    <w:rPr>
                      <w:rFonts w:hint="eastAsia"/>
                      <w:color w:val="auto"/>
                      <w:highlight w:val="none"/>
                    </w:rPr>
                    <w:t>81电子元件及电子专用材料制造</w:t>
                  </w:r>
                </w:p>
              </w:tc>
              <w:tc>
                <w:tcPr>
                  <w:tcW w:w="1672" w:type="dxa"/>
                  <w:tcBorders>
                    <w:tl2br w:val="nil"/>
                    <w:tr2bl w:val="nil"/>
                  </w:tcBorders>
                  <w:vAlign w:val="center"/>
                </w:tcPr>
                <w:p>
                  <w:pPr>
                    <w:pStyle w:val="70"/>
                    <w:spacing w:line="400" w:lineRule="exact"/>
                    <w:jc w:val="both"/>
                    <w:rPr>
                      <w:color w:val="auto"/>
                      <w:highlight w:val="none"/>
                    </w:rPr>
                  </w:pPr>
                  <w:r>
                    <w:rPr>
                      <w:rFonts w:hint="eastAsia"/>
                      <w:color w:val="auto"/>
                      <w:highlight w:val="none"/>
                    </w:rPr>
                    <w:t>半导体材料制造：电子化工材料制造</w:t>
                  </w:r>
                </w:p>
              </w:tc>
              <w:tc>
                <w:tcPr>
                  <w:tcW w:w="3764" w:type="dxa"/>
                  <w:tcBorders>
                    <w:tl2br w:val="nil"/>
                    <w:tr2bl w:val="nil"/>
                  </w:tcBorders>
                  <w:shd w:val="clear" w:color="auto" w:fill="D7D7D7" w:themeFill="background1" w:themeFillShade="D8"/>
                  <w:vAlign w:val="center"/>
                </w:tcPr>
                <w:p>
                  <w:pPr>
                    <w:pStyle w:val="70"/>
                    <w:spacing w:line="400" w:lineRule="exact"/>
                    <w:jc w:val="both"/>
                    <w:rPr>
                      <w:color w:val="auto"/>
                      <w:highlight w:val="none"/>
                    </w:rPr>
                  </w:pPr>
                  <w:r>
                    <w:rPr>
                      <w:rFonts w:hint="eastAsia"/>
                      <w:color w:val="auto"/>
                      <w:highlight w:val="none"/>
                    </w:rPr>
                    <w:t>印刷电路板制造；电子专用材料制造（电子化工材料制造除外）；使用有机溶剂的；有酸洗的以上均不含仅分割、焊接、组装的</w:t>
                  </w:r>
                </w:p>
              </w:tc>
              <w:tc>
                <w:tcPr>
                  <w:tcW w:w="1046" w:type="dxa"/>
                  <w:tcBorders>
                    <w:tl2br w:val="nil"/>
                    <w:tr2bl w:val="nil"/>
                  </w:tcBorders>
                  <w:vAlign w:val="center"/>
                </w:tcPr>
                <w:p>
                  <w:pPr>
                    <w:pStyle w:val="70"/>
                    <w:spacing w:line="400" w:lineRule="exact"/>
                    <w:rPr>
                      <w:color w:val="auto"/>
                      <w:highlight w:val="none"/>
                    </w:rPr>
                  </w:pPr>
                  <w:r>
                    <w:rPr>
                      <w:rFonts w:hint="eastAsia"/>
                      <w:color w:val="auto"/>
                      <w:highlight w:val="none"/>
                    </w:rPr>
                    <w:t>/</w:t>
                  </w:r>
                </w:p>
              </w:tc>
            </w:tr>
          </w:tbl>
          <w:p>
            <w:pPr>
              <w:pStyle w:val="72"/>
              <w:ind w:firstLine="480"/>
              <w:rPr>
                <w:rFonts w:hint="eastAsia"/>
                <w:color w:val="auto"/>
                <w:highlight w:val="none"/>
              </w:rPr>
            </w:pPr>
          </w:p>
          <w:p>
            <w:pPr>
              <w:pStyle w:val="72"/>
              <w:ind w:firstLine="480"/>
              <w:rPr>
                <w:color w:val="auto"/>
                <w:highlight w:val="none"/>
              </w:rPr>
            </w:pPr>
            <w:r>
              <w:rPr>
                <w:rFonts w:hint="eastAsia"/>
                <w:color w:val="auto"/>
                <w:highlight w:val="none"/>
              </w:rPr>
              <w:t>福建阿石创新材料股份有限公司于202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12</w:t>
            </w:r>
            <w:r>
              <w:rPr>
                <w:rFonts w:hint="eastAsia"/>
                <w:color w:val="auto"/>
                <w:highlight w:val="none"/>
              </w:rPr>
              <w:t>月委托</w:t>
            </w:r>
            <w:r>
              <w:rPr>
                <w:rFonts w:hint="eastAsia"/>
                <w:color w:val="auto"/>
                <w:highlight w:val="none"/>
                <w:lang w:eastAsia="zh-CN"/>
              </w:rPr>
              <w:t>福州壹澜五蕴环保有限公司</w:t>
            </w:r>
            <w:r>
              <w:rPr>
                <w:rFonts w:hint="eastAsia"/>
                <w:color w:val="auto"/>
                <w:highlight w:val="none"/>
              </w:rPr>
              <w:t>对</w:t>
            </w:r>
            <w:r>
              <w:rPr>
                <w:rFonts w:hint="eastAsia"/>
                <w:color w:val="auto"/>
                <w:highlight w:val="none"/>
                <w:lang w:eastAsia="zh-CN"/>
              </w:rPr>
              <w:t>“</w:t>
            </w:r>
            <w:r>
              <w:rPr>
                <w:rFonts w:hint="eastAsia"/>
                <w:color w:val="auto"/>
                <w:highlight w:val="none"/>
              </w:rPr>
              <w:t>福建阿石创新材料股份有限公司</w:t>
            </w:r>
            <w:r>
              <w:rPr>
                <w:rFonts w:hint="eastAsia"/>
                <w:color w:val="auto"/>
                <w:highlight w:val="none"/>
                <w:lang w:eastAsia="zh-CN"/>
              </w:rPr>
              <w:t>高纯金属及合金溅射靶材研发及产业化项目</w:t>
            </w:r>
            <w:r>
              <w:rPr>
                <w:rFonts w:hint="eastAsia"/>
                <w:color w:val="auto"/>
                <w:highlight w:val="none"/>
              </w:rPr>
              <w:t>”进行环境影响评价（委托书详见附件</w:t>
            </w:r>
            <w:r>
              <w:rPr>
                <w:rFonts w:hint="eastAsia"/>
                <w:color w:val="auto"/>
                <w:highlight w:val="none"/>
                <w:lang w:val="en-US" w:eastAsia="zh-CN"/>
              </w:rPr>
              <w:t>9</w:t>
            </w:r>
            <w:r>
              <w:rPr>
                <w:rFonts w:hint="eastAsia"/>
                <w:color w:val="auto"/>
                <w:highlight w:val="none"/>
              </w:rPr>
              <w:t>）。</w:t>
            </w:r>
            <w:r>
              <w:rPr>
                <w:rFonts w:hint="eastAsia"/>
                <w:color w:val="auto"/>
                <w:highlight w:val="none"/>
                <w:lang w:eastAsia="zh-CN"/>
              </w:rPr>
              <w:t>福州壹澜五蕴环保有限公司</w:t>
            </w:r>
            <w:r>
              <w:rPr>
                <w:rFonts w:hint="eastAsia"/>
                <w:color w:val="auto"/>
                <w:highlight w:val="none"/>
              </w:rPr>
              <w:t>接受委托后即组织人员对工程场址及其周围环境进行了详尽的实地勘查和相关资料的收集、核实与分析工作，在此基础上，按照《建设项目环境影响报告表编制技术指南(污染影响类)》(试行)及相关技术规范要求，编制了本环境影响报告表，供建设单位报</w:t>
            </w:r>
            <w:r>
              <w:rPr>
                <w:rFonts w:hint="eastAsia"/>
                <w:color w:val="auto"/>
                <w:highlight w:val="none"/>
                <w:lang w:val="en-US" w:eastAsia="zh-CN"/>
              </w:rPr>
              <w:t>生态环境</w:t>
            </w:r>
            <w:r>
              <w:rPr>
                <w:rFonts w:hint="eastAsia"/>
                <w:color w:val="auto"/>
                <w:highlight w:val="none"/>
              </w:rPr>
              <w:t>主管部门审批。</w:t>
            </w:r>
          </w:p>
          <w:p>
            <w:pPr>
              <w:pStyle w:val="64"/>
              <w:numPr>
                <w:ilvl w:val="2"/>
                <w:numId w:val="0"/>
              </w:numPr>
              <w:tabs>
                <w:tab w:val="clear" w:pos="2160"/>
              </w:tabs>
              <w:rPr>
                <w:color w:val="auto"/>
                <w:highlight w:val="none"/>
              </w:rPr>
            </w:pPr>
            <w:r>
              <w:rPr>
                <w:rFonts w:hint="eastAsia"/>
                <w:color w:val="auto"/>
                <w:highlight w:val="none"/>
              </w:rPr>
              <w:t>2.2项目工程建设内容</w:t>
            </w:r>
          </w:p>
          <w:p>
            <w:pPr>
              <w:pStyle w:val="66"/>
              <w:numPr>
                <w:ilvl w:val="3"/>
                <w:numId w:val="0"/>
              </w:numPr>
              <w:rPr>
                <w:color w:val="auto"/>
                <w:highlight w:val="none"/>
              </w:rPr>
            </w:pPr>
            <w:r>
              <w:rPr>
                <w:rFonts w:hint="eastAsia"/>
                <w:color w:val="auto"/>
                <w:highlight w:val="none"/>
              </w:rPr>
              <w:t>2.2.1项目基本情况</w:t>
            </w:r>
          </w:p>
          <w:p>
            <w:pPr>
              <w:pStyle w:val="72"/>
              <w:ind w:firstLine="480"/>
              <w:rPr>
                <w:rFonts w:hint="eastAsia" w:eastAsia="宋体"/>
                <w:color w:val="auto"/>
                <w:highlight w:val="none"/>
                <w:lang w:eastAsia="zh-CN"/>
              </w:rPr>
            </w:pPr>
            <w:r>
              <w:rPr>
                <w:rFonts w:hint="eastAsia"/>
                <w:color w:val="auto"/>
                <w:highlight w:val="none"/>
              </w:rPr>
              <w:t>项目名称：</w:t>
            </w:r>
            <w:r>
              <w:rPr>
                <w:rFonts w:hint="eastAsia"/>
                <w:color w:val="auto"/>
                <w:highlight w:val="none"/>
                <w:lang w:eastAsia="zh-CN"/>
              </w:rPr>
              <w:t>高纯金属及合金溅射靶材研发及产业化项目</w:t>
            </w:r>
          </w:p>
          <w:p>
            <w:pPr>
              <w:pStyle w:val="72"/>
              <w:ind w:firstLine="480"/>
              <w:rPr>
                <w:b w:val="0"/>
                <w:bCs w:val="0"/>
                <w:color w:val="auto"/>
                <w:highlight w:val="none"/>
              </w:rPr>
            </w:pPr>
            <w:r>
              <w:rPr>
                <w:rFonts w:hint="eastAsia"/>
                <w:b w:val="0"/>
                <w:bCs w:val="0"/>
                <w:color w:val="auto"/>
                <w:highlight w:val="none"/>
              </w:rPr>
              <w:t>基本情况：</w:t>
            </w:r>
            <w:r>
              <w:rPr>
                <w:rFonts w:hint="eastAsia"/>
                <w:b w:val="0"/>
                <w:bCs w:val="0"/>
                <w:color w:val="auto"/>
                <w:highlight w:val="none"/>
                <w:lang w:val="en-US" w:eastAsia="zh-CN"/>
              </w:rPr>
              <w:t>新征用地</w:t>
            </w:r>
            <w:r>
              <w:rPr>
                <w:rFonts w:hint="eastAsia" w:ascii="宋体" w:hAnsi="宋体" w:cs="宋体"/>
                <w:b w:val="0"/>
                <w:bCs w:val="0"/>
                <w:color w:val="auto"/>
                <w:highlight w:val="none"/>
              </w:rPr>
              <w:t>22053</w:t>
            </w:r>
            <w:r>
              <w:rPr>
                <w:rFonts w:hint="eastAsia"/>
                <w:b w:val="0"/>
                <w:bCs w:val="0"/>
                <w:color w:val="auto"/>
                <w:highlight w:val="none"/>
              </w:rPr>
              <w:t>m</w:t>
            </w:r>
            <w:r>
              <w:rPr>
                <w:rFonts w:hint="eastAsia"/>
                <w:b w:val="0"/>
                <w:bCs w:val="0"/>
                <w:color w:val="auto"/>
                <w:highlight w:val="none"/>
                <w:vertAlign w:val="superscript"/>
              </w:rPr>
              <w:t>2</w:t>
            </w:r>
            <w:r>
              <w:rPr>
                <w:rFonts w:hint="eastAsia"/>
                <w:b w:val="0"/>
                <w:bCs w:val="0"/>
                <w:color w:val="auto"/>
                <w:highlight w:val="none"/>
              </w:rPr>
              <w:t>，</w:t>
            </w:r>
            <w:r>
              <w:rPr>
                <w:rFonts w:hint="eastAsia"/>
                <w:b w:val="0"/>
                <w:bCs w:val="0"/>
                <w:color w:val="auto"/>
                <w:highlight w:val="none"/>
                <w:lang w:val="en-US" w:eastAsia="zh-CN"/>
              </w:rPr>
              <w:t>在该地块内建设7#楼A、B、C、D厂房、化学品仓库及辅助用房等</w:t>
            </w:r>
            <w:r>
              <w:rPr>
                <w:rFonts w:hint="eastAsia"/>
                <w:b w:val="0"/>
                <w:bCs w:val="0"/>
                <w:color w:val="auto"/>
                <w:highlight w:val="none"/>
              </w:rPr>
              <w:t>，</w:t>
            </w:r>
            <w:r>
              <w:rPr>
                <w:rFonts w:hint="eastAsia"/>
                <w:b w:val="0"/>
                <w:bCs w:val="0"/>
                <w:color w:val="auto"/>
                <w:highlight w:val="none"/>
                <w:lang w:val="en-US" w:eastAsia="zh-CN"/>
              </w:rPr>
              <w:t>将原位于1#楼A厂房一、二楼，配套</w:t>
            </w:r>
            <w:r>
              <w:rPr>
                <w:rFonts w:hint="eastAsia"/>
                <w:b w:val="0"/>
                <w:bCs w:val="0"/>
                <w:color w:val="auto"/>
                <w:highlight w:val="none"/>
              </w:rPr>
              <w:t>平</w:t>
            </w:r>
            <w:r>
              <w:rPr>
                <w:rFonts w:hint="eastAsia"/>
                <w:b w:val="0"/>
                <w:bCs w:val="0"/>
                <w:color w:val="auto"/>
                <w:highlight w:val="none"/>
                <w:lang w:val="en-US" w:eastAsia="zh-CN"/>
              </w:rPr>
              <w:t>板</w:t>
            </w:r>
            <w:r>
              <w:rPr>
                <w:rFonts w:hint="eastAsia"/>
                <w:b w:val="0"/>
                <w:bCs w:val="0"/>
                <w:color w:val="auto"/>
                <w:highlight w:val="none"/>
              </w:rPr>
              <w:t>显示溅射靶材建设项目</w:t>
            </w:r>
            <w:r>
              <w:rPr>
                <w:rFonts w:hint="eastAsia"/>
                <w:b w:val="0"/>
                <w:bCs w:val="0"/>
                <w:color w:val="auto"/>
                <w:highlight w:val="none"/>
                <w:lang w:val="en-US" w:eastAsia="zh-CN"/>
              </w:rPr>
              <w:t>铝钼平面溅射靶材设备搬迁至7#A、B厂房，并新增部分设备，实现产能提升</w:t>
            </w:r>
            <w:r>
              <w:rPr>
                <w:rFonts w:hint="eastAsia"/>
                <w:b w:val="0"/>
                <w:bCs w:val="0"/>
                <w:color w:val="auto"/>
                <w:highlight w:val="none"/>
              </w:rPr>
              <w:t>。</w:t>
            </w:r>
          </w:p>
          <w:p>
            <w:pPr>
              <w:pStyle w:val="72"/>
              <w:ind w:firstLine="480"/>
              <w:rPr>
                <w:rFonts w:hint="eastAsia"/>
                <w:color w:val="auto"/>
                <w:highlight w:val="none"/>
                <w:lang w:val="en-US" w:eastAsia="zh-CN"/>
              </w:rPr>
            </w:pPr>
            <w:r>
              <w:rPr>
                <w:rFonts w:hint="eastAsia"/>
                <w:color w:val="auto"/>
                <w:highlight w:val="none"/>
              </w:rPr>
              <w:t>生产规模：年产</w:t>
            </w:r>
            <w:r>
              <w:rPr>
                <w:rFonts w:hint="eastAsia"/>
                <w:color w:val="auto"/>
                <w:highlight w:val="none"/>
                <w:lang w:val="en-US" w:eastAsia="zh-CN"/>
              </w:rPr>
              <w:t>2032吨（36840片）</w:t>
            </w:r>
            <w:r>
              <w:rPr>
                <w:rFonts w:hint="eastAsia"/>
                <w:color w:val="auto"/>
                <w:highlight w:val="none"/>
                <w:lang w:eastAsia="zh-CN"/>
              </w:rPr>
              <w:t>高纯金属及合金溅射靶材，</w:t>
            </w:r>
            <w:r>
              <w:rPr>
                <w:rFonts w:hint="eastAsia"/>
                <w:color w:val="auto"/>
                <w:highlight w:val="none"/>
                <w:lang w:val="en-US" w:eastAsia="zh-CN"/>
              </w:rPr>
              <w:t>其中迁移平面显示铝、钼靶材生产线，并扩大规模，最终实现年产500吨（7200片</w:t>
            </w:r>
            <w:r>
              <w:rPr>
                <w:rFonts w:hint="eastAsia"/>
                <w:color w:val="auto"/>
                <w:highlight w:val="none"/>
                <w:lang w:eastAsia="zh-CN"/>
              </w:rPr>
              <w:t>）</w:t>
            </w:r>
            <w:r>
              <w:rPr>
                <w:rFonts w:hint="eastAsia"/>
                <w:color w:val="auto"/>
                <w:highlight w:val="none"/>
                <w:lang w:val="en-US" w:eastAsia="zh-CN"/>
              </w:rPr>
              <w:t>平面显示铝</w:t>
            </w:r>
            <w:r>
              <w:rPr>
                <w:rFonts w:hint="eastAsia"/>
                <w:color w:val="auto"/>
                <w:highlight w:val="none"/>
              </w:rPr>
              <w:t>靶材、</w:t>
            </w:r>
            <w:r>
              <w:rPr>
                <w:rFonts w:hint="eastAsia"/>
                <w:color w:val="auto"/>
                <w:highlight w:val="none"/>
                <w:lang w:val="en-US" w:eastAsia="zh-CN"/>
              </w:rPr>
              <w:t>950吨（6000片</w:t>
            </w:r>
            <w:r>
              <w:rPr>
                <w:rFonts w:hint="eastAsia"/>
                <w:color w:val="auto"/>
                <w:highlight w:val="none"/>
                <w:lang w:eastAsia="zh-CN"/>
              </w:rPr>
              <w:t>）</w:t>
            </w:r>
            <w:r>
              <w:rPr>
                <w:rFonts w:hint="eastAsia"/>
                <w:color w:val="auto"/>
                <w:highlight w:val="none"/>
                <w:lang w:val="en-US" w:eastAsia="zh-CN"/>
              </w:rPr>
              <w:t>平面显示钼靶材</w:t>
            </w:r>
            <w:r>
              <w:rPr>
                <w:rFonts w:hint="eastAsia"/>
                <w:color w:val="auto"/>
                <w:lang w:eastAsia="zh-CN"/>
              </w:rPr>
              <w:t>，</w:t>
            </w:r>
            <w:r>
              <w:rPr>
                <w:rFonts w:hint="eastAsia"/>
                <w:color w:val="auto"/>
                <w:lang w:val="en-US" w:eastAsia="zh-CN"/>
              </w:rPr>
              <w:t>新增平面显示铜、钛、硅、铌、钽等生产线，年产</w:t>
            </w:r>
            <w:r>
              <w:rPr>
                <w:rFonts w:hint="eastAsia"/>
                <w:color w:val="auto"/>
                <w:highlight w:val="none"/>
                <w:lang w:val="en-US" w:eastAsia="zh-CN"/>
              </w:rPr>
              <w:t>350吨（2400片</w:t>
            </w:r>
            <w:r>
              <w:rPr>
                <w:rFonts w:hint="eastAsia"/>
                <w:color w:val="auto"/>
                <w:highlight w:val="none"/>
                <w:lang w:eastAsia="zh-CN"/>
              </w:rPr>
              <w:t>）</w:t>
            </w:r>
            <w:r>
              <w:rPr>
                <w:rFonts w:hint="eastAsia"/>
                <w:color w:val="auto"/>
                <w:highlight w:val="none"/>
                <w:lang w:val="en-US" w:eastAsia="zh-CN"/>
              </w:rPr>
              <w:t>平面显示铜靶材、200吨（720片</w:t>
            </w:r>
            <w:r>
              <w:rPr>
                <w:rFonts w:hint="eastAsia"/>
                <w:color w:val="auto"/>
                <w:highlight w:val="none"/>
                <w:lang w:eastAsia="zh-CN"/>
              </w:rPr>
              <w:t>）</w:t>
            </w:r>
            <w:r>
              <w:rPr>
                <w:rFonts w:hint="eastAsia"/>
                <w:color w:val="auto"/>
                <w:highlight w:val="none"/>
                <w:lang w:val="en-US" w:eastAsia="zh-CN"/>
              </w:rPr>
              <w:t>平面显示钛靶材、平面硅靶材20吨（18000片</w:t>
            </w:r>
            <w:r>
              <w:rPr>
                <w:rFonts w:hint="eastAsia"/>
                <w:color w:val="auto"/>
                <w:highlight w:val="none"/>
                <w:lang w:eastAsia="zh-CN"/>
              </w:rPr>
              <w:t>）、</w:t>
            </w:r>
            <w:r>
              <w:rPr>
                <w:rFonts w:hint="eastAsia"/>
                <w:color w:val="auto"/>
                <w:highlight w:val="none"/>
                <w:lang w:val="en-US" w:eastAsia="zh-CN"/>
              </w:rPr>
              <w:t>平面铌靶材10吨（2400片</w:t>
            </w:r>
            <w:r>
              <w:rPr>
                <w:rFonts w:hint="eastAsia"/>
                <w:color w:val="auto"/>
                <w:highlight w:val="none"/>
                <w:lang w:eastAsia="zh-CN"/>
              </w:rPr>
              <w:t>）</w:t>
            </w:r>
            <w:r>
              <w:rPr>
                <w:rFonts w:hint="eastAsia"/>
                <w:color w:val="auto"/>
                <w:highlight w:val="none"/>
                <w:lang w:val="en-US" w:eastAsia="zh-CN"/>
              </w:rPr>
              <w:t>、平面钽靶材2吨（120片</w:t>
            </w:r>
            <w:r>
              <w:rPr>
                <w:rFonts w:hint="eastAsia"/>
                <w:color w:val="auto"/>
                <w:highlight w:val="none"/>
                <w:lang w:eastAsia="zh-CN"/>
              </w:rPr>
              <w:t>）</w:t>
            </w:r>
            <w:r>
              <w:rPr>
                <w:rFonts w:hint="eastAsia"/>
                <w:color w:val="auto"/>
                <w:highlight w:val="none"/>
                <w:lang w:val="en-US" w:eastAsia="zh-CN"/>
              </w:rPr>
              <w:t>。</w:t>
            </w:r>
          </w:p>
          <w:p>
            <w:pPr>
              <w:pStyle w:val="72"/>
              <w:ind w:firstLine="480"/>
              <w:rPr>
                <w:color w:val="auto"/>
                <w:highlight w:val="none"/>
              </w:rPr>
            </w:pPr>
            <w:r>
              <w:rPr>
                <w:rFonts w:hint="eastAsia"/>
                <w:color w:val="auto"/>
                <w:highlight w:val="none"/>
              </w:rPr>
              <w:t>项目总投资：</w:t>
            </w:r>
            <w:r>
              <w:rPr>
                <w:rFonts w:hint="eastAsia"/>
                <w:color w:val="auto"/>
                <w:highlight w:val="none"/>
                <w:lang w:val="en-US" w:eastAsia="zh-CN"/>
              </w:rPr>
              <w:t>1660</w:t>
            </w:r>
            <w:r>
              <w:rPr>
                <w:rFonts w:hint="eastAsia"/>
                <w:color w:val="auto"/>
                <w:highlight w:val="none"/>
              </w:rPr>
              <w:t>0万元</w:t>
            </w:r>
          </w:p>
          <w:p>
            <w:pPr>
              <w:pStyle w:val="72"/>
              <w:ind w:firstLine="480"/>
              <w:rPr>
                <w:color w:val="auto"/>
                <w:highlight w:val="none"/>
              </w:rPr>
            </w:pPr>
            <w:r>
              <w:rPr>
                <w:rFonts w:hint="eastAsia"/>
                <w:color w:val="auto"/>
                <w:highlight w:val="none"/>
              </w:rPr>
              <w:t>建设地点：福建省福州市长乐区漳港街道</w:t>
            </w:r>
            <w:r>
              <w:rPr>
                <w:rFonts w:hint="eastAsia"/>
                <w:color w:val="auto"/>
                <w:highlight w:val="none"/>
                <w:lang w:eastAsia="zh-CN"/>
              </w:rPr>
              <w:t>漳</w:t>
            </w:r>
            <w:r>
              <w:rPr>
                <w:rFonts w:hint="eastAsia"/>
                <w:color w:val="auto"/>
                <w:highlight w:val="none"/>
              </w:rPr>
              <w:t>湖路66号</w:t>
            </w:r>
          </w:p>
          <w:p>
            <w:pPr>
              <w:pStyle w:val="72"/>
              <w:ind w:firstLine="480"/>
              <w:rPr>
                <w:rFonts w:hint="eastAsia"/>
                <w:color w:val="auto"/>
                <w:highlight w:val="none"/>
              </w:rPr>
            </w:pPr>
            <w:r>
              <w:rPr>
                <w:rFonts w:hint="eastAsia"/>
                <w:color w:val="auto"/>
                <w:highlight w:val="none"/>
              </w:rPr>
              <w:t>职工人数及工作制度：</w:t>
            </w:r>
            <w:r>
              <w:rPr>
                <w:rFonts w:hint="eastAsia"/>
                <w:color w:val="auto"/>
                <w:highlight w:val="none"/>
                <w:lang w:val="en-US" w:eastAsia="zh-CN"/>
              </w:rPr>
              <w:t>职工定员103</w:t>
            </w:r>
            <w:r>
              <w:rPr>
                <w:rFonts w:hint="eastAsia"/>
                <w:color w:val="auto"/>
                <w:highlight w:val="none"/>
              </w:rPr>
              <w:t>人，</w:t>
            </w:r>
            <w:r>
              <w:rPr>
                <w:color w:val="auto"/>
                <w:highlight w:val="none"/>
              </w:rPr>
              <w:t>年工作日300天，每天生产8小时</w:t>
            </w:r>
            <w:r>
              <w:rPr>
                <w:rFonts w:hint="eastAsia"/>
                <w:color w:val="auto"/>
                <w:highlight w:val="none"/>
                <w:lang w:eastAsia="zh-CN"/>
              </w:rPr>
              <w:t>（</w:t>
            </w:r>
            <w:r>
              <w:rPr>
                <w:rFonts w:hint="eastAsia"/>
                <w:color w:val="auto"/>
                <w:highlight w:val="none"/>
                <w:lang w:val="en-US" w:eastAsia="zh-CN"/>
              </w:rPr>
              <w:t>白班生产</w:t>
            </w:r>
            <w:r>
              <w:rPr>
                <w:rFonts w:hint="eastAsia"/>
                <w:color w:val="auto"/>
                <w:highlight w:val="none"/>
                <w:lang w:eastAsia="zh-CN"/>
              </w:rPr>
              <w:t>）</w:t>
            </w:r>
            <w:r>
              <w:rPr>
                <w:color w:val="auto"/>
                <w:highlight w:val="none"/>
              </w:rPr>
              <w:t>，</w:t>
            </w:r>
            <w:r>
              <w:rPr>
                <w:rFonts w:hint="eastAsia"/>
                <w:color w:val="auto"/>
                <w:highlight w:val="none"/>
                <w:lang w:val="en-US" w:eastAsia="zh-CN"/>
              </w:rPr>
              <w:t>约60人住厂</w:t>
            </w:r>
            <w:r>
              <w:rPr>
                <w:rFonts w:hint="eastAsia"/>
                <w:color w:val="auto"/>
                <w:highlight w:val="none"/>
              </w:rPr>
              <w:t>。</w:t>
            </w:r>
          </w:p>
          <w:p>
            <w:pPr>
              <w:pStyle w:val="66"/>
              <w:numPr>
                <w:ilvl w:val="3"/>
                <w:numId w:val="0"/>
              </w:numPr>
              <w:rPr>
                <w:color w:val="auto"/>
                <w:highlight w:val="none"/>
              </w:rPr>
            </w:pPr>
            <w:r>
              <w:rPr>
                <w:rFonts w:hint="eastAsia"/>
                <w:color w:val="auto"/>
                <w:highlight w:val="none"/>
              </w:rPr>
              <w:t>2.2.</w:t>
            </w:r>
            <w:r>
              <w:rPr>
                <w:rFonts w:hint="eastAsia"/>
                <w:color w:val="auto"/>
                <w:highlight w:val="none"/>
                <w:lang w:val="en-US" w:eastAsia="zh-CN"/>
              </w:rPr>
              <w:t>2</w:t>
            </w:r>
            <w:r>
              <w:rPr>
                <w:rFonts w:hint="eastAsia"/>
                <w:color w:val="auto"/>
                <w:highlight w:val="none"/>
              </w:rPr>
              <w:t>产品方案</w:t>
            </w:r>
          </w:p>
          <w:p>
            <w:pPr>
              <w:pStyle w:val="68"/>
              <w:rPr>
                <w:color w:val="auto"/>
                <w:highlight w:val="none"/>
              </w:rPr>
            </w:pPr>
            <w:r>
              <w:rPr>
                <w:rFonts w:hint="eastAsia"/>
                <w:color w:val="auto"/>
                <w:highlight w:val="none"/>
              </w:rPr>
              <w:t>表2.2.2项目产品方案</w:t>
            </w:r>
          </w:p>
          <w:tbl>
            <w:tblPr>
              <w:tblStyle w:val="2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1260"/>
              <w:gridCol w:w="1143"/>
              <w:gridCol w:w="1385"/>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7" w:type="dxa"/>
                  <w:vAlign w:val="center"/>
                </w:tcPr>
                <w:p>
                  <w:pPr>
                    <w:pStyle w:val="70"/>
                    <w:spacing w:line="400" w:lineRule="exact"/>
                    <w:rPr>
                      <w:color w:val="auto"/>
                      <w:highlight w:val="none"/>
                    </w:rPr>
                  </w:pPr>
                  <w:r>
                    <w:rPr>
                      <w:rFonts w:hint="eastAsia"/>
                      <w:color w:val="auto"/>
                      <w:highlight w:val="none"/>
                    </w:rPr>
                    <w:t>产品名称</w:t>
                  </w:r>
                </w:p>
              </w:tc>
              <w:tc>
                <w:tcPr>
                  <w:tcW w:w="1260" w:type="dxa"/>
                  <w:vAlign w:val="center"/>
                </w:tcPr>
                <w:p>
                  <w:pPr>
                    <w:pStyle w:val="70"/>
                    <w:spacing w:line="400" w:lineRule="exact"/>
                    <w:rPr>
                      <w:rFonts w:hint="eastAsia" w:eastAsia="宋体"/>
                      <w:color w:val="auto"/>
                      <w:highlight w:val="none"/>
                      <w:lang w:eastAsia="zh-CN"/>
                    </w:rPr>
                  </w:pPr>
                  <w:r>
                    <w:rPr>
                      <w:rFonts w:hint="eastAsia"/>
                      <w:color w:val="auto"/>
                      <w:highlight w:val="none"/>
                    </w:rPr>
                    <w:t>数量</w:t>
                  </w:r>
                  <w:r>
                    <w:rPr>
                      <w:rFonts w:hint="eastAsia"/>
                      <w:color w:val="auto"/>
                      <w:highlight w:val="none"/>
                      <w:lang w:eastAsia="zh-CN"/>
                    </w:rPr>
                    <w:t>（</w:t>
                  </w:r>
                  <w:r>
                    <w:rPr>
                      <w:rFonts w:hint="eastAsia"/>
                      <w:color w:val="auto"/>
                      <w:highlight w:val="none"/>
                      <w:lang w:val="en-US" w:eastAsia="zh-CN"/>
                    </w:rPr>
                    <w:t>片/a</w:t>
                  </w:r>
                  <w:r>
                    <w:rPr>
                      <w:rFonts w:hint="eastAsia"/>
                      <w:color w:val="auto"/>
                      <w:highlight w:val="none"/>
                      <w:lang w:eastAsia="zh-CN"/>
                    </w:rPr>
                    <w:t>）</w:t>
                  </w:r>
                </w:p>
              </w:tc>
              <w:tc>
                <w:tcPr>
                  <w:tcW w:w="1143" w:type="dxa"/>
                  <w:shd w:val="clear" w:color="auto" w:fill="auto"/>
                  <w:vAlign w:val="center"/>
                </w:tcPr>
                <w:p>
                  <w:pPr>
                    <w:pStyle w:val="70"/>
                    <w:spacing w:line="400" w:lineRule="exact"/>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总重量</w:t>
                  </w:r>
                  <w:r>
                    <w:rPr>
                      <w:rFonts w:hint="eastAsia"/>
                      <w:color w:val="auto"/>
                      <w:highlight w:val="none"/>
                      <w:lang w:val="en-US" w:eastAsia="zh-CN"/>
                    </w:rPr>
                    <w:t>t/a</w:t>
                  </w:r>
                </w:p>
              </w:tc>
              <w:tc>
                <w:tcPr>
                  <w:tcW w:w="1385" w:type="dxa"/>
                  <w:vAlign w:val="center"/>
                </w:tcPr>
                <w:p>
                  <w:pPr>
                    <w:pStyle w:val="70"/>
                    <w:spacing w:line="400" w:lineRule="exact"/>
                    <w:rPr>
                      <w:rFonts w:hint="eastAsia"/>
                      <w:color w:val="auto"/>
                      <w:highlight w:val="none"/>
                    </w:rPr>
                  </w:pPr>
                  <w:r>
                    <w:rPr>
                      <w:rFonts w:hint="eastAsia"/>
                      <w:color w:val="auto"/>
                      <w:highlight w:val="none"/>
                    </w:rPr>
                    <w:t>材料规格</w:t>
                  </w:r>
                </w:p>
              </w:tc>
              <w:tc>
                <w:tcPr>
                  <w:tcW w:w="2872" w:type="dxa"/>
                  <w:vAlign w:val="center"/>
                </w:tcPr>
                <w:p>
                  <w:pPr>
                    <w:pStyle w:val="70"/>
                    <w:spacing w:line="400" w:lineRule="exact"/>
                    <w:rPr>
                      <w:rFonts w:hint="default" w:eastAsia="宋体"/>
                      <w:color w:val="auto"/>
                      <w:highlight w:val="none"/>
                      <w:lang w:val="en-US" w:eastAsia="zh-CN"/>
                    </w:rPr>
                  </w:pPr>
                  <w:r>
                    <w:rPr>
                      <w:rFonts w:hint="eastAsia"/>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7" w:type="dxa"/>
                  <w:vAlign w:val="center"/>
                </w:tcPr>
                <w:p>
                  <w:pPr>
                    <w:pStyle w:val="70"/>
                    <w:spacing w:line="400" w:lineRule="exact"/>
                    <w:rPr>
                      <w:rFonts w:hint="eastAsia"/>
                      <w:color w:val="auto"/>
                      <w:highlight w:val="none"/>
                    </w:rPr>
                  </w:pPr>
                  <w:r>
                    <w:rPr>
                      <w:rFonts w:hint="eastAsia"/>
                      <w:color w:val="auto"/>
                      <w:highlight w:val="none"/>
                      <w:lang w:val="en-US" w:eastAsia="zh-CN"/>
                    </w:rPr>
                    <w:t>显示铝靶材</w:t>
                  </w:r>
                </w:p>
              </w:tc>
              <w:tc>
                <w:tcPr>
                  <w:tcW w:w="1260" w:type="dxa"/>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2"/>
                      <w:szCs w:val="22"/>
                      <w:highlight w:val="none"/>
                      <w:u w:val="none"/>
                      <w:lang w:val="en-US" w:eastAsia="zh-CN" w:bidi="ar"/>
                    </w:rPr>
                    <w:t>7200</w:t>
                  </w:r>
                </w:p>
              </w:tc>
              <w:tc>
                <w:tcPr>
                  <w:tcW w:w="1143" w:type="dxa"/>
                  <w:vAlign w:val="center"/>
                </w:tcPr>
                <w:p>
                  <w:pPr>
                    <w:pStyle w:val="70"/>
                    <w:spacing w:line="400" w:lineRule="exact"/>
                    <w:rPr>
                      <w:rFonts w:hint="default"/>
                      <w:color w:val="auto"/>
                      <w:highlight w:val="none"/>
                      <w:lang w:val="en-US"/>
                    </w:rPr>
                  </w:pPr>
                  <w:r>
                    <w:rPr>
                      <w:rFonts w:hint="eastAsia"/>
                      <w:color w:val="auto"/>
                      <w:highlight w:val="none"/>
                      <w:lang w:val="en-US" w:eastAsia="zh-CN"/>
                    </w:rPr>
                    <w:t>500</w:t>
                  </w:r>
                </w:p>
              </w:tc>
              <w:tc>
                <w:tcPr>
                  <w:tcW w:w="1385" w:type="dxa"/>
                  <w:vMerge w:val="restart"/>
                  <w:vAlign w:val="center"/>
                </w:tcPr>
                <w:p>
                  <w:pPr>
                    <w:keepNext w:val="0"/>
                    <w:keepLines w:val="0"/>
                    <w:widowControl/>
                    <w:suppressLineNumbers w:val="0"/>
                    <w:jc w:val="left"/>
                    <w:rPr>
                      <w:color w:val="auto"/>
                      <w:highlight w:val="none"/>
                    </w:rPr>
                  </w:pPr>
                  <w:r>
                    <w:rPr>
                      <w:rFonts w:hint="eastAsia" w:ascii="宋体" w:hAnsi="宋体" w:cs="宋体"/>
                      <w:color w:val="auto"/>
                      <w:kern w:val="0"/>
                      <w:sz w:val="20"/>
                      <w:szCs w:val="20"/>
                      <w:highlight w:val="none"/>
                      <w:lang w:val="en-US" w:eastAsia="zh-CN" w:bidi="ar"/>
                    </w:rPr>
                    <w:t>最大宽度</w:t>
                  </w:r>
                  <w:r>
                    <w:rPr>
                      <w:rFonts w:hint="eastAsia" w:ascii="Times New Roman" w:hAnsi="Times New Roman" w:cs="Times New Roman"/>
                      <w:color w:val="auto"/>
                      <w:kern w:val="0"/>
                      <w:sz w:val="20"/>
                      <w:szCs w:val="20"/>
                      <w:highlight w:val="none"/>
                      <w:lang w:val="en-US" w:eastAsia="zh-CN" w:bidi="ar"/>
                    </w:rPr>
                    <w:t>20</w:t>
                  </w:r>
                  <w:r>
                    <w:rPr>
                      <w:rFonts w:hint="default" w:ascii="Times New Roman" w:hAnsi="Times New Roman" w:eastAsia="宋体" w:cs="Times New Roman"/>
                      <w:color w:val="auto"/>
                      <w:kern w:val="0"/>
                      <w:sz w:val="20"/>
                      <w:szCs w:val="20"/>
                      <w:highlight w:val="none"/>
                      <w:lang w:val="en-US" w:eastAsia="zh-CN" w:bidi="ar"/>
                    </w:rPr>
                    <w:t>00mm</w:t>
                  </w:r>
                </w:p>
                <w:p>
                  <w:pPr>
                    <w:keepNext w:val="0"/>
                    <w:keepLines w:val="0"/>
                    <w:widowControl/>
                    <w:suppressLineNumbers w:val="0"/>
                    <w:jc w:val="left"/>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最大长度</w:t>
                  </w:r>
                  <w:r>
                    <w:rPr>
                      <w:rFonts w:hint="eastAsia" w:ascii="Times New Roman" w:hAnsi="Times New Roman" w:cs="Times New Roman"/>
                      <w:color w:val="auto"/>
                      <w:kern w:val="0"/>
                      <w:sz w:val="20"/>
                      <w:szCs w:val="20"/>
                      <w:highlight w:val="none"/>
                      <w:lang w:val="en-US" w:eastAsia="zh-CN" w:bidi="ar"/>
                    </w:rPr>
                    <w:t>4000</w:t>
                  </w:r>
                  <w:r>
                    <w:rPr>
                      <w:rFonts w:hint="default" w:ascii="Times New Roman" w:hAnsi="Times New Roman" w:eastAsia="宋体" w:cs="Times New Roman"/>
                      <w:color w:val="auto"/>
                      <w:kern w:val="0"/>
                      <w:sz w:val="20"/>
                      <w:szCs w:val="20"/>
                      <w:highlight w:val="none"/>
                      <w:lang w:val="en-US" w:eastAsia="zh-CN" w:bidi="ar"/>
                    </w:rPr>
                    <w:t>mm</w:t>
                  </w:r>
                </w:p>
                <w:p>
                  <w:pPr>
                    <w:keepNext w:val="0"/>
                    <w:keepLines w:val="0"/>
                    <w:widowControl/>
                    <w:suppressLineNumbers w:val="0"/>
                    <w:jc w:val="left"/>
                    <w:rPr>
                      <w:color w:val="auto"/>
                      <w:highlight w:val="none"/>
                    </w:rPr>
                  </w:pPr>
                </w:p>
              </w:tc>
              <w:tc>
                <w:tcPr>
                  <w:tcW w:w="2872" w:type="dxa"/>
                  <w:vAlign w:val="center"/>
                </w:tcPr>
                <w:p>
                  <w:pPr>
                    <w:pStyle w:val="70"/>
                    <w:spacing w:line="400" w:lineRule="exact"/>
                    <w:rPr>
                      <w:rFonts w:hint="default" w:eastAsia="宋体"/>
                      <w:color w:val="auto"/>
                      <w:highlight w:val="none"/>
                      <w:lang w:val="en-US" w:eastAsia="zh-CN"/>
                    </w:rPr>
                  </w:pPr>
                  <w:r>
                    <w:rPr>
                      <w:rFonts w:hint="eastAsia"/>
                      <w:color w:val="auto"/>
                      <w:highlight w:val="none"/>
                      <w:lang w:val="en-US" w:eastAsia="zh-CN"/>
                    </w:rPr>
                    <w:t>生产规模较迁移前增加150t/a，新增熔铸工序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pStyle w:val="70"/>
                    <w:spacing w:line="400" w:lineRule="exact"/>
                    <w:rPr>
                      <w:rFonts w:hint="eastAsia"/>
                      <w:color w:val="auto"/>
                      <w:highlight w:val="none"/>
                    </w:rPr>
                  </w:pPr>
                  <w:r>
                    <w:rPr>
                      <w:rFonts w:hint="eastAsia"/>
                      <w:color w:val="auto"/>
                      <w:highlight w:val="none"/>
                      <w:lang w:val="en-US" w:eastAsia="zh-CN"/>
                    </w:rPr>
                    <w:t>显示钼靶材</w:t>
                  </w:r>
                </w:p>
              </w:tc>
              <w:tc>
                <w:tcPr>
                  <w:tcW w:w="1260" w:type="dxa"/>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2"/>
                      <w:szCs w:val="22"/>
                      <w:highlight w:val="none"/>
                      <w:u w:val="none"/>
                      <w:lang w:val="en-US" w:eastAsia="zh-CN" w:bidi="ar"/>
                    </w:rPr>
                    <w:t>6000</w:t>
                  </w:r>
                </w:p>
              </w:tc>
              <w:tc>
                <w:tcPr>
                  <w:tcW w:w="1143" w:type="dxa"/>
                  <w:vAlign w:val="center"/>
                </w:tcPr>
                <w:p>
                  <w:pPr>
                    <w:pStyle w:val="70"/>
                    <w:spacing w:line="400" w:lineRule="exact"/>
                    <w:rPr>
                      <w:rFonts w:hint="default" w:eastAsia="宋体"/>
                      <w:color w:val="auto"/>
                      <w:highlight w:val="none"/>
                      <w:lang w:val="en-US" w:eastAsia="zh-CN"/>
                    </w:rPr>
                  </w:pPr>
                  <w:r>
                    <w:rPr>
                      <w:rFonts w:hint="eastAsia"/>
                      <w:color w:val="auto"/>
                      <w:highlight w:val="none"/>
                      <w:lang w:val="en-US" w:eastAsia="zh-CN"/>
                    </w:rPr>
                    <w:t>950</w:t>
                  </w:r>
                </w:p>
              </w:tc>
              <w:tc>
                <w:tcPr>
                  <w:tcW w:w="1385" w:type="dxa"/>
                  <w:vMerge w:val="continue"/>
                  <w:vAlign w:val="center"/>
                </w:tcPr>
                <w:p>
                  <w:pPr>
                    <w:keepNext w:val="0"/>
                    <w:keepLines w:val="0"/>
                    <w:widowControl/>
                    <w:suppressLineNumbers w:val="0"/>
                    <w:jc w:val="left"/>
                    <w:rPr>
                      <w:color w:val="auto"/>
                      <w:highlight w:val="none"/>
                    </w:rPr>
                  </w:pPr>
                </w:p>
              </w:tc>
              <w:tc>
                <w:tcPr>
                  <w:tcW w:w="2872" w:type="dxa"/>
                  <w:vAlign w:val="center"/>
                </w:tcPr>
                <w:p>
                  <w:pPr>
                    <w:pStyle w:val="70"/>
                    <w:spacing w:line="400" w:lineRule="exact"/>
                    <w:rPr>
                      <w:rFonts w:hint="default" w:eastAsia="宋体"/>
                      <w:color w:val="auto"/>
                      <w:highlight w:val="none"/>
                      <w:lang w:val="en-US" w:eastAsia="zh-CN"/>
                    </w:rPr>
                  </w:pPr>
                  <w:r>
                    <w:rPr>
                      <w:rFonts w:hint="eastAsia"/>
                      <w:color w:val="auto"/>
                      <w:highlight w:val="none"/>
                      <w:lang w:val="en-US" w:eastAsia="zh-CN"/>
                    </w:rPr>
                    <w:t>迁移，生产规模较迁移前增加150t/a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pStyle w:val="70"/>
                    <w:spacing w:line="400" w:lineRule="exact"/>
                    <w:rPr>
                      <w:rFonts w:hint="eastAsia"/>
                      <w:color w:val="auto"/>
                      <w:highlight w:val="none"/>
                    </w:rPr>
                  </w:pPr>
                  <w:r>
                    <w:rPr>
                      <w:rFonts w:hint="eastAsia"/>
                      <w:color w:val="auto"/>
                      <w:highlight w:val="none"/>
                      <w:lang w:val="en-US" w:eastAsia="zh-CN"/>
                    </w:rPr>
                    <w:t>显示铜靶材</w:t>
                  </w:r>
                </w:p>
              </w:tc>
              <w:tc>
                <w:tcPr>
                  <w:tcW w:w="1260" w:type="dxa"/>
                  <w:vAlign w:val="center"/>
                </w:tcPr>
                <w:p>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iCs w:val="0"/>
                      <w:color w:val="auto"/>
                      <w:kern w:val="0"/>
                      <w:sz w:val="22"/>
                      <w:szCs w:val="22"/>
                      <w:highlight w:val="none"/>
                      <w:u w:val="none"/>
                      <w:lang w:val="en-US" w:eastAsia="zh-CN" w:bidi="ar"/>
                    </w:rPr>
                    <w:t>2400</w:t>
                  </w:r>
                </w:p>
              </w:tc>
              <w:tc>
                <w:tcPr>
                  <w:tcW w:w="1143" w:type="dxa"/>
                  <w:vAlign w:val="center"/>
                </w:tcPr>
                <w:p>
                  <w:pPr>
                    <w:pStyle w:val="70"/>
                    <w:spacing w:line="400" w:lineRule="exact"/>
                    <w:rPr>
                      <w:rFonts w:hint="default" w:eastAsia="宋体"/>
                      <w:color w:val="auto"/>
                      <w:highlight w:val="none"/>
                      <w:lang w:val="en-US" w:eastAsia="zh-CN"/>
                    </w:rPr>
                  </w:pPr>
                  <w:r>
                    <w:rPr>
                      <w:rFonts w:hint="eastAsia"/>
                      <w:color w:val="auto"/>
                      <w:highlight w:val="none"/>
                      <w:lang w:val="en-US" w:eastAsia="zh-CN"/>
                    </w:rPr>
                    <w:t>350</w:t>
                  </w:r>
                </w:p>
              </w:tc>
              <w:tc>
                <w:tcPr>
                  <w:tcW w:w="1385" w:type="dxa"/>
                  <w:vMerge w:val="continue"/>
                  <w:vAlign w:val="center"/>
                </w:tcPr>
                <w:p>
                  <w:pPr>
                    <w:keepNext w:val="0"/>
                    <w:keepLines w:val="0"/>
                    <w:widowControl/>
                    <w:suppressLineNumbers w:val="0"/>
                    <w:jc w:val="left"/>
                    <w:textAlignment w:val="center"/>
                    <w:rPr>
                      <w:rFonts w:hint="default" w:eastAsia="宋体"/>
                      <w:color w:val="auto"/>
                      <w:highlight w:val="none"/>
                      <w:lang w:val="en-US" w:eastAsia="zh-CN"/>
                    </w:rPr>
                  </w:pPr>
                </w:p>
              </w:tc>
              <w:tc>
                <w:tcPr>
                  <w:tcW w:w="2872" w:type="dxa"/>
                  <w:vAlign w:val="center"/>
                </w:tcPr>
                <w:p>
                  <w:pPr>
                    <w:pStyle w:val="70"/>
                    <w:spacing w:line="400" w:lineRule="exact"/>
                    <w:rPr>
                      <w:rFonts w:hint="default"/>
                      <w:color w:val="auto"/>
                      <w:highlight w:val="none"/>
                      <w:lang w:val="en-US" w:eastAsia="zh-CN"/>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pStyle w:val="70"/>
                    <w:spacing w:line="400" w:lineRule="exact"/>
                    <w:rPr>
                      <w:rFonts w:hint="eastAsia"/>
                      <w:color w:val="auto"/>
                      <w:highlight w:val="none"/>
                    </w:rPr>
                  </w:pPr>
                  <w:r>
                    <w:rPr>
                      <w:rFonts w:hint="eastAsia"/>
                      <w:color w:val="auto"/>
                      <w:highlight w:val="none"/>
                      <w:lang w:val="en-US" w:eastAsia="zh-CN"/>
                    </w:rPr>
                    <w:t>显示钛靶材</w:t>
                  </w:r>
                </w:p>
              </w:tc>
              <w:tc>
                <w:tcPr>
                  <w:tcW w:w="1260" w:type="dxa"/>
                  <w:vAlign w:val="center"/>
                </w:tcPr>
                <w:p>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iCs w:val="0"/>
                      <w:color w:val="auto"/>
                      <w:kern w:val="0"/>
                      <w:sz w:val="22"/>
                      <w:szCs w:val="22"/>
                      <w:highlight w:val="none"/>
                      <w:u w:val="none"/>
                      <w:lang w:val="en-US" w:eastAsia="zh-CN" w:bidi="ar"/>
                    </w:rPr>
                    <w:t>720</w:t>
                  </w:r>
                </w:p>
              </w:tc>
              <w:tc>
                <w:tcPr>
                  <w:tcW w:w="1143" w:type="dxa"/>
                  <w:vAlign w:val="center"/>
                </w:tcPr>
                <w:p>
                  <w:pPr>
                    <w:pStyle w:val="70"/>
                    <w:spacing w:line="400" w:lineRule="exact"/>
                    <w:rPr>
                      <w:rFonts w:hint="default" w:eastAsia="宋体"/>
                      <w:color w:val="auto"/>
                      <w:highlight w:val="none"/>
                      <w:lang w:val="en-US" w:eastAsia="zh-CN"/>
                    </w:rPr>
                  </w:pPr>
                  <w:r>
                    <w:rPr>
                      <w:rFonts w:hint="eastAsia"/>
                      <w:color w:val="auto"/>
                      <w:highlight w:val="none"/>
                      <w:lang w:val="en-US" w:eastAsia="zh-CN"/>
                    </w:rPr>
                    <w:t>200</w:t>
                  </w:r>
                </w:p>
              </w:tc>
              <w:tc>
                <w:tcPr>
                  <w:tcW w:w="1385" w:type="dxa"/>
                  <w:vMerge w:val="continue"/>
                  <w:vAlign w:val="center"/>
                </w:tcPr>
                <w:p>
                  <w:pPr>
                    <w:keepNext w:val="0"/>
                    <w:keepLines w:val="0"/>
                    <w:widowControl/>
                    <w:suppressLineNumbers w:val="0"/>
                    <w:jc w:val="left"/>
                    <w:textAlignment w:val="center"/>
                    <w:rPr>
                      <w:color w:val="auto"/>
                      <w:highlight w:val="none"/>
                    </w:rPr>
                  </w:pPr>
                </w:p>
              </w:tc>
              <w:tc>
                <w:tcPr>
                  <w:tcW w:w="2872" w:type="dxa"/>
                  <w:vAlign w:val="center"/>
                </w:tcPr>
                <w:p>
                  <w:pPr>
                    <w:pStyle w:val="70"/>
                    <w:spacing w:line="400" w:lineRule="exact"/>
                    <w:rPr>
                      <w:rFonts w:hint="default"/>
                      <w:color w:val="auto"/>
                      <w:highlight w:val="none"/>
                      <w:lang w:val="en-US" w:eastAsia="zh-CN"/>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pStyle w:val="70"/>
                    <w:spacing w:line="400" w:lineRule="exact"/>
                    <w:rPr>
                      <w:rFonts w:hint="eastAsia"/>
                      <w:color w:val="auto"/>
                      <w:highlight w:val="none"/>
                    </w:rPr>
                  </w:pPr>
                  <w:r>
                    <w:rPr>
                      <w:rFonts w:hint="eastAsia"/>
                      <w:color w:val="auto"/>
                      <w:highlight w:val="none"/>
                      <w:lang w:val="en-US" w:eastAsia="zh-CN"/>
                    </w:rPr>
                    <w:t>硅靶材</w:t>
                  </w:r>
                </w:p>
              </w:tc>
              <w:tc>
                <w:tcPr>
                  <w:tcW w:w="1260" w:type="dxa"/>
                  <w:vAlign w:val="center"/>
                </w:tcPr>
                <w:p>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iCs w:val="0"/>
                      <w:color w:val="auto"/>
                      <w:kern w:val="0"/>
                      <w:sz w:val="22"/>
                      <w:szCs w:val="22"/>
                      <w:highlight w:val="none"/>
                      <w:u w:val="none"/>
                      <w:lang w:val="en-US" w:eastAsia="zh-CN" w:bidi="ar"/>
                    </w:rPr>
                    <w:t>18000</w:t>
                  </w:r>
                </w:p>
              </w:tc>
              <w:tc>
                <w:tcPr>
                  <w:tcW w:w="1143" w:type="dxa"/>
                  <w:vAlign w:val="center"/>
                </w:tcPr>
                <w:p>
                  <w:pPr>
                    <w:pStyle w:val="70"/>
                    <w:spacing w:line="400" w:lineRule="exact"/>
                    <w:rPr>
                      <w:rFonts w:hint="default" w:eastAsia="宋体"/>
                      <w:color w:val="auto"/>
                      <w:highlight w:val="none"/>
                      <w:lang w:val="en-US" w:eastAsia="zh-CN"/>
                    </w:rPr>
                  </w:pPr>
                  <w:r>
                    <w:rPr>
                      <w:rFonts w:hint="eastAsia"/>
                      <w:color w:val="auto"/>
                      <w:highlight w:val="none"/>
                      <w:lang w:val="en-US" w:eastAsia="zh-CN"/>
                    </w:rPr>
                    <w:t>20</w:t>
                  </w:r>
                </w:p>
              </w:tc>
              <w:tc>
                <w:tcPr>
                  <w:tcW w:w="1385" w:type="dxa"/>
                  <w:vMerge w:val="restart"/>
                  <w:vAlign w:val="center"/>
                </w:tcPr>
                <w:p>
                  <w:pPr>
                    <w:keepNext w:val="0"/>
                    <w:keepLines w:val="0"/>
                    <w:widowControl/>
                    <w:suppressLineNumbers w:val="0"/>
                    <w:jc w:val="left"/>
                    <w:textAlignment w:val="center"/>
                    <w:rPr>
                      <w:rFonts w:hint="default"/>
                      <w:color w:val="auto"/>
                      <w:highlight w:val="none"/>
                      <w:lang w:val="en-US"/>
                    </w:rPr>
                  </w:pPr>
                  <w:r>
                    <w:rPr>
                      <w:rFonts w:hint="eastAsia" w:ascii="宋体" w:hAnsi="宋体" w:cs="宋体"/>
                      <w:color w:val="auto"/>
                      <w:kern w:val="0"/>
                      <w:sz w:val="20"/>
                      <w:szCs w:val="20"/>
                      <w:highlight w:val="none"/>
                      <w:lang w:val="en-US" w:eastAsia="zh-CN" w:bidi="ar"/>
                    </w:rPr>
                    <w:t>长条靶：最大长度</w:t>
                  </w:r>
                  <w:r>
                    <w:rPr>
                      <w:rFonts w:hint="eastAsia" w:ascii="Times New Roman" w:hAnsi="Times New Roman" w:cs="Times New Roman"/>
                      <w:color w:val="auto"/>
                      <w:kern w:val="0"/>
                      <w:sz w:val="20"/>
                      <w:szCs w:val="20"/>
                      <w:highlight w:val="none"/>
                      <w:lang w:val="en-US" w:eastAsia="zh-CN" w:bidi="ar"/>
                    </w:rPr>
                    <w:t>2000</w:t>
                  </w:r>
                  <w:r>
                    <w:rPr>
                      <w:rFonts w:hint="default" w:ascii="Times New Roman" w:hAnsi="Times New Roman" w:eastAsia="宋体" w:cs="Times New Roman"/>
                      <w:color w:val="auto"/>
                      <w:kern w:val="0"/>
                      <w:sz w:val="20"/>
                      <w:szCs w:val="20"/>
                      <w:highlight w:val="none"/>
                      <w:lang w:val="en-US" w:eastAsia="zh-CN" w:bidi="ar"/>
                    </w:rPr>
                    <w:t>mm</w:t>
                  </w:r>
                  <w:r>
                    <w:rPr>
                      <w:rFonts w:hint="eastAsia" w:ascii="Times New Roman" w:hAnsi="Times New Roman" w:cs="Times New Roman"/>
                      <w:color w:val="auto"/>
                      <w:kern w:val="0"/>
                      <w:sz w:val="20"/>
                      <w:szCs w:val="20"/>
                      <w:highlight w:val="none"/>
                      <w:lang w:val="en-US" w:eastAsia="zh-CN" w:bidi="ar"/>
                    </w:rPr>
                    <w:t>，圆形靶：直径小于500mm</w:t>
                  </w:r>
                </w:p>
              </w:tc>
              <w:tc>
                <w:tcPr>
                  <w:tcW w:w="2872" w:type="dxa"/>
                  <w:shd w:val="clear" w:color="auto" w:fill="auto"/>
                  <w:vAlign w:val="center"/>
                </w:tcPr>
                <w:p>
                  <w:pPr>
                    <w:pStyle w:val="70"/>
                    <w:spacing w:line="400" w:lineRule="exact"/>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557" w:type="dxa"/>
                  <w:vAlign w:val="center"/>
                </w:tcPr>
                <w:p>
                  <w:pPr>
                    <w:pStyle w:val="70"/>
                    <w:spacing w:line="400" w:lineRule="exact"/>
                    <w:rPr>
                      <w:rFonts w:hint="eastAsia"/>
                      <w:color w:val="auto"/>
                      <w:highlight w:val="none"/>
                    </w:rPr>
                  </w:pPr>
                  <w:r>
                    <w:rPr>
                      <w:rFonts w:hint="eastAsia"/>
                      <w:color w:val="auto"/>
                      <w:highlight w:val="none"/>
                      <w:lang w:val="en-US" w:eastAsia="zh-CN"/>
                    </w:rPr>
                    <w:t>铌靶材</w:t>
                  </w:r>
                </w:p>
              </w:tc>
              <w:tc>
                <w:tcPr>
                  <w:tcW w:w="1260" w:type="dxa"/>
                  <w:vAlign w:val="center"/>
                </w:tcPr>
                <w:p>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iCs w:val="0"/>
                      <w:color w:val="auto"/>
                      <w:kern w:val="0"/>
                      <w:sz w:val="22"/>
                      <w:szCs w:val="22"/>
                      <w:highlight w:val="none"/>
                      <w:u w:val="none"/>
                      <w:lang w:val="en-US" w:eastAsia="zh-CN" w:bidi="ar"/>
                    </w:rPr>
                    <w:t>2400</w:t>
                  </w:r>
                </w:p>
              </w:tc>
              <w:tc>
                <w:tcPr>
                  <w:tcW w:w="1143" w:type="dxa"/>
                  <w:vAlign w:val="center"/>
                </w:tcPr>
                <w:p>
                  <w:pPr>
                    <w:pStyle w:val="70"/>
                    <w:spacing w:line="400" w:lineRule="exact"/>
                    <w:rPr>
                      <w:rFonts w:hint="default" w:eastAsia="宋体"/>
                      <w:color w:val="auto"/>
                      <w:highlight w:val="none"/>
                      <w:lang w:val="en-US" w:eastAsia="zh-CN"/>
                    </w:rPr>
                  </w:pPr>
                  <w:r>
                    <w:rPr>
                      <w:rFonts w:hint="eastAsia"/>
                      <w:color w:val="auto"/>
                      <w:highlight w:val="none"/>
                      <w:lang w:val="en-US" w:eastAsia="zh-CN"/>
                    </w:rPr>
                    <w:t>10</w:t>
                  </w:r>
                </w:p>
              </w:tc>
              <w:tc>
                <w:tcPr>
                  <w:tcW w:w="1385" w:type="dxa"/>
                  <w:vMerge w:val="continue"/>
                  <w:vAlign w:val="center"/>
                </w:tcPr>
                <w:p>
                  <w:pPr>
                    <w:keepNext w:val="0"/>
                    <w:keepLines w:val="0"/>
                    <w:widowControl/>
                    <w:suppressLineNumbers w:val="0"/>
                    <w:jc w:val="left"/>
                    <w:textAlignment w:val="center"/>
                    <w:rPr>
                      <w:rFonts w:hint="eastAsia" w:eastAsia="宋体"/>
                      <w:color w:val="auto"/>
                      <w:highlight w:val="none"/>
                      <w:lang w:val="en-US" w:eastAsia="zh-CN"/>
                    </w:rPr>
                  </w:pPr>
                </w:p>
              </w:tc>
              <w:tc>
                <w:tcPr>
                  <w:tcW w:w="2872" w:type="dxa"/>
                  <w:shd w:val="clear" w:color="auto" w:fill="auto"/>
                  <w:vAlign w:val="center"/>
                </w:tcPr>
                <w:p>
                  <w:pPr>
                    <w:pStyle w:val="70"/>
                    <w:spacing w:line="400" w:lineRule="exact"/>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pPr>
                    <w:pStyle w:val="70"/>
                    <w:spacing w:line="400" w:lineRule="exact"/>
                    <w:rPr>
                      <w:rFonts w:hint="eastAsia"/>
                      <w:color w:val="auto"/>
                      <w:highlight w:val="none"/>
                    </w:rPr>
                  </w:pPr>
                  <w:r>
                    <w:rPr>
                      <w:rFonts w:hint="eastAsia"/>
                      <w:color w:val="auto"/>
                      <w:highlight w:val="none"/>
                      <w:lang w:val="en-US" w:eastAsia="zh-CN"/>
                    </w:rPr>
                    <w:t>钽靶材</w:t>
                  </w:r>
                </w:p>
              </w:tc>
              <w:tc>
                <w:tcPr>
                  <w:tcW w:w="1260" w:type="dxa"/>
                  <w:vAlign w:val="center"/>
                </w:tcPr>
                <w:p>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iCs w:val="0"/>
                      <w:color w:val="auto"/>
                      <w:kern w:val="0"/>
                      <w:sz w:val="22"/>
                      <w:szCs w:val="22"/>
                      <w:highlight w:val="none"/>
                      <w:u w:val="none"/>
                      <w:lang w:val="en-US" w:eastAsia="zh-CN" w:bidi="ar"/>
                    </w:rPr>
                    <w:t>120</w:t>
                  </w:r>
                </w:p>
              </w:tc>
              <w:tc>
                <w:tcPr>
                  <w:tcW w:w="1143" w:type="dxa"/>
                  <w:vAlign w:val="center"/>
                </w:tcPr>
                <w:p>
                  <w:pPr>
                    <w:pStyle w:val="70"/>
                    <w:spacing w:line="400" w:lineRule="exact"/>
                    <w:rPr>
                      <w:rFonts w:hint="default" w:eastAsia="宋体"/>
                      <w:color w:val="auto"/>
                      <w:highlight w:val="none"/>
                      <w:lang w:val="en-US" w:eastAsia="zh-CN"/>
                    </w:rPr>
                  </w:pPr>
                  <w:r>
                    <w:rPr>
                      <w:rFonts w:hint="eastAsia"/>
                      <w:color w:val="auto"/>
                      <w:highlight w:val="none"/>
                      <w:lang w:val="en-US" w:eastAsia="zh-CN"/>
                    </w:rPr>
                    <w:t>2</w:t>
                  </w:r>
                </w:p>
              </w:tc>
              <w:tc>
                <w:tcPr>
                  <w:tcW w:w="1385" w:type="dxa"/>
                  <w:vMerge w:val="continue"/>
                  <w:vAlign w:val="center"/>
                </w:tcPr>
                <w:p>
                  <w:pPr>
                    <w:keepNext w:val="0"/>
                    <w:keepLines w:val="0"/>
                    <w:widowControl/>
                    <w:suppressLineNumbers w:val="0"/>
                    <w:jc w:val="left"/>
                    <w:textAlignment w:val="center"/>
                    <w:rPr>
                      <w:color w:val="auto"/>
                      <w:highlight w:val="none"/>
                    </w:rPr>
                  </w:pPr>
                </w:p>
              </w:tc>
              <w:tc>
                <w:tcPr>
                  <w:tcW w:w="2872" w:type="dxa"/>
                  <w:vAlign w:val="center"/>
                </w:tcPr>
                <w:p>
                  <w:pPr>
                    <w:pStyle w:val="70"/>
                    <w:spacing w:line="400" w:lineRule="exact"/>
                    <w:rPr>
                      <w:rFonts w:hint="default"/>
                      <w:color w:val="auto"/>
                      <w:highlight w:val="none"/>
                      <w:lang w:val="en-US" w:eastAsia="zh-CN"/>
                    </w:rPr>
                  </w:pPr>
                  <w:r>
                    <w:rPr>
                      <w:rFonts w:hint="eastAsia"/>
                      <w:color w:val="auto"/>
                      <w:highlight w:val="none"/>
                      <w:lang w:val="en-US" w:eastAsia="zh-CN"/>
                    </w:rPr>
                    <w:t>新增</w:t>
                  </w:r>
                </w:p>
              </w:tc>
            </w:tr>
          </w:tbl>
          <w:p>
            <w:pPr>
              <w:pStyle w:val="72"/>
              <w:ind w:firstLine="480"/>
              <w:rPr>
                <w:rFonts w:hint="eastAsia"/>
                <w:color w:val="auto"/>
                <w:highlight w:val="none"/>
              </w:rPr>
            </w:pPr>
          </w:p>
          <w:p>
            <w:pPr>
              <w:pStyle w:val="66"/>
              <w:numPr>
                <w:ilvl w:val="3"/>
                <w:numId w:val="0"/>
              </w:numPr>
              <w:rPr>
                <w:rFonts w:hint="eastAsia"/>
                <w:color w:val="auto"/>
                <w:highlight w:val="none"/>
              </w:rPr>
            </w:pPr>
            <w:r>
              <w:rPr>
                <w:rFonts w:hint="eastAsia"/>
                <w:color w:val="auto"/>
                <w:highlight w:val="none"/>
              </w:rPr>
              <w:t>2.2.2项目建设内容</w:t>
            </w:r>
          </w:p>
          <w:p>
            <w:pPr>
              <w:pStyle w:val="66"/>
              <w:numPr>
                <w:ilvl w:val="3"/>
                <w:numId w:val="0"/>
              </w:numPr>
              <w:ind w:firstLine="560" w:firstLineChars="200"/>
              <w:rPr>
                <w:rFonts w:hint="default"/>
                <w:b w:val="0"/>
                <w:bCs w:val="0"/>
                <w:color w:val="auto"/>
                <w:highlight w:val="none"/>
                <w:lang w:val="en-US" w:eastAsia="zh-CN"/>
              </w:rPr>
            </w:pPr>
            <w:r>
              <w:rPr>
                <w:rFonts w:hint="eastAsia"/>
                <w:b w:val="0"/>
                <w:bCs w:val="0"/>
                <w:color w:val="auto"/>
                <w:highlight w:val="none"/>
                <w:lang w:val="en-US" w:eastAsia="zh-CN"/>
              </w:rPr>
              <w:t>主要建设内容7#楼A、B、C、D厂房及化学品仓库、气瓶站、配电房等辅助用房等。具体见表2.2.1。</w:t>
            </w:r>
          </w:p>
          <w:p>
            <w:pPr>
              <w:pStyle w:val="66"/>
              <w:numPr>
                <w:ilvl w:val="3"/>
                <w:numId w:val="0"/>
              </w:numPr>
              <w:rPr>
                <w:rFonts w:hint="eastAsia"/>
                <w:color w:val="auto"/>
                <w:highlight w:val="none"/>
              </w:rPr>
            </w:pPr>
          </w:p>
          <w:p>
            <w:pPr>
              <w:pStyle w:val="68"/>
              <w:rPr>
                <w:color w:val="auto"/>
                <w:highlight w:val="none"/>
              </w:rPr>
            </w:pPr>
            <w:r>
              <w:rPr>
                <w:rFonts w:hint="eastAsia"/>
                <w:color w:val="auto"/>
                <w:highlight w:val="none"/>
              </w:rPr>
              <w:t>表2.2.1项目组成及主要内容一览表</w:t>
            </w:r>
          </w:p>
          <w:tbl>
            <w:tblPr>
              <w:tblStyle w:val="29"/>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6"/>
              <w:gridCol w:w="900"/>
              <w:gridCol w:w="5790"/>
              <w:gridCol w:w="7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86"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项目组成</w:t>
                  </w:r>
                </w:p>
              </w:tc>
              <w:tc>
                <w:tcPr>
                  <w:tcW w:w="579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主要建设内容和规模</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2" w:hRule="atLeast"/>
              </w:trPr>
              <w:tc>
                <w:tcPr>
                  <w:tcW w:w="686"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主体工程</w:t>
                  </w:r>
                </w:p>
              </w:tc>
              <w:tc>
                <w:tcPr>
                  <w:tcW w:w="90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b w:val="0"/>
                      <w:bCs w:val="0"/>
                      <w:color w:val="auto"/>
                      <w:sz w:val="21"/>
                      <w:szCs w:val="21"/>
                      <w:highlight w:val="none"/>
                      <w:lang w:val="en-US" w:eastAsia="zh-CN"/>
                    </w:rPr>
                    <w:t>A厂房</w:t>
                  </w:r>
                </w:p>
              </w:tc>
              <w:tc>
                <w:tcPr>
                  <w:tcW w:w="579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占地面积约2943.04m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vertAlign w:val="baseline"/>
                      <w:lang w:val="en-US" w:eastAsia="zh-CN"/>
                    </w:rPr>
                    <w:t>，1F，层高14.5m，主要</w:t>
                  </w:r>
                  <w:r>
                    <w:rPr>
                      <w:rFonts w:hint="eastAsia"/>
                      <w:b w:val="0"/>
                      <w:bCs w:val="0"/>
                      <w:color w:val="auto"/>
                      <w:sz w:val="21"/>
                      <w:szCs w:val="21"/>
                      <w:highlight w:val="none"/>
                      <w:lang w:val="en-US" w:eastAsia="zh-CN"/>
                    </w:rPr>
                    <w:t>布置机加工中心，主要布置有熔铸设备、机加工区、超声清洗区设备</w:t>
                  </w:r>
                </w:p>
              </w:tc>
              <w:tc>
                <w:tcPr>
                  <w:tcW w:w="743"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2"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sz w:val="21"/>
                      <w:szCs w:val="21"/>
                      <w:highlight w:val="none"/>
                    </w:rPr>
                  </w:pPr>
                </w:p>
              </w:tc>
              <w:tc>
                <w:tcPr>
                  <w:tcW w:w="900"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b w:val="0"/>
                      <w:bCs w:val="0"/>
                      <w:color w:val="auto"/>
                      <w:sz w:val="21"/>
                      <w:szCs w:val="21"/>
                      <w:highlight w:val="none"/>
                      <w:lang w:val="en-US" w:eastAsia="zh-CN"/>
                    </w:rPr>
                    <w:t>B厂房</w:t>
                  </w:r>
                </w:p>
              </w:tc>
              <w:tc>
                <w:tcPr>
                  <w:tcW w:w="5790"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eastAsia" w:ascii="Times New Roman" w:hAnsi="Times New Roman" w:eastAsia="宋体" w:cs="Times New Roman"/>
                      <w:b w:val="0"/>
                      <w:bCs w:val="0"/>
                      <w:snapToGrid w:val="0"/>
                      <w:color w:val="auto"/>
                      <w:kern w:val="2"/>
                      <w:sz w:val="21"/>
                      <w:szCs w:val="21"/>
                      <w:highlight w:val="none"/>
                      <w:lang w:val="en-US" w:eastAsia="zh-CN" w:bidi="ar-SA"/>
                    </w:rPr>
                  </w:pPr>
                  <w:r>
                    <w:rPr>
                      <w:rFonts w:hint="eastAsia"/>
                      <w:b w:val="0"/>
                      <w:bCs w:val="0"/>
                      <w:color w:val="auto"/>
                      <w:sz w:val="21"/>
                      <w:szCs w:val="21"/>
                      <w:highlight w:val="none"/>
                      <w:lang w:val="en-US" w:eastAsia="zh-CN"/>
                    </w:rPr>
                    <w:t>占地面积约5700.64m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vertAlign w:val="baseline"/>
                      <w:lang w:val="en-US" w:eastAsia="zh-CN"/>
                    </w:rPr>
                    <w:t>，1F，层高14.5m，</w:t>
                  </w:r>
                  <w:r>
                    <w:rPr>
                      <w:rFonts w:hint="eastAsia"/>
                      <w:b w:val="0"/>
                      <w:bCs w:val="0"/>
                      <w:color w:val="auto"/>
                      <w:sz w:val="21"/>
                      <w:szCs w:val="21"/>
                      <w:highlight w:val="none"/>
                      <w:lang w:val="en-US" w:eastAsia="zh-CN"/>
                    </w:rPr>
                    <w:t>布置绑定平台、校正设备、喷砂抛光区、清洁检验区、千级无尘包装室、装箱室等</w:t>
                  </w:r>
                </w:p>
              </w:tc>
              <w:tc>
                <w:tcPr>
                  <w:tcW w:w="743"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2"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sz w:val="21"/>
                      <w:szCs w:val="21"/>
                      <w:highlight w:val="none"/>
                    </w:rPr>
                  </w:pPr>
                </w:p>
              </w:tc>
              <w:tc>
                <w:tcPr>
                  <w:tcW w:w="900"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b w:val="0"/>
                      <w:bCs w:val="0"/>
                      <w:color w:val="auto"/>
                      <w:sz w:val="21"/>
                      <w:szCs w:val="21"/>
                      <w:highlight w:val="none"/>
                      <w:lang w:val="en-US" w:eastAsia="zh-CN"/>
                    </w:rPr>
                    <w:t>C厂房</w:t>
                  </w:r>
                </w:p>
              </w:tc>
              <w:tc>
                <w:tcPr>
                  <w:tcW w:w="5790"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ascii="Times New Roman" w:hAnsi="Times New Roman" w:eastAsia="宋体" w:cs="Times New Roman"/>
                      <w:b w:val="0"/>
                      <w:bCs w:val="0"/>
                      <w:snapToGrid w:val="0"/>
                      <w:color w:val="auto"/>
                      <w:kern w:val="2"/>
                      <w:sz w:val="21"/>
                      <w:szCs w:val="21"/>
                      <w:highlight w:val="none"/>
                      <w:lang w:val="en-US" w:eastAsia="zh-CN" w:bidi="ar-SA"/>
                    </w:rPr>
                  </w:pPr>
                  <w:r>
                    <w:rPr>
                      <w:rFonts w:hint="eastAsia"/>
                      <w:b w:val="0"/>
                      <w:bCs w:val="0"/>
                      <w:color w:val="auto"/>
                      <w:sz w:val="21"/>
                      <w:szCs w:val="21"/>
                      <w:highlight w:val="none"/>
                      <w:lang w:val="en-US" w:eastAsia="zh-CN"/>
                    </w:rPr>
                    <w:t>占地面积约1375.72m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vertAlign w:val="baseline"/>
                      <w:lang w:val="en-US" w:eastAsia="zh-CN"/>
                    </w:rPr>
                    <w:t>，1F，层高14.5m，暂未规划</w:t>
                  </w:r>
                </w:p>
              </w:tc>
              <w:tc>
                <w:tcPr>
                  <w:tcW w:w="743"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8"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sz w:val="21"/>
                      <w:szCs w:val="21"/>
                      <w:highlight w:val="none"/>
                    </w:rPr>
                  </w:pPr>
                </w:p>
              </w:tc>
              <w:tc>
                <w:tcPr>
                  <w:tcW w:w="90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D厂房</w:t>
                  </w:r>
                </w:p>
              </w:tc>
              <w:tc>
                <w:tcPr>
                  <w:tcW w:w="579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占地面积约481.44m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vertAlign w:val="baseline"/>
                      <w:lang w:val="en-US" w:eastAsia="zh-CN"/>
                    </w:rPr>
                    <w:t>，地下1层，地上5层，层高24m，暂未规划</w:t>
                  </w:r>
                </w:p>
              </w:tc>
              <w:tc>
                <w:tcPr>
                  <w:tcW w:w="743"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8" w:hRule="atLeast"/>
              </w:trPr>
              <w:tc>
                <w:tcPr>
                  <w:tcW w:w="686"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配套工程</w:t>
                  </w:r>
                </w:p>
              </w:tc>
              <w:tc>
                <w:tcPr>
                  <w:tcW w:w="90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化学品仓库</w:t>
                  </w:r>
                </w:p>
              </w:tc>
              <w:tc>
                <w:tcPr>
                  <w:tcW w:w="579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b w:val="0"/>
                      <w:bCs w:val="0"/>
                      <w:color w:val="auto"/>
                      <w:sz w:val="21"/>
                      <w:szCs w:val="21"/>
                      <w:highlight w:val="none"/>
                      <w:vertAlign w:val="superscript"/>
                      <w:lang w:val="en-US" w:eastAsia="zh-CN"/>
                    </w:rPr>
                  </w:pPr>
                  <w:r>
                    <w:rPr>
                      <w:rFonts w:hint="eastAsia"/>
                      <w:b w:val="0"/>
                      <w:bCs w:val="0"/>
                      <w:color w:val="auto"/>
                      <w:sz w:val="21"/>
                      <w:szCs w:val="21"/>
                      <w:highlight w:val="none"/>
                      <w:lang w:val="en-US" w:eastAsia="zh-CN"/>
                    </w:rPr>
                    <w:t>占地面积90m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vertAlign w:val="baseline"/>
                      <w:lang w:val="en-US" w:eastAsia="zh-CN"/>
                    </w:rPr>
                    <w:t>，1F，层高11.5m</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8"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sz w:val="21"/>
                      <w:szCs w:val="21"/>
                      <w:highlight w:val="none"/>
                      <w:lang w:val="en-US" w:eastAsia="zh-CN"/>
                    </w:rPr>
                  </w:pPr>
                </w:p>
              </w:tc>
              <w:tc>
                <w:tcPr>
                  <w:tcW w:w="90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sz w:val="21"/>
                      <w:szCs w:val="21"/>
                      <w:highlight w:val="none"/>
                      <w:lang w:val="en-US" w:eastAsia="zh-CN"/>
                    </w:rPr>
                  </w:pPr>
                  <w:r>
                    <w:rPr>
                      <w:rFonts w:hint="eastAsia"/>
                      <w:color w:val="auto"/>
                      <w:sz w:val="21"/>
                      <w:szCs w:val="21"/>
                      <w:highlight w:val="none"/>
                      <w:lang w:val="en-US" w:eastAsia="zh-CN"/>
                    </w:rPr>
                    <w:t>气瓶间</w:t>
                  </w:r>
                </w:p>
              </w:tc>
              <w:tc>
                <w:tcPr>
                  <w:tcW w:w="579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2间，占地面积各约49.5m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vertAlign w:val="baseline"/>
                      <w:lang w:val="en-US" w:eastAsia="zh-CN"/>
                    </w:rPr>
                    <w:t>，1F，层高11.5m，与化学品仓库合建，将原位于二期地块的气瓶间搬迁至该气瓶间，贮存氢气瓶、氩气瓶。</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8"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sz w:val="21"/>
                      <w:szCs w:val="21"/>
                      <w:highlight w:val="none"/>
                      <w:lang w:val="en-US" w:eastAsia="zh-CN"/>
                    </w:rPr>
                  </w:pPr>
                </w:p>
              </w:tc>
              <w:tc>
                <w:tcPr>
                  <w:tcW w:w="90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空压站</w:t>
                  </w:r>
                </w:p>
              </w:tc>
              <w:tc>
                <w:tcPr>
                  <w:tcW w:w="579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b w:val="0"/>
                      <w:bCs w:val="0"/>
                      <w:color w:val="auto"/>
                      <w:sz w:val="21"/>
                      <w:szCs w:val="21"/>
                      <w:highlight w:val="none"/>
                      <w:vertAlign w:val="superscript"/>
                      <w:lang w:val="en-US" w:eastAsia="zh-CN"/>
                    </w:rPr>
                  </w:pPr>
                  <w:r>
                    <w:rPr>
                      <w:rFonts w:hint="eastAsia"/>
                      <w:b w:val="0"/>
                      <w:bCs w:val="0"/>
                      <w:color w:val="auto"/>
                      <w:sz w:val="21"/>
                      <w:szCs w:val="21"/>
                      <w:highlight w:val="none"/>
                      <w:lang w:val="en-US" w:eastAsia="zh-CN"/>
                    </w:rPr>
                    <w:t>位于B厂房西南角，配1台空压机，风量15m</w:t>
                  </w:r>
                  <w:r>
                    <w:rPr>
                      <w:rFonts w:hint="eastAsia"/>
                      <w:b w:val="0"/>
                      <w:bCs w:val="0"/>
                      <w:color w:val="auto"/>
                      <w:sz w:val="21"/>
                      <w:szCs w:val="21"/>
                      <w:highlight w:val="none"/>
                      <w:vertAlign w:val="superscript"/>
                      <w:lang w:val="en-US" w:eastAsia="zh-CN"/>
                    </w:rPr>
                    <w:t>3</w:t>
                  </w:r>
                  <w:r>
                    <w:rPr>
                      <w:rFonts w:hint="eastAsia"/>
                      <w:b w:val="0"/>
                      <w:bCs w:val="0"/>
                      <w:color w:val="auto"/>
                      <w:sz w:val="21"/>
                      <w:szCs w:val="21"/>
                      <w:highlight w:val="none"/>
                      <w:vertAlign w:val="baseline"/>
                      <w:lang w:val="en-US" w:eastAsia="zh-CN"/>
                    </w:rPr>
                    <w:t>/h。</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7" w:hRule="atLeast"/>
              </w:trPr>
              <w:tc>
                <w:tcPr>
                  <w:tcW w:w="686"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公用工程</w:t>
                  </w:r>
                </w:p>
              </w:tc>
              <w:tc>
                <w:tcPr>
                  <w:tcW w:w="90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给水工程</w:t>
                  </w:r>
                </w:p>
              </w:tc>
              <w:tc>
                <w:tcPr>
                  <w:tcW w:w="579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eastAsia="宋体"/>
                      <w:color w:val="auto"/>
                      <w:sz w:val="21"/>
                      <w:szCs w:val="21"/>
                      <w:highlight w:val="none"/>
                      <w:vertAlign w:val="superscript"/>
                      <w:lang w:val="en-US" w:eastAsia="zh-CN"/>
                    </w:rPr>
                  </w:pPr>
                  <w:r>
                    <w:rPr>
                      <w:rFonts w:hint="eastAsia"/>
                      <w:color w:val="auto"/>
                      <w:sz w:val="21"/>
                      <w:szCs w:val="21"/>
                      <w:highlight w:val="none"/>
                      <w:lang w:val="en-US" w:eastAsia="zh-CN"/>
                    </w:rPr>
                    <w:t>由市政供水管网供水，</w:t>
                  </w:r>
                  <w:r>
                    <w:rPr>
                      <w:rFonts w:hint="eastAsia"/>
                      <w:color w:val="auto"/>
                      <w:sz w:val="21"/>
                      <w:szCs w:val="21"/>
                      <w:highlight w:val="none"/>
                      <w:vertAlign w:val="baseline"/>
                      <w:lang w:val="en-US" w:eastAsia="zh-CN"/>
                    </w:rPr>
                    <w:t>纯水依托公司现有纯水站（现有纯水站制水能力1</w:t>
                  </w: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/h）</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依托现有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7"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c>
                <w:tcPr>
                  <w:tcW w:w="90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排水工程</w:t>
                  </w:r>
                </w:p>
              </w:tc>
              <w:tc>
                <w:tcPr>
                  <w:tcW w:w="5790" w:type="dxa"/>
                  <w:tcBorders>
                    <w:tl2br w:val="nil"/>
                    <w:tr2bl w:val="nil"/>
                  </w:tcBorders>
                  <w:vAlign w:val="center"/>
                </w:tcPr>
                <w:p>
                  <w:pPr>
                    <w:keepNext w:val="0"/>
                    <w:keepLines w:val="0"/>
                    <w:widowControl/>
                    <w:suppressLineNumbers w:val="0"/>
                    <w:jc w:val="left"/>
                    <w:rPr>
                      <w:rFonts w:hint="default" w:eastAsia="宋体"/>
                      <w:color w:val="auto"/>
                      <w:sz w:val="21"/>
                      <w:szCs w:val="21"/>
                      <w:highlight w:val="none"/>
                      <w:vertAlign w:val="baseline"/>
                      <w:lang w:val="en-US" w:eastAsia="zh-CN"/>
                    </w:rPr>
                  </w:pPr>
                  <w:r>
                    <w:rPr>
                      <w:rFonts w:hint="eastAsia"/>
                      <w:color w:val="auto"/>
                      <w:sz w:val="21"/>
                      <w:szCs w:val="21"/>
                      <w:highlight w:val="none"/>
                      <w:lang w:val="en-US" w:eastAsia="zh-CN"/>
                    </w:rPr>
                    <w:t>纯水制备系统排污水拟依托现有污水处理站处理后在DW001排污口排放；</w:t>
                  </w:r>
                  <w:r>
                    <w:rPr>
                      <w:rFonts w:hint="eastAsia"/>
                      <w:color w:val="auto"/>
                      <w:sz w:val="21"/>
                      <w:szCs w:val="21"/>
                      <w:highlight w:val="none"/>
                      <w:vertAlign w:val="baseline"/>
                      <w:lang w:val="en-US" w:eastAsia="zh-CN"/>
                    </w:rPr>
                    <w:t>除纯水制备系统排污水外，其他生产废水经新建污水处理站预处理后由企业DW002排污口排放，生活污水经化粪池消化处理后与生产废水一起排入</w:t>
                  </w:r>
                  <w:r>
                    <w:rPr>
                      <w:rFonts w:hint="eastAsia" w:ascii="宋体" w:hAnsi="宋体" w:eastAsia="宋体" w:cs="宋体"/>
                      <w:color w:val="auto"/>
                      <w:kern w:val="0"/>
                      <w:sz w:val="21"/>
                      <w:szCs w:val="21"/>
                      <w:highlight w:val="none"/>
                      <w:lang w:val="en-US" w:eastAsia="zh-CN" w:bidi="ar"/>
                    </w:rPr>
                    <w:t>滨海工业区污水处理厂进一步处理</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7"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c>
                <w:tcPr>
                  <w:tcW w:w="90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供电工程</w:t>
                  </w:r>
                </w:p>
              </w:tc>
              <w:tc>
                <w:tcPr>
                  <w:tcW w:w="579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配电房位于C厂房旁，配</w:t>
                  </w:r>
                  <w:r>
                    <w:rPr>
                      <w:rFonts w:hint="eastAsia" w:eastAsia="宋体"/>
                      <w:color w:val="auto"/>
                      <w:sz w:val="21"/>
                      <w:szCs w:val="21"/>
                      <w:highlight w:val="none"/>
                      <w:lang w:val="en-US" w:eastAsia="zh-CN"/>
                    </w:rPr>
                    <w:t>1台变压器，装机容量2500KVA</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86"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环保工程</w:t>
                  </w:r>
                </w:p>
              </w:tc>
              <w:tc>
                <w:tcPr>
                  <w:tcW w:w="900"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废水处理设施</w:t>
                  </w:r>
                </w:p>
              </w:tc>
              <w:tc>
                <w:tcPr>
                  <w:tcW w:w="579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eastAsia="宋体"/>
                      <w:color w:val="auto"/>
                      <w:sz w:val="21"/>
                      <w:szCs w:val="21"/>
                      <w:highlight w:val="none"/>
                      <w:vertAlign w:val="superscript"/>
                      <w:lang w:val="en-US" w:eastAsia="zh-CN"/>
                    </w:rPr>
                  </w:pPr>
                  <w:r>
                    <w:rPr>
                      <w:rFonts w:hint="eastAsia"/>
                      <w:color w:val="auto"/>
                      <w:sz w:val="21"/>
                      <w:szCs w:val="21"/>
                      <w:highlight w:val="none"/>
                      <w:lang w:val="en-US" w:eastAsia="zh-CN"/>
                    </w:rPr>
                    <w:t>生产废水处理站布置于厂区西南侧（位于三期地块内），处理规模为20m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/d，</w:t>
                  </w:r>
                  <w:r>
                    <w:rPr>
                      <w:rFonts w:hint="eastAsia"/>
                      <w:color w:val="auto"/>
                      <w:sz w:val="21"/>
                      <w:szCs w:val="21"/>
                      <w:highlight w:val="none"/>
                      <w:lang w:val="en-US" w:eastAsia="zh-CN"/>
                    </w:rPr>
                    <w:t>污水处理工艺为混凝沉淀处理后与三期生产废水一起处理后排放。</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c>
                <w:tcPr>
                  <w:tcW w:w="900"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c>
                <w:tcPr>
                  <w:tcW w:w="579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生活污水经化粪池消化处理后排放</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9"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c>
                <w:tcPr>
                  <w:tcW w:w="900"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r>
                    <w:rPr>
                      <w:rFonts w:hint="eastAsia"/>
                      <w:color w:val="auto"/>
                      <w:sz w:val="21"/>
                      <w:szCs w:val="21"/>
                      <w:highlight w:val="none"/>
                    </w:rPr>
                    <w:t>废气处理设施</w:t>
                  </w:r>
                </w:p>
              </w:tc>
              <w:tc>
                <w:tcPr>
                  <w:tcW w:w="5790"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color w:val="auto"/>
                      <w:sz w:val="21"/>
                      <w:szCs w:val="21"/>
                      <w:highlight w:val="none"/>
                      <w:vertAlign w:val="baseline"/>
                      <w:lang w:val="en-US" w:eastAsia="zh-CN"/>
                    </w:rPr>
                  </w:pPr>
                  <w:r>
                    <w:rPr>
                      <w:rFonts w:hint="eastAsia"/>
                      <w:color w:val="auto"/>
                      <w:sz w:val="21"/>
                      <w:szCs w:val="21"/>
                      <w:highlight w:val="none"/>
                      <w:lang w:val="en-US" w:eastAsia="zh-CN"/>
                    </w:rPr>
                    <w:t>抛光房采用水喷淋除尘工艺，风量约30000m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/h，共配套2套水喷淋装置，处理后的尾气由1根15m高排气筒排放。</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利旧搬迁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2"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c>
                <w:tcPr>
                  <w:tcW w:w="900"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sz w:val="21"/>
                      <w:szCs w:val="21"/>
                      <w:highlight w:val="none"/>
                    </w:rPr>
                  </w:pPr>
                </w:p>
              </w:tc>
              <w:tc>
                <w:tcPr>
                  <w:tcW w:w="5790"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喷砂房共配套3套除尘设施，均采用布袋除尘工艺，设计最大风量为30000m</w:t>
                  </w:r>
                  <w:r>
                    <w:rPr>
                      <w:rFonts w:hint="eastAsia"/>
                      <w:color w:val="auto"/>
                      <w:sz w:val="21"/>
                      <w:szCs w:val="21"/>
                      <w:highlight w:val="none"/>
                      <w:vertAlign w:val="superscript"/>
                      <w:lang w:val="en-US" w:eastAsia="zh-CN"/>
                    </w:rPr>
                    <w:t>3</w:t>
                  </w:r>
                  <w:r>
                    <w:rPr>
                      <w:rFonts w:hint="eastAsia"/>
                      <w:color w:val="auto"/>
                      <w:sz w:val="21"/>
                      <w:szCs w:val="21"/>
                      <w:highlight w:val="none"/>
                      <w:vertAlign w:val="baseline"/>
                      <w:lang w:val="en-US" w:eastAsia="zh-CN"/>
                    </w:rPr>
                    <w:t>/h，处理后的尾气由1根高度15m排气筒排放。</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c>
                <w:tcPr>
                  <w:tcW w:w="900" w:type="dxa"/>
                  <w:vMerge w:val="restart"/>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sz w:val="21"/>
                      <w:szCs w:val="21"/>
                      <w:highlight w:val="none"/>
                    </w:rPr>
                    <w:t>固废处理设施</w:t>
                  </w:r>
                </w:p>
              </w:tc>
              <w:tc>
                <w:tcPr>
                  <w:tcW w:w="5790"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ascii="Times New Roman" w:hAnsi="Times New Roman" w:eastAsia="宋体" w:cs="Times New Roman"/>
                      <w:snapToGrid w:val="0"/>
                      <w:color w:val="auto"/>
                      <w:kern w:val="2"/>
                      <w:sz w:val="21"/>
                      <w:szCs w:val="21"/>
                      <w:highlight w:val="none"/>
                      <w:vertAlign w:val="superscript"/>
                      <w:lang w:val="en-US" w:eastAsia="zh-CN" w:bidi="ar-SA"/>
                    </w:rPr>
                  </w:pPr>
                  <w:r>
                    <w:rPr>
                      <w:rFonts w:hint="eastAsia"/>
                      <w:color w:val="auto"/>
                      <w:sz w:val="21"/>
                      <w:szCs w:val="21"/>
                      <w:highlight w:val="none"/>
                      <w:lang w:val="en-US" w:eastAsia="zh-CN"/>
                    </w:rPr>
                    <w:t>设置危废仓库1座，位于化学品仓库旁，占地面积约90m</w:t>
                  </w:r>
                  <w:r>
                    <w:rPr>
                      <w:rFonts w:hint="eastAsia"/>
                      <w:color w:val="auto"/>
                      <w:sz w:val="21"/>
                      <w:szCs w:val="21"/>
                      <w:highlight w:val="none"/>
                      <w:vertAlign w:val="superscript"/>
                      <w:lang w:val="en-US" w:eastAsia="zh-CN"/>
                    </w:rPr>
                    <w:t>2</w:t>
                  </w:r>
                </w:p>
              </w:tc>
              <w:tc>
                <w:tcPr>
                  <w:tcW w:w="743"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sz w:val="21"/>
                      <w:szCs w:val="21"/>
                      <w:highlight w:val="none"/>
                      <w:lang w:val="en-US" w:eastAsia="zh-CN"/>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8" w:hRule="atLeast"/>
              </w:trPr>
              <w:tc>
                <w:tcPr>
                  <w:tcW w:w="686"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sz w:val="21"/>
                      <w:szCs w:val="21"/>
                      <w:highlight w:val="none"/>
                    </w:rPr>
                  </w:pPr>
                </w:p>
              </w:tc>
              <w:tc>
                <w:tcPr>
                  <w:tcW w:w="900" w:type="dxa"/>
                  <w:vMerge w:val="continue"/>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sz w:val="21"/>
                      <w:szCs w:val="21"/>
                      <w:highlight w:val="none"/>
                    </w:rPr>
                  </w:pPr>
                </w:p>
              </w:tc>
              <w:tc>
                <w:tcPr>
                  <w:tcW w:w="5790"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color w:val="auto"/>
                      <w:sz w:val="21"/>
                      <w:szCs w:val="21"/>
                      <w:highlight w:val="none"/>
                      <w:vertAlign w:val="superscript"/>
                      <w:lang w:val="en-US" w:eastAsia="zh-CN"/>
                    </w:rPr>
                  </w:pPr>
                  <w:r>
                    <w:rPr>
                      <w:rFonts w:hint="eastAsia"/>
                      <w:color w:val="auto"/>
                      <w:sz w:val="21"/>
                      <w:szCs w:val="21"/>
                      <w:highlight w:val="none"/>
                      <w:vertAlign w:val="baseline"/>
                      <w:lang w:val="en-US" w:eastAsia="zh-CN"/>
                    </w:rPr>
                    <w:t>依托厂区东侧一般工业固废仓库1座，占地面积约80m</w:t>
                  </w:r>
                  <w:r>
                    <w:rPr>
                      <w:rFonts w:hint="eastAsia"/>
                      <w:color w:val="auto"/>
                      <w:sz w:val="21"/>
                      <w:szCs w:val="21"/>
                      <w:highlight w:val="none"/>
                      <w:vertAlign w:val="superscript"/>
                      <w:lang w:val="en-US" w:eastAsia="zh-CN"/>
                    </w:rPr>
                    <w:t>2</w:t>
                  </w:r>
                </w:p>
              </w:tc>
              <w:tc>
                <w:tcPr>
                  <w:tcW w:w="743"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sz w:val="21"/>
                      <w:szCs w:val="21"/>
                      <w:highlight w:val="none"/>
                      <w:lang w:val="en-US" w:eastAsia="zh-CN"/>
                    </w:rPr>
                  </w:pPr>
                  <w:r>
                    <w:rPr>
                      <w:rFonts w:hint="eastAsia"/>
                      <w:color w:val="auto"/>
                      <w:sz w:val="21"/>
                      <w:szCs w:val="21"/>
                      <w:highlight w:val="none"/>
                      <w:lang w:val="en-US" w:eastAsia="zh-CN"/>
                    </w:rPr>
                    <w:t>已建，依托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7" w:hRule="atLeast"/>
              </w:trPr>
              <w:tc>
                <w:tcPr>
                  <w:tcW w:w="686"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储运工程</w:t>
                  </w:r>
                </w:p>
              </w:tc>
              <w:tc>
                <w:tcPr>
                  <w:tcW w:w="900"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原料仓库、半成品仓</w:t>
                  </w:r>
                </w:p>
              </w:tc>
              <w:tc>
                <w:tcPr>
                  <w:tcW w:w="5790"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eastAsia="宋体"/>
                      <w:color w:val="auto"/>
                      <w:sz w:val="21"/>
                      <w:szCs w:val="21"/>
                      <w:highlight w:val="none"/>
                      <w:vertAlign w:val="superscript"/>
                      <w:lang w:val="en-US" w:eastAsia="zh-CN"/>
                    </w:rPr>
                  </w:pPr>
                  <w:r>
                    <w:rPr>
                      <w:rFonts w:hint="eastAsia"/>
                      <w:color w:val="auto"/>
                      <w:sz w:val="21"/>
                      <w:szCs w:val="21"/>
                      <w:highlight w:val="none"/>
                      <w:lang w:val="en-US" w:eastAsia="zh-CN"/>
                    </w:rPr>
                    <w:t>位于A厂房内，仓库面积约660m</w:t>
                  </w:r>
                  <w:r>
                    <w:rPr>
                      <w:rFonts w:hint="eastAsia"/>
                      <w:color w:val="auto"/>
                      <w:sz w:val="21"/>
                      <w:szCs w:val="21"/>
                      <w:highlight w:val="none"/>
                      <w:vertAlign w:val="superscript"/>
                      <w:lang w:val="en-US" w:eastAsia="zh-CN"/>
                    </w:rPr>
                    <w:t>2</w:t>
                  </w:r>
                </w:p>
              </w:tc>
              <w:tc>
                <w:tcPr>
                  <w:tcW w:w="743"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新建</w:t>
                  </w:r>
                </w:p>
              </w:tc>
            </w:tr>
          </w:tbl>
          <w:p>
            <w:pPr>
              <w:pStyle w:val="66"/>
              <w:numPr>
                <w:ilvl w:val="3"/>
                <w:numId w:val="0"/>
              </w:numPr>
              <w:rPr>
                <w:rFonts w:hint="eastAsia"/>
                <w:color w:val="auto"/>
                <w:highlight w:val="none"/>
              </w:rPr>
            </w:pPr>
            <w:r>
              <w:rPr>
                <w:rFonts w:hint="eastAsia"/>
                <w:color w:val="auto"/>
                <w:highlight w:val="none"/>
              </w:rPr>
              <w:t>2.2.4主要原辅材料</w:t>
            </w:r>
          </w:p>
          <w:p>
            <w:pPr>
              <w:pStyle w:val="66"/>
              <w:numPr>
                <w:ilvl w:val="3"/>
                <w:numId w:val="0"/>
              </w:numPr>
              <w:rPr>
                <w:rFonts w:hint="eastAsia"/>
                <w:color w:val="auto"/>
                <w:highlight w:val="none"/>
              </w:rPr>
            </w:pPr>
          </w:p>
          <w:p>
            <w:pPr>
              <w:pStyle w:val="66"/>
              <w:numPr>
                <w:ilvl w:val="3"/>
                <w:numId w:val="0"/>
              </w:numPr>
              <w:rPr>
                <w:rFonts w:hint="eastAsia"/>
                <w:color w:val="auto"/>
                <w:highlight w:val="none"/>
              </w:rPr>
            </w:pPr>
          </w:p>
          <w:p>
            <w:pPr>
              <w:pStyle w:val="68"/>
              <w:rPr>
                <w:color w:val="auto"/>
                <w:highlight w:val="none"/>
              </w:rPr>
            </w:pPr>
            <w:r>
              <w:rPr>
                <w:rFonts w:hint="eastAsia"/>
                <w:color w:val="auto"/>
                <w:highlight w:val="none"/>
              </w:rPr>
              <w:t>表2.2.3项目主要原辅材料消耗一览表</w:t>
            </w:r>
          </w:p>
          <w:tbl>
            <w:tblPr>
              <w:tblStyle w:val="29"/>
              <w:tblW w:w="8222"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44"/>
              <w:gridCol w:w="1358"/>
              <w:gridCol w:w="2248"/>
              <w:gridCol w:w="1327"/>
              <w:gridCol w:w="16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pStyle w:val="7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lang w:val="en-US" w:eastAsia="zh-CN"/>
                    </w:rPr>
                    <w:t>原料</w:t>
                  </w:r>
                  <w:r>
                    <w:rPr>
                      <w:rFonts w:hint="eastAsia" w:asciiTheme="minorEastAsia" w:hAnsiTheme="minorEastAsia" w:eastAsiaTheme="minorEastAsia" w:cstheme="minorEastAsia"/>
                      <w:color w:val="auto"/>
                      <w:sz w:val="18"/>
                      <w:szCs w:val="18"/>
                      <w:highlight w:val="none"/>
                    </w:rPr>
                    <w:t>名称</w:t>
                  </w:r>
                </w:p>
              </w:tc>
              <w:tc>
                <w:tcPr>
                  <w:tcW w:w="1358" w:type="dxa"/>
                  <w:tcBorders>
                    <w:tl2br w:val="nil"/>
                    <w:tr2bl w:val="nil"/>
                  </w:tcBorders>
                  <w:vAlign w:val="center"/>
                </w:tcPr>
                <w:p>
                  <w:pPr>
                    <w:pStyle w:val="7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数量（t/a）</w:t>
                  </w:r>
                </w:p>
              </w:tc>
              <w:tc>
                <w:tcPr>
                  <w:tcW w:w="2248" w:type="dxa"/>
                  <w:tcBorders>
                    <w:tl2br w:val="nil"/>
                    <w:tr2bl w:val="nil"/>
                  </w:tcBorders>
                  <w:vAlign w:val="center"/>
                </w:tcPr>
                <w:p>
                  <w:pPr>
                    <w:pStyle w:val="70"/>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rPr>
                    <w:t>规格型号</w:t>
                  </w:r>
                </w:p>
              </w:tc>
              <w:tc>
                <w:tcPr>
                  <w:tcW w:w="1327" w:type="dxa"/>
                  <w:tcBorders>
                    <w:tl2br w:val="nil"/>
                    <w:tr2bl w:val="nil"/>
                  </w:tcBorders>
                  <w:vAlign w:val="center"/>
                </w:tcPr>
                <w:p>
                  <w:pPr>
                    <w:pStyle w:val="70"/>
                    <w:jc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仓储方式</w:t>
                  </w:r>
                </w:p>
              </w:tc>
              <w:tc>
                <w:tcPr>
                  <w:tcW w:w="1645" w:type="dxa"/>
                  <w:tcBorders>
                    <w:tl2br w:val="nil"/>
                    <w:tr2bl w:val="nil"/>
                  </w:tcBorders>
                  <w:vAlign w:val="center"/>
                </w:tcPr>
                <w:p>
                  <w:pPr>
                    <w:pStyle w:val="70"/>
                    <w:jc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铝锭</w:t>
                  </w:r>
                </w:p>
              </w:tc>
              <w:tc>
                <w:tcPr>
                  <w:tcW w:w="1358" w:type="dxa"/>
                  <w:tcBorders>
                    <w:tl2br w:val="nil"/>
                    <w:tr2bl w:val="nil"/>
                  </w:tcBorders>
                  <w:vAlign w:val="center"/>
                </w:tcPr>
                <w:p>
                  <w:pPr>
                    <w:numPr>
                      <w:ilvl w:val="0"/>
                      <w:numId w:val="0"/>
                    </w:numPr>
                    <w:ind w:left="0" w:leftChars="0" w:firstLine="0" w:firstLineChars="0"/>
                    <w:jc w:val="center"/>
                    <w:rPr>
                      <w:rFonts w:hint="default"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color w:val="auto"/>
                      <w:sz w:val="18"/>
                      <w:szCs w:val="18"/>
                      <w:highlight w:val="none"/>
                      <w:vertAlign w:val="baseline"/>
                      <w:lang w:val="en-US" w:eastAsia="zh-CN"/>
                    </w:rPr>
                    <w:t>617</w:t>
                  </w:r>
                </w:p>
              </w:tc>
              <w:tc>
                <w:tcPr>
                  <w:tcW w:w="224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纯度</w:t>
                  </w:r>
                  <w:r>
                    <w:rPr>
                      <w:rFonts w:hint="eastAsia" w:asciiTheme="minorEastAsia" w:hAnsiTheme="minorEastAsia" w:eastAsiaTheme="minorEastAsia" w:cstheme="minorEastAsia"/>
                      <w:color w:val="auto"/>
                      <w:kern w:val="0"/>
                      <w:sz w:val="18"/>
                      <w:szCs w:val="18"/>
                      <w:highlight w:val="none"/>
                      <w:lang w:val="en-US" w:eastAsia="zh-CN" w:bidi="ar"/>
                    </w:rPr>
                    <w:t>≥</w:t>
                  </w:r>
                  <w:r>
                    <w:rPr>
                      <w:rFonts w:hint="eastAsia" w:asciiTheme="minorEastAsia" w:hAnsiTheme="minorEastAsia" w:eastAsiaTheme="minorEastAsia" w:cstheme="minorEastAsia"/>
                      <w:color w:val="auto"/>
                      <w:sz w:val="18"/>
                      <w:szCs w:val="18"/>
                      <w:highlight w:val="none"/>
                      <w:vertAlign w:val="baseline"/>
                      <w:lang w:val="en-US" w:eastAsia="zh-CN"/>
                    </w:rPr>
                    <w:t>99.999%</w:t>
                  </w:r>
                </w:p>
              </w:tc>
              <w:tc>
                <w:tcPr>
                  <w:tcW w:w="1327" w:type="dxa"/>
                  <w:vMerge w:val="restart"/>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vertAlign w:val="baseline"/>
                      <w:lang w:val="en-US" w:eastAsia="zh-CN"/>
                    </w:rPr>
                    <w:t>A厂房原料仓</w:t>
                  </w:r>
                </w:p>
              </w:tc>
              <w:tc>
                <w:tcPr>
                  <w:tcW w:w="1645"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44"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钼片</w:t>
                  </w:r>
                </w:p>
              </w:tc>
              <w:tc>
                <w:tcPr>
                  <w:tcW w:w="135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color w:val="auto"/>
                      <w:sz w:val="18"/>
                      <w:szCs w:val="18"/>
                      <w:highlight w:val="none"/>
                      <w:vertAlign w:val="baseline"/>
                      <w:lang w:val="en-US" w:eastAsia="zh-CN"/>
                    </w:rPr>
                    <w:t>950</w:t>
                  </w:r>
                </w:p>
              </w:tc>
              <w:tc>
                <w:tcPr>
                  <w:tcW w:w="224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纯度</w:t>
                  </w:r>
                  <w:r>
                    <w:rPr>
                      <w:rFonts w:hint="eastAsia" w:asciiTheme="minorEastAsia" w:hAnsiTheme="minorEastAsia" w:eastAsiaTheme="minorEastAsia" w:cstheme="minorEastAsia"/>
                      <w:color w:val="auto"/>
                      <w:kern w:val="0"/>
                      <w:sz w:val="18"/>
                      <w:szCs w:val="18"/>
                      <w:highlight w:val="none"/>
                      <w:lang w:val="en-US" w:eastAsia="zh-CN" w:bidi="ar"/>
                    </w:rPr>
                    <w:t>≥</w:t>
                  </w:r>
                  <w:r>
                    <w:rPr>
                      <w:rFonts w:hint="eastAsia" w:asciiTheme="minorEastAsia" w:hAnsiTheme="minorEastAsia" w:eastAsiaTheme="minorEastAsia" w:cstheme="minorEastAsia"/>
                      <w:color w:val="auto"/>
                      <w:sz w:val="18"/>
                      <w:szCs w:val="18"/>
                      <w:highlight w:val="none"/>
                      <w:vertAlign w:val="baseline"/>
                      <w:lang w:val="en-US" w:eastAsia="zh-CN"/>
                    </w:rPr>
                    <w:t>99.99%</w:t>
                  </w:r>
                </w:p>
              </w:tc>
              <w:tc>
                <w:tcPr>
                  <w:tcW w:w="1327" w:type="dxa"/>
                  <w:vMerge w:val="continue"/>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p>
              </w:tc>
              <w:tc>
                <w:tcPr>
                  <w:tcW w:w="1645"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铜板</w:t>
                  </w:r>
                </w:p>
              </w:tc>
              <w:tc>
                <w:tcPr>
                  <w:tcW w:w="135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396</w:t>
                  </w:r>
                </w:p>
              </w:tc>
              <w:tc>
                <w:tcPr>
                  <w:tcW w:w="224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纯度</w:t>
                  </w:r>
                  <w:r>
                    <w:rPr>
                      <w:rFonts w:hint="eastAsia" w:asciiTheme="minorEastAsia" w:hAnsiTheme="minorEastAsia" w:eastAsiaTheme="minorEastAsia" w:cstheme="minorEastAsia"/>
                      <w:color w:val="auto"/>
                      <w:kern w:val="0"/>
                      <w:sz w:val="18"/>
                      <w:szCs w:val="18"/>
                      <w:highlight w:val="none"/>
                      <w:lang w:val="en-US" w:eastAsia="zh-CN" w:bidi="ar"/>
                    </w:rPr>
                    <w:t>≥</w:t>
                  </w:r>
                  <w:r>
                    <w:rPr>
                      <w:rFonts w:hint="eastAsia" w:asciiTheme="minorEastAsia" w:hAnsiTheme="minorEastAsia" w:eastAsiaTheme="minorEastAsia" w:cstheme="minorEastAsia"/>
                      <w:color w:val="auto"/>
                      <w:sz w:val="18"/>
                      <w:szCs w:val="18"/>
                      <w:highlight w:val="none"/>
                      <w:vertAlign w:val="baseline"/>
                      <w:lang w:val="en-US" w:eastAsia="zh-CN"/>
                    </w:rPr>
                    <w:t>99.95%</w:t>
                  </w:r>
                </w:p>
              </w:tc>
              <w:tc>
                <w:tcPr>
                  <w:tcW w:w="1327" w:type="dxa"/>
                  <w:vMerge w:val="continue"/>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p>
              </w:tc>
              <w:tc>
                <w:tcPr>
                  <w:tcW w:w="1645"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钛片</w:t>
                  </w:r>
                </w:p>
              </w:tc>
              <w:tc>
                <w:tcPr>
                  <w:tcW w:w="135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200</w:t>
                  </w:r>
                </w:p>
              </w:tc>
              <w:tc>
                <w:tcPr>
                  <w:tcW w:w="224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纯度</w:t>
                  </w:r>
                  <w:r>
                    <w:rPr>
                      <w:rFonts w:hint="eastAsia" w:asciiTheme="minorEastAsia" w:hAnsiTheme="minorEastAsia" w:eastAsiaTheme="minorEastAsia" w:cstheme="minorEastAsia"/>
                      <w:color w:val="auto"/>
                      <w:kern w:val="0"/>
                      <w:sz w:val="18"/>
                      <w:szCs w:val="18"/>
                      <w:highlight w:val="none"/>
                      <w:lang w:val="en-US" w:eastAsia="zh-CN" w:bidi="ar"/>
                    </w:rPr>
                    <w:t>≥</w:t>
                  </w:r>
                  <w:r>
                    <w:rPr>
                      <w:rFonts w:hint="eastAsia" w:asciiTheme="minorEastAsia" w:hAnsiTheme="minorEastAsia" w:eastAsiaTheme="minorEastAsia" w:cstheme="minorEastAsia"/>
                      <w:color w:val="auto"/>
                      <w:sz w:val="18"/>
                      <w:szCs w:val="18"/>
                      <w:highlight w:val="none"/>
                      <w:vertAlign w:val="baseline"/>
                      <w:lang w:val="en-US" w:eastAsia="zh-CN"/>
                    </w:rPr>
                    <w:t>99.9%</w:t>
                  </w:r>
                </w:p>
              </w:tc>
              <w:tc>
                <w:tcPr>
                  <w:tcW w:w="1327" w:type="dxa"/>
                  <w:vMerge w:val="continue"/>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p>
              </w:tc>
              <w:tc>
                <w:tcPr>
                  <w:tcW w:w="1645"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硅片</w:t>
                  </w:r>
                </w:p>
              </w:tc>
              <w:tc>
                <w:tcPr>
                  <w:tcW w:w="135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w:t>
                  </w:r>
                </w:p>
              </w:tc>
              <w:tc>
                <w:tcPr>
                  <w:tcW w:w="224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纯度</w:t>
                  </w:r>
                  <w:r>
                    <w:rPr>
                      <w:rFonts w:hint="eastAsia" w:asciiTheme="minorEastAsia" w:hAnsiTheme="minorEastAsia" w:eastAsiaTheme="minorEastAsia" w:cstheme="minorEastAsia"/>
                      <w:color w:val="auto"/>
                      <w:kern w:val="0"/>
                      <w:sz w:val="18"/>
                      <w:szCs w:val="18"/>
                      <w:highlight w:val="none"/>
                      <w:lang w:val="en-US" w:eastAsia="zh-CN" w:bidi="ar"/>
                    </w:rPr>
                    <w:t>≥</w:t>
                  </w:r>
                  <w:r>
                    <w:rPr>
                      <w:rFonts w:hint="eastAsia" w:asciiTheme="minorEastAsia" w:hAnsiTheme="minorEastAsia" w:eastAsiaTheme="minorEastAsia" w:cstheme="minorEastAsia"/>
                      <w:color w:val="auto"/>
                      <w:sz w:val="18"/>
                      <w:szCs w:val="18"/>
                      <w:highlight w:val="none"/>
                      <w:vertAlign w:val="baseline"/>
                      <w:lang w:val="en-US" w:eastAsia="zh-CN"/>
                    </w:rPr>
                    <w:t>99.999%</w:t>
                  </w:r>
                </w:p>
              </w:tc>
              <w:tc>
                <w:tcPr>
                  <w:tcW w:w="1327" w:type="dxa"/>
                  <w:vMerge w:val="continue"/>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p>
              </w:tc>
              <w:tc>
                <w:tcPr>
                  <w:tcW w:w="1645"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铌片</w:t>
                  </w:r>
                </w:p>
              </w:tc>
              <w:tc>
                <w:tcPr>
                  <w:tcW w:w="135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lang w:val="en-US"/>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10</w:t>
                  </w:r>
                </w:p>
              </w:tc>
              <w:tc>
                <w:tcPr>
                  <w:tcW w:w="224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纯度</w:t>
                  </w:r>
                  <w:r>
                    <w:rPr>
                      <w:rFonts w:hint="eastAsia" w:asciiTheme="minorEastAsia" w:hAnsiTheme="minorEastAsia" w:eastAsiaTheme="minorEastAsia" w:cstheme="minorEastAsia"/>
                      <w:color w:val="auto"/>
                      <w:kern w:val="0"/>
                      <w:sz w:val="18"/>
                      <w:szCs w:val="18"/>
                      <w:highlight w:val="none"/>
                      <w:lang w:val="en-US" w:eastAsia="zh-CN" w:bidi="ar"/>
                    </w:rPr>
                    <w:t>≥</w:t>
                  </w:r>
                  <w:r>
                    <w:rPr>
                      <w:rFonts w:hint="eastAsia" w:asciiTheme="minorEastAsia" w:hAnsiTheme="minorEastAsia" w:eastAsiaTheme="minorEastAsia" w:cstheme="minorEastAsia"/>
                      <w:color w:val="auto"/>
                      <w:sz w:val="18"/>
                      <w:szCs w:val="18"/>
                      <w:highlight w:val="none"/>
                      <w:vertAlign w:val="baseline"/>
                      <w:lang w:val="en-US" w:eastAsia="zh-CN"/>
                    </w:rPr>
                    <w:t>99.95%</w:t>
                  </w:r>
                </w:p>
              </w:tc>
              <w:tc>
                <w:tcPr>
                  <w:tcW w:w="1327" w:type="dxa"/>
                  <w:vMerge w:val="continue"/>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p>
              </w:tc>
              <w:tc>
                <w:tcPr>
                  <w:tcW w:w="1645"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钽片</w:t>
                  </w:r>
                </w:p>
              </w:tc>
              <w:tc>
                <w:tcPr>
                  <w:tcW w:w="135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lang w:val="en-US" w:eastAsia="zh-CN"/>
                    </w:rPr>
                    <w:t>2</w:t>
                  </w:r>
                </w:p>
              </w:tc>
              <w:tc>
                <w:tcPr>
                  <w:tcW w:w="224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纯度</w:t>
                  </w:r>
                  <w:r>
                    <w:rPr>
                      <w:rFonts w:hint="eastAsia" w:asciiTheme="minorEastAsia" w:hAnsiTheme="minorEastAsia" w:eastAsiaTheme="minorEastAsia" w:cstheme="minorEastAsia"/>
                      <w:color w:val="auto"/>
                      <w:kern w:val="0"/>
                      <w:sz w:val="18"/>
                      <w:szCs w:val="18"/>
                      <w:highlight w:val="none"/>
                      <w:lang w:val="en-US" w:eastAsia="zh-CN" w:bidi="ar"/>
                    </w:rPr>
                    <w:t>≥</w:t>
                  </w:r>
                  <w:r>
                    <w:rPr>
                      <w:rFonts w:hint="eastAsia" w:asciiTheme="minorEastAsia" w:hAnsiTheme="minorEastAsia" w:eastAsiaTheme="minorEastAsia" w:cstheme="minorEastAsia"/>
                      <w:color w:val="auto"/>
                      <w:sz w:val="18"/>
                      <w:szCs w:val="18"/>
                      <w:highlight w:val="none"/>
                      <w:vertAlign w:val="baseline"/>
                      <w:lang w:val="en-US" w:eastAsia="zh-CN"/>
                    </w:rPr>
                    <w:t>99.95%</w:t>
                  </w:r>
                </w:p>
              </w:tc>
              <w:tc>
                <w:tcPr>
                  <w:tcW w:w="1327" w:type="dxa"/>
                  <w:vMerge w:val="continue"/>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p>
              </w:tc>
              <w:tc>
                <w:tcPr>
                  <w:tcW w:w="1645"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rPr>
                  </w:pPr>
                  <w:r>
                    <w:rPr>
                      <w:rFonts w:hint="eastAsia" w:asciiTheme="minorEastAsia" w:hAnsiTheme="minorEastAsia" w:eastAsiaTheme="minorEastAsia" w:cstheme="minorEastAsia"/>
                      <w:color w:val="auto"/>
                      <w:sz w:val="18"/>
                      <w:szCs w:val="18"/>
                      <w:highlight w:val="none"/>
                      <w:vertAlign w:val="baseline"/>
                      <w:lang w:val="en-US" w:eastAsia="zh-CN"/>
                    </w:rPr>
                    <w:t>外购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vertAlign w:val="baseline"/>
                      <w:lang w:val="en-US" w:eastAsia="zh-CN"/>
                    </w:rPr>
                    <w:t>铜背板</w:t>
                  </w:r>
                </w:p>
              </w:tc>
              <w:tc>
                <w:tcPr>
                  <w:tcW w:w="135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2000</w:t>
                  </w:r>
                </w:p>
              </w:tc>
              <w:tc>
                <w:tcPr>
                  <w:tcW w:w="224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vertAlign w:val="baseline"/>
                      <w:lang w:val="en-US" w:eastAsia="zh-CN"/>
                    </w:rPr>
                    <w:t>/</w:t>
                  </w:r>
                </w:p>
              </w:tc>
              <w:tc>
                <w:tcPr>
                  <w:tcW w:w="1327" w:type="dxa"/>
                  <w:vMerge w:val="continue"/>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p>
              </w:tc>
              <w:tc>
                <w:tcPr>
                  <w:tcW w:w="1645"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vertAlign w:val="baseline"/>
                      <w:lang w:val="en-US" w:eastAsia="zh-CN"/>
                    </w:rPr>
                    <w:t>从下游企业回收利用（仅进行喷砂、探伤、绑定等工序，不进入熔铸工序）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机油（液压油）</w:t>
                  </w:r>
                </w:p>
              </w:tc>
              <w:tc>
                <w:tcPr>
                  <w:tcW w:w="13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w:t>
                  </w:r>
                </w:p>
              </w:tc>
              <w:tc>
                <w:tcPr>
                  <w:tcW w:w="224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vertAlign w:val="baseline"/>
                      <w:lang w:val="en-US" w:eastAsia="zh-CN"/>
                    </w:rPr>
                    <w:t>/</w:t>
                  </w:r>
                </w:p>
              </w:tc>
              <w:tc>
                <w:tcPr>
                  <w:tcW w:w="1327" w:type="dxa"/>
                  <w:vMerge w:val="restart"/>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18"/>
                      <w:szCs w:val="18"/>
                      <w:highlight w:val="none"/>
                      <w:lang w:val="en-US" w:eastAsia="zh-CN"/>
                    </w:rPr>
                  </w:pPr>
                  <w:r>
                    <w:rPr>
                      <w:rFonts w:hint="eastAsia" w:asciiTheme="minorEastAsia" w:hAnsiTheme="minorEastAsia" w:eastAsiaTheme="minorEastAsia" w:cstheme="minorEastAsia"/>
                      <w:b w:val="0"/>
                      <w:bCs w:val="0"/>
                      <w:color w:val="auto"/>
                      <w:sz w:val="18"/>
                      <w:szCs w:val="18"/>
                      <w:highlight w:val="none"/>
                      <w:lang w:val="en-US" w:eastAsia="zh-CN"/>
                    </w:rPr>
                    <w:t>桶装，化学品仓库</w:t>
                  </w:r>
                </w:p>
              </w:tc>
              <w:tc>
                <w:tcPr>
                  <w:tcW w:w="1645" w:type="dxa"/>
                  <w:vMerge w:val="restart"/>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18"/>
                      <w:szCs w:val="18"/>
                      <w:highlight w:val="none"/>
                      <w:lang w:val="en-US" w:eastAsia="zh-CN"/>
                    </w:rPr>
                  </w:pPr>
                  <w:r>
                    <w:rPr>
                      <w:rFonts w:hint="eastAsia" w:asciiTheme="minorEastAsia" w:hAnsiTheme="minorEastAsia" w:eastAsiaTheme="minorEastAsia" w:cstheme="minorEastAsia"/>
                      <w:b w:val="0"/>
                      <w:bCs w:val="0"/>
                      <w:color w:val="auto"/>
                      <w:sz w:val="18"/>
                      <w:szCs w:val="18"/>
                      <w:highlight w:val="none"/>
                      <w:lang w:val="en-US" w:eastAsia="zh-CN"/>
                    </w:rPr>
                    <w:t>机加工工序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导轨油</w:t>
                  </w:r>
                </w:p>
              </w:tc>
              <w:tc>
                <w:tcPr>
                  <w:tcW w:w="13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w:t>
                  </w:r>
                </w:p>
              </w:tc>
              <w:tc>
                <w:tcPr>
                  <w:tcW w:w="2248" w:type="dxa"/>
                  <w:tcBorders>
                    <w:tl2br w:val="nil"/>
                    <w:tr2bl w:val="nil"/>
                  </w:tcBorders>
                  <w:vAlign w:val="center"/>
                </w:tcPr>
                <w:p>
                  <w:pPr>
                    <w:numPr>
                      <w:ilvl w:val="0"/>
                      <w:numId w:val="0"/>
                    </w:numPr>
                    <w:ind w:left="0" w:leftChars="0" w:firstLine="0" w:firstLineChars="0"/>
                    <w:jc w:val="center"/>
                    <w:rPr>
                      <w:rFonts w:hint="eastAsia" w:asciiTheme="minorEastAsia" w:hAnsiTheme="minorEastAsia" w:eastAsiaTheme="minorEastAsia" w:cstheme="minorEastAsia"/>
                      <w:color w:val="auto"/>
                      <w:sz w:val="18"/>
                      <w:szCs w:val="18"/>
                      <w:highlight w:val="none"/>
                      <w:vertAlign w:val="baseline"/>
                      <w:lang w:val="en-US" w:eastAsia="zh-CN"/>
                    </w:rPr>
                  </w:pPr>
                  <w:r>
                    <w:rPr>
                      <w:rFonts w:hint="eastAsia" w:asciiTheme="minorEastAsia" w:hAnsiTheme="minorEastAsia" w:eastAsiaTheme="minorEastAsia" w:cstheme="minorEastAsia"/>
                      <w:color w:val="auto"/>
                      <w:sz w:val="18"/>
                      <w:szCs w:val="18"/>
                      <w:highlight w:val="none"/>
                      <w:vertAlign w:val="baseline"/>
                      <w:lang w:val="en-US" w:eastAsia="zh-CN"/>
                    </w:rPr>
                    <w:t>/</w:t>
                  </w:r>
                </w:p>
              </w:tc>
              <w:tc>
                <w:tcPr>
                  <w:tcW w:w="1327" w:type="dxa"/>
                  <w:vMerge w:val="continue"/>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rPr>
                  </w:pPr>
                </w:p>
              </w:tc>
              <w:tc>
                <w:tcPr>
                  <w:tcW w:w="1645" w:type="dxa"/>
                  <w:vMerge w:val="continue"/>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切削液</w:t>
                  </w:r>
                </w:p>
              </w:tc>
              <w:tc>
                <w:tcPr>
                  <w:tcW w:w="13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10</w:t>
                  </w:r>
                </w:p>
              </w:tc>
              <w:tc>
                <w:tcPr>
                  <w:tcW w:w="2248"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lang w:val="en-US" w:eastAsia="zh-CN"/>
                    </w:rPr>
                  </w:pPr>
                  <w:r>
                    <w:rPr>
                      <w:rFonts w:hint="eastAsia" w:asciiTheme="minorEastAsia" w:hAnsiTheme="minorEastAsia" w:eastAsiaTheme="minorEastAsia" w:cstheme="minorEastAsia"/>
                      <w:b/>
                      <w:bCs/>
                      <w:color w:val="auto"/>
                      <w:sz w:val="18"/>
                      <w:szCs w:val="18"/>
                      <w:highlight w:val="none"/>
                      <w:lang w:val="en-US" w:eastAsia="zh-CN"/>
                    </w:rPr>
                    <w:t>/</w:t>
                  </w:r>
                </w:p>
              </w:tc>
              <w:tc>
                <w:tcPr>
                  <w:tcW w:w="1327" w:type="dxa"/>
                  <w:vMerge w:val="continue"/>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rPr>
                  </w:pPr>
                </w:p>
              </w:tc>
              <w:tc>
                <w:tcPr>
                  <w:tcW w:w="1645" w:type="dxa"/>
                  <w:vMerge w:val="continue"/>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刚玉砂</w:t>
                  </w:r>
                </w:p>
              </w:tc>
              <w:tc>
                <w:tcPr>
                  <w:tcW w:w="13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20</w:t>
                  </w:r>
                </w:p>
              </w:tc>
              <w:tc>
                <w:tcPr>
                  <w:tcW w:w="2248" w:type="dxa"/>
                  <w:tcBorders>
                    <w:tl2br w:val="nil"/>
                    <w:tr2bl w:val="nil"/>
                  </w:tcBorders>
                  <w:vAlign w:val="center"/>
                </w:tcPr>
                <w:p>
                  <w:pPr>
                    <w:jc w:val="center"/>
                    <w:rPr>
                      <w:rFonts w:hint="eastAsia" w:asciiTheme="minorEastAsia" w:hAnsiTheme="minorEastAsia" w:eastAsiaTheme="minorEastAsia" w:cstheme="minorEastAsia"/>
                      <w:b/>
                      <w:bCs/>
                      <w:color w:val="auto"/>
                      <w:sz w:val="18"/>
                      <w:szCs w:val="18"/>
                      <w:highlight w:val="none"/>
                    </w:rPr>
                  </w:pPr>
                  <w:r>
                    <w:rPr>
                      <w:rFonts w:hint="eastAsia" w:asciiTheme="minorEastAsia" w:hAnsiTheme="minorEastAsia" w:eastAsiaTheme="minorEastAsia" w:cstheme="minorEastAsia"/>
                      <w:b w:val="0"/>
                      <w:bCs w:val="0"/>
                      <w:color w:val="auto"/>
                      <w:sz w:val="18"/>
                      <w:szCs w:val="18"/>
                      <w:highlight w:val="none"/>
                      <w:lang w:val="en-US" w:eastAsia="zh-CN"/>
                    </w:rPr>
                    <w:t>Al</w:t>
                  </w:r>
                  <w:r>
                    <w:rPr>
                      <w:rFonts w:hint="eastAsia" w:asciiTheme="minorEastAsia" w:hAnsiTheme="minorEastAsia" w:eastAsiaTheme="minorEastAsia" w:cstheme="minorEastAsia"/>
                      <w:b w:val="0"/>
                      <w:bCs w:val="0"/>
                      <w:color w:val="auto"/>
                      <w:sz w:val="18"/>
                      <w:szCs w:val="18"/>
                      <w:highlight w:val="none"/>
                      <w:vertAlign w:val="subscript"/>
                      <w:lang w:val="en-US" w:eastAsia="zh-CN"/>
                    </w:rPr>
                    <w:t>2</w:t>
                  </w:r>
                  <w:r>
                    <w:rPr>
                      <w:rFonts w:hint="eastAsia" w:asciiTheme="minorEastAsia" w:hAnsiTheme="minorEastAsia" w:eastAsiaTheme="minorEastAsia" w:cstheme="minorEastAsia"/>
                      <w:b w:val="0"/>
                      <w:bCs w:val="0"/>
                      <w:color w:val="auto"/>
                      <w:sz w:val="18"/>
                      <w:szCs w:val="18"/>
                      <w:highlight w:val="none"/>
                      <w:lang w:val="en-US" w:eastAsia="zh-CN"/>
                    </w:rPr>
                    <w:t>O</w:t>
                  </w:r>
                  <w:r>
                    <w:rPr>
                      <w:rFonts w:hint="eastAsia" w:asciiTheme="minorEastAsia" w:hAnsiTheme="minorEastAsia" w:eastAsiaTheme="minorEastAsia" w:cstheme="minorEastAsia"/>
                      <w:b w:val="0"/>
                      <w:bCs w:val="0"/>
                      <w:color w:val="auto"/>
                      <w:sz w:val="18"/>
                      <w:szCs w:val="18"/>
                      <w:highlight w:val="none"/>
                      <w:vertAlign w:val="subscript"/>
                      <w:lang w:val="en-US" w:eastAsia="zh-CN"/>
                    </w:rPr>
                    <w:t>3</w:t>
                  </w:r>
                  <w:r>
                    <w:rPr>
                      <w:rFonts w:hint="eastAsia" w:asciiTheme="minorEastAsia" w:hAnsiTheme="minorEastAsia" w:eastAsiaTheme="minorEastAsia" w:cstheme="minorEastAsia"/>
                      <w:b w:val="0"/>
                      <w:bCs w:val="0"/>
                      <w:color w:val="auto"/>
                      <w:sz w:val="18"/>
                      <w:szCs w:val="18"/>
                      <w:highlight w:val="none"/>
                      <w:vertAlign w:val="baseline"/>
                      <w:lang w:val="en-US" w:eastAsia="zh-CN"/>
                    </w:rPr>
                    <w:t>&gt;</w:t>
                  </w:r>
                  <w:r>
                    <w:rPr>
                      <w:rFonts w:hint="eastAsia" w:asciiTheme="minorEastAsia" w:hAnsiTheme="minorEastAsia" w:eastAsiaTheme="minorEastAsia" w:cstheme="minorEastAsia"/>
                      <w:b w:val="0"/>
                      <w:bCs w:val="0"/>
                      <w:color w:val="auto"/>
                      <w:sz w:val="18"/>
                      <w:szCs w:val="18"/>
                      <w:highlight w:val="none"/>
                      <w:lang w:val="en-US" w:eastAsia="zh-CN"/>
                    </w:rPr>
                    <w:t>‌98%</w:t>
                  </w:r>
                </w:p>
              </w:tc>
              <w:tc>
                <w:tcPr>
                  <w:tcW w:w="1327" w:type="dxa"/>
                  <w:vMerge w:val="restart"/>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color w:val="auto"/>
                      <w:sz w:val="18"/>
                      <w:szCs w:val="18"/>
                      <w:highlight w:val="none"/>
                      <w:vertAlign w:val="baseline"/>
                      <w:lang w:val="en-US" w:eastAsia="zh-CN"/>
                    </w:rPr>
                    <w:t>A厂房辅仓</w:t>
                  </w:r>
                </w:p>
              </w:tc>
              <w:tc>
                <w:tcPr>
                  <w:tcW w:w="1645"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18"/>
                      <w:szCs w:val="18"/>
                      <w:highlight w:val="none"/>
                      <w:lang w:val="en-US"/>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喷砂工序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石榴石砂</w:t>
                  </w:r>
                </w:p>
              </w:tc>
              <w:tc>
                <w:tcPr>
                  <w:tcW w:w="13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p>
                <w:p>
                  <w:pPr>
                    <w:bidi w:val="0"/>
                    <w:ind w:firstLine="498" w:firstLineChars="0"/>
                    <w:jc w:val="left"/>
                    <w:rPr>
                      <w:rFonts w:hint="default" w:ascii="Calibri" w:hAnsi="Calibri"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22</w:t>
                  </w:r>
                </w:p>
              </w:tc>
              <w:tc>
                <w:tcPr>
                  <w:tcW w:w="2248" w:type="dxa"/>
                  <w:tcBorders>
                    <w:tl2br w:val="nil"/>
                    <w:tr2bl w:val="nil"/>
                  </w:tcBorders>
                  <w:vAlign w:val="center"/>
                </w:tcPr>
                <w:p>
                  <w:pPr>
                    <w:jc w:val="center"/>
                    <w:rPr>
                      <w:rFonts w:hint="eastAsia" w:asciiTheme="minorEastAsia" w:hAnsiTheme="minorEastAsia" w:eastAsiaTheme="minorEastAsia" w:cstheme="minorEastAsia"/>
                      <w:b/>
                      <w:bCs/>
                      <w:color w:val="auto"/>
                      <w:sz w:val="18"/>
                      <w:szCs w:val="18"/>
                      <w:highlight w:val="none"/>
                    </w:rPr>
                  </w:pPr>
                  <w:r>
                    <w:rPr>
                      <w:rStyle w:val="33"/>
                      <w:rFonts w:hint="eastAsia" w:asciiTheme="minorEastAsia" w:hAnsiTheme="minorEastAsia" w:eastAsiaTheme="minorEastAsia" w:cstheme="minorEastAsia"/>
                      <w:i w:val="0"/>
                      <w:iCs w:val="0"/>
                      <w:caps w:val="0"/>
                      <w:color w:val="auto"/>
                      <w:spacing w:val="0"/>
                      <w:sz w:val="18"/>
                      <w:szCs w:val="18"/>
                      <w:highlight w:val="none"/>
                      <w:shd w:val="clear" w:fill="FFFFFF"/>
                    </w:rPr>
                    <w:t>主要成分为SiO₂（36%-40%）、Al₂O₃（20%-24%）和FeO（22%-24%）</w:t>
                  </w:r>
                </w:p>
              </w:tc>
              <w:tc>
                <w:tcPr>
                  <w:tcW w:w="1327" w:type="dxa"/>
                  <w:vMerge w:val="continue"/>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18"/>
                      <w:szCs w:val="18"/>
                      <w:highlight w:val="none"/>
                      <w:vertAlign w:val="baseline"/>
                      <w:lang w:val="en-US" w:eastAsia="zh-CN"/>
                    </w:rPr>
                  </w:pPr>
                </w:p>
              </w:tc>
              <w:tc>
                <w:tcPr>
                  <w:tcW w:w="1645"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铝靶材水刀切割工序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纯铟焊料</w:t>
                  </w:r>
                </w:p>
              </w:tc>
              <w:tc>
                <w:tcPr>
                  <w:tcW w:w="13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kern w:val="2"/>
                      <w:sz w:val="18"/>
                      <w:szCs w:val="18"/>
                      <w:highlight w:val="none"/>
                      <w:lang w:val="en-US" w:eastAsia="zh-CN" w:bidi="ar-SA"/>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w:t>
                  </w:r>
                </w:p>
              </w:tc>
              <w:tc>
                <w:tcPr>
                  <w:tcW w:w="2248"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bidi="ar"/>
                    </w:rPr>
                    <w:t>纯度≥99.9999%</w:t>
                  </w:r>
                </w:p>
              </w:tc>
              <w:tc>
                <w:tcPr>
                  <w:tcW w:w="1327" w:type="dxa"/>
                  <w:vMerge w:val="continue"/>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lang w:val="en-US" w:eastAsia="zh-CN"/>
                    </w:rPr>
                  </w:pPr>
                </w:p>
              </w:tc>
              <w:tc>
                <w:tcPr>
                  <w:tcW w:w="1645"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18"/>
                      <w:szCs w:val="18"/>
                      <w:highlight w:val="none"/>
                      <w:lang w:val="en-US" w:eastAsia="zh-CN"/>
                    </w:rPr>
                  </w:pPr>
                  <w:r>
                    <w:rPr>
                      <w:rFonts w:hint="eastAsia" w:asciiTheme="minorEastAsia" w:hAnsiTheme="minorEastAsia" w:eastAsiaTheme="minorEastAsia" w:cstheme="minorEastAsia"/>
                      <w:b w:val="0"/>
                      <w:bCs w:val="0"/>
                      <w:color w:val="auto"/>
                      <w:sz w:val="18"/>
                      <w:szCs w:val="18"/>
                      <w:highlight w:val="none"/>
                      <w:lang w:val="en-US" w:eastAsia="zh-CN"/>
                    </w:rPr>
                    <w:t>绑定焊接工序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清洗剂</w:t>
                  </w:r>
                </w:p>
              </w:tc>
              <w:tc>
                <w:tcPr>
                  <w:tcW w:w="13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5</w:t>
                  </w:r>
                </w:p>
              </w:tc>
              <w:tc>
                <w:tcPr>
                  <w:tcW w:w="2248"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活性剂（</w:t>
                  </w:r>
                  <w:r>
                    <w:rPr>
                      <w:rFonts w:hint="eastAsia" w:asciiTheme="minorEastAsia" w:hAnsiTheme="minorEastAsia" w:eastAsiaTheme="minorEastAsia" w:cstheme="minorEastAsia"/>
                      <w:i w:val="0"/>
                      <w:iCs w:val="0"/>
                      <w:caps w:val="0"/>
                      <w:color w:val="auto"/>
                      <w:spacing w:val="0"/>
                      <w:sz w:val="18"/>
                      <w:szCs w:val="18"/>
                      <w:highlight w:val="none"/>
                      <w:shd w:val="clear" w:fill="FFFFFF"/>
                    </w:rPr>
                    <w:t>C</w:t>
                  </w:r>
                  <w:r>
                    <w:rPr>
                      <w:rFonts w:hint="eastAsia" w:asciiTheme="minorEastAsia" w:hAnsiTheme="minorEastAsia" w:eastAsiaTheme="minorEastAsia" w:cstheme="minorEastAsia"/>
                      <w:i w:val="0"/>
                      <w:iCs w:val="0"/>
                      <w:caps w:val="0"/>
                      <w:color w:val="auto"/>
                      <w:spacing w:val="0"/>
                      <w:sz w:val="18"/>
                      <w:szCs w:val="18"/>
                      <w:highlight w:val="none"/>
                      <w:shd w:val="clear" w:fill="FFFFFF"/>
                      <w:vertAlign w:val="subscript"/>
                    </w:rPr>
                    <w:t>11</w:t>
                  </w:r>
                  <w:r>
                    <w:rPr>
                      <w:rFonts w:hint="eastAsia" w:asciiTheme="minorEastAsia" w:hAnsiTheme="minorEastAsia" w:eastAsiaTheme="minorEastAsia" w:cstheme="minorEastAsia"/>
                      <w:i w:val="0"/>
                      <w:iCs w:val="0"/>
                      <w:caps w:val="0"/>
                      <w:color w:val="auto"/>
                      <w:spacing w:val="0"/>
                      <w:sz w:val="18"/>
                      <w:szCs w:val="18"/>
                      <w:highlight w:val="none"/>
                      <w:shd w:val="clear" w:fill="FFFFFF"/>
                    </w:rPr>
                    <w:t>H</w:t>
                  </w:r>
                  <w:r>
                    <w:rPr>
                      <w:rFonts w:hint="eastAsia" w:asciiTheme="minorEastAsia" w:hAnsiTheme="minorEastAsia" w:eastAsiaTheme="minorEastAsia" w:cstheme="minorEastAsia"/>
                      <w:i w:val="0"/>
                      <w:iCs w:val="0"/>
                      <w:caps w:val="0"/>
                      <w:color w:val="auto"/>
                      <w:spacing w:val="0"/>
                      <w:sz w:val="18"/>
                      <w:szCs w:val="18"/>
                      <w:highlight w:val="none"/>
                      <w:shd w:val="clear" w:fill="FFFFFF"/>
                      <w:vertAlign w:val="subscript"/>
                    </w:rPr>
                    <w:t>13</w:t>
                  </w:r>
                  <w:r>
                    <w:rPr>
                      <w:rFonts w:hint="eastAsia" w:asciiTheme="minorEastAsia" w:hAnsiTheme="minorEastAsia" w:eastAsiaTheme="minorEastAsia" w:cstheme="minorEastAsia"/>
                      <w:i w:val="0"/>
                      <w:iCs w:val="0"/>
                      <w:caps w:val="0"/>
                      <w:color w:val="auto"/>
                      <w:spacing w:val="0"/>
                      <w:sz w:val="18"/>
                      <w:szCs w:val="18"/>
                      <w:highlight w:val="none"/>
                      <w:shd w:val="clear" w:fill="FFFFFF"/>
                    </w:rPr>
                    <w:t>IN</w:t>
                  </w:r>
                  <w:r>
                    <w:rPr>
                      <w:rFonts w:hint="eastAsia" w:asciiTheme="minorEastAsia" w:hAnsiTheme="minorEastAsia" w:eastAsiaTheme="minorEastAsia" w:cstheme="minorEastAsia"/>
                      <w:i w:val="0"/>
                      <w:iCs w:val="0"/>
                      <w:caps w:val="0"/>
                      <w:color w:val="auto"/>
                      <w:spacing w:val="0"/>
                      <w:sz w:val="18"/>
                      <w:szCs w:val="18"/>
                      <w:highlight w:val="none"/>
                      <w:shd w:val="clear" w:fill="FFFFFF"/>
                      <w:vertAlign w:val="subscript"/>
                    </w:rPr>
                    <w:t>3</w:t>
                  </w:r>
                  <w:r>
                    <w:rPr>
                      <w:rFonts w:hint="eastAsia" w:asciiTheme="minorEastAsia" w:hAnsiTheme="minorEastAsia" w:eastAsiaTheme="minorEastAsia" w:cstheme="minorEastAsia"/>
                      <w:i w:val="0"/>
                      <w:iCs w:val="0"/>
                      <w:caps w:val="0"/>
                      <w:color w:val="auto"/>
                      <w:spacing w:val="0"/>
                      <w:sz w:val="18"/>
                      <w:szCs w:val="18"/>
                      <w:highlight w:val="none"/>
                      <w:shd w:val="clear" w:fill="FFFFFF"/>
                    </w:rPr>
                    <w:t>O</w:t>
                  </w:r>
                  <w:r>
                    <w:rPr>
                      <w:rFonts w:hint="eastAsia" w:asciiTheme="minorEastAsia" w:hAnsiTheme="minorEastAsia" w:eastAsiaTheme="minorEastAsia" w:cstheme="minorEastAsia"/>
                      <w:i w:val="0"/>
                      <w:iCs w:val="0"/>
                      <w:caps w:val="0"/>
                      <w:color w:val="auto"/>
                      <w:spacing w:val="0"/>
                      <w:sz w:val="18"/>
                      <w:szCs w:val="18"/>
                      <w:highlight w:val="none"/>
                      <w:shd w:val="clear" w:fill="FFFFFF"/>
                      <w:vertAlign w:val="subscript"/>
                    </w:rPr>
                    <w:t>2</w:t>
                  </w:r>
                  <w:r>
                    <w:rPr>
                      <w:rFonts w:hint="eastAsia" w:asciiTheme="minorEastAsia" w:hAnsiTheme="minorEastAsia" w:eastAsiaTheme="minorEastAsia" w:cstheme="minorEastAsia"/>
                      <w:i w:val="0"/>
                      <w:iCs w:val="0"/>
                      <w:caps w:val="0"/>
                      <w:color w:val="auto"/>
                      <w:spacing w:val="0"/>
                      <w:sz w:val="18"/>
                      <w:szCs w:val="18"/>
                      <w:highlight w:val="none"/>
                      <w:shd w:val="clear" w:fill="FFFFFF"/>
                    </w:rPr>
                    <w:t>P </w:t>
                  </w: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）10-20%；氢氧化钾15~20%，乙二胺四乙酸四钠5-10%；其余为去离子水，25kg塑料桶装</w:t>
                  </w:r>
                </w:p>
              </w:tc>
              <w:tc>
                <w:tcPr>
                  <w:tcW w:w="1327" w:type="dxa"/>
                  <w:vMerge w:val="continue"/>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lang w:val="en-US" w:eastAsia="zh-CN"/>
                    </w:rPr>
                  </w:pPr>
                </w:p>
              </w:tc>
              <w:tc>
                <w:tcPr>
                  <w:tcW w:w="1645"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18"/>
                      <w:szCs w:val="18"/>
                      <w:highlight w:val="none"/>
                      <w:lang w:val="en-US" w:eastAsia="zh-CN"/>
                    </w:rPr>
                  </w:pPr>
                  <w:r>
                    <w:rPr>
                      <w:rFonts w:hint="eastAsia" w:asciiTheme="minorEastAsia" w:hAnsiTheme="minorEastAsia" w:eastAsiaTheme="minorEastAsia" w:cstheme="minorEastAsia"/>
                      <w:b w:val="0"/>
                      <w:bCs w:val="0"/>
                      <w:color w:val="auto"/>
                      <w:sz w:val="18"/>
                      <w:szCs w:val="18"/>
                      <w:highlight w:val="none"/>
                      <w:lang w:val="en-US" w:eastAsia="zh-CN"/>
                    </w:rPr>
                    <w:t>超声清洗工序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白砂纸</w:t>
                  </w:r>
                </w:p>
              </w:tc>
              <w:tc>
                <w:tcPr>
                  <w:tcW w:w="13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30000张/a</w:t>
                  </w:r>
                </w:p>
              </w:tc>
              <w:tc>
                <w:tcPr>
                  <w:tcW w:w="2248"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w:t>
                  </w:r>
                </w:p>
              </w:tc>
              <w:tc>
                <w:tcPr>
                  <w:tcW w:w="1327" w:type="dxa"/>
                  <w:vMerge w:val="continue"/>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lang w:val="en-US" w:eastAsia="zh-CN"/>
                    </w:rPr>
                  </w:pPr>
                </w:p>
              </w:tc>
              <w:tc>
                <w:tcPr>
                  <w:tcW w:w="1645"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18"/>
                      <w:szCs w:val="18"/>
                      <w:highlight w:val="none"/>
                      <w:lang w:val="en-US" w:eastAsia="zh-CN"/>
                    </w:rPr>
                  </w:pPr>
                  <w:r>
                    <w:rPr>
                      <w:rFonts w:hint="eastAsia" w:asciiTheme="minorEastAsia" w:hAnsiTheme="minorEastAsia" w:eastAsiaTheme="minorEastAsia" w:cstheme="minorEastAsia"/>
                      <w:b w:val="0"/>
                      <w:bCs w:val="0"/>
                      <w:color w:val="auto"/>
                      <w:sz w:val="18"/>
                      <w:szCs w:val="18"/>
                      <w:highlight w:val="none"/>
                      <w:lang w:val="en-US" w:eastAsia="zh-CN"/>
                    </w:rPr>
                    <w:t>抛光工序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酒精</w:t>
                  </w:r>
                </w:p>
              </w:tc>
              <w:tc>
                <w:tcPr>
                  <w:tcW w:w="13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400L/a</w:t>
                  </w:r>
                </w:p>
              </w:tc>
              <w:tc>
                <w:tcPr>
                  <w:tcW w:w="2248"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分析纯500ml/瓶</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工业酒精，250升桶装</w:t>
                  </w:r>
                </w:p>
              </w:tc>
              <w:tc>
                <w:tcPr>
                  <w:tcW w:w="1327"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化学品仓库</w:t>
                  </w:r>
                </w:p>
              </w:tc>
              <w:tc>
                <w:tcPr>
                  <w:tcW w:w="1645" w:type="dxa"/>
                  <w:vMerge w:val="restart"/>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擦拭清洗工序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44"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无尘布</w:t>
                  </w:r>
                </w:p>
              </w:tc>
              <w:tc>
                <w:tcPr>
                  <w:tcW w:w="135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i w:val="0"/>
                      <w:iCs w:val="0"/>
                      <w:color w:val="auto"/>
                      <w:kern w:val="0"/>
                      <w:sz w:val="18"/>
                      <w:szCs w:val="18"/>
                      <w:highlight w:val="none"/>
                      <w:u w:val="none"/>
                      <w:lang w:val="en-US" w:eastAsia="zh-CN" w:bidi="ar"/>
                    </w:rPr>
                    <w:t>30000张/a</w:t>
                  </w:r>
                </w:p>
              </w:tc>
              <w:tc>
                <w:tcPr>
                  <w:tcW w:w="2248"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pPr>
                  <w:r>
                    <w:rPr>
                      <w:rFonts w:hint="eastAsia" w:asciiTheme="minorEastAsia" w:hAnsiTheme="minorEastAsia" w:eastAsiaTheme="minorEastAsia" w:cstheme="minorEastAsia"/>
                      <w:b w:val="0"/>
                      <w:bCs w:val="0"/>
                      <w:i w:val="0"/>
                      <w:iCs w:val="0"/>
                      <w:color w:val="auto"/>
                      <w:kern w:val="0"/>
                      <w:sz w:val="18"/>
                      <w:szCs w:val="18"/>
                      <w:highlight w:val="none"/>
                      <w:u w:val="none"/>
                      <w:lang w:val="en-US" w:eastAsia="zh-CN" w:bidi="ar"/>
                    </w:rPr>
                    <w:t>/</w:t>
                  </w:r>
                </w:p>
              </w:tc>
              <w:tc>
                <w:tcPr>
                  <w:tcW w:w="1327" w:type="dxa"/>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color w:val="auto"/>
                      <w:sz w:val="18"/>
                      <w:szCs w:val="18"/>
                      <w:highlight w:val="none"/>
                      <w:lang w:val="en-US" w:eastAsia="zh-CN"/>
                    </w:rPr>
                  </w:pPr>
                  <w:r>
                    <w:rPr>
                      <w:rFonts w:hint="eastAsia" w:asciiTheme="minorEastAsia" w:hAnsiTheme="minorEastAsia" w:eastAsiaTheme="minorEastAsia" w:cstheme="minorEastAsia"/>
                      <w:color w:val="auto"/>
                      <w:sz w:val="18"/>
                      <w:szCs w:val="18"/>
                      <w:highlight w:val="none"/>
                      <w:vertAlign w:val="baseline"/>
                      <w:lang w:val="en-US" w:eastAsia="zh-CN"/>
                    </w:rPr>
                    <w:t>A厂房原料仓</w:t>
                  </w:r>
                </w:p>
              </w:tc>
              <w:tc>
                <w:tcPr>
                  <w:tcW w:w="1645" w:type="dxa"/>
                  <w:vMerge w:val="continue"/>
                  <w:tcBorders>
                    <w:tl2br w:val="nil"/>
                    <w:tr2bl w:val="nil"/>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color w:val="auto"/>
                      <w:sz w:val="18"/>
                      <w:szCs w:val="18"/>
                      <w:highlight w:val="none"/>
                      <w:lang w:val="en-US" w:eastAsia="zh-CN"/>
                    </w:rPr>
                  </w:pPr>
                </w:p>
              </w:tc>
            </w:tr>
          </w:tbl>
          <w:p>
            <w:pPr>
              <w:numPr>
                <w:ilvl w:val="0"/>
                <w:numId w:val="0"/>
              </w:numPr>
              <w:ind w:firstLine="420"/>
              <w:rPr>
                <w:rFonts w:hint="default" w:eastAsia="宋体"/>
                <w:b w:val="0"/>
                <w:bCs w:val="0"/>
                <w:color w:val="auto"/>
                <w:highlight w:val="none"/>
                <w:lang w:val="en-US" w:eastAsia="zh-CN"/>
              </w:rPr>
            </w:pPr>
          </w:p>
          <w:p>
            <w:pPr>
              <w:pStyle w:val="66"/>
              <w:numPr>
                <w:ilvl w:val="3"/>
                <w:numId w:val="0"/>
              </w:numPr>
              <w:rPr>
                <w:color w:val="auto"/>
                <w:highlight w:val="none"/>
              </w:rPr>
            </w:pPr>
            <w:r>
              <w:rPr>
                <w:rFonts w:hint="eastAsia"/>
                <w:color w:val="auto"/>
                <w:highlight w:val="none"/>
              </w:rPr>
              <w:t>2.2.5项目主要生产设备</w:t>
            </w:r>
          </w:p>
          <w:p>
            <w:pPr>
              <w:pStyle w:val="72"/>
              <w:ind w:firstLine="480"/>
              <w:rPr>
                <w:color w:val="auto"/>
                <w:sz w:val="24"/>
                <w:szCs w:val="24"/>
                <w:highlight w:val="none"/>
              </w:rPr>
            </w:pPr>
            <w:r>
              <w:rPr>
                <w:rFonts w:hint="eastAsia"/>
                <w:color w:val="auto"/>
                <w:sz w:val="24"/>
                <w:szCs w:val="24"/>
                <w:highlight w:val="none"/>
              </w:rPr>
              <w:t>本项目主要生产设备见表2.2.4。</w:t>
            </w:r>
          </w:p>
          <w:p>
            <w:pPr>
              <w:pStyle w:val="68"/>
              <w:rPr>
                <w:rFonts w:hint="eastAsia"/>
                <w:color w:val="auto"/>
                <w:highlight w:val="none"/>
              </w:rPr>
            </w:pPr>
            <w:r>
              <w:rPr>
                <w:rFonts w:hint="eastAsia"/>
                <w:color w:val="auto"/>
                <w:highlight w:val="none"/>
              </w:rPr>
              <w:t>表2.2.4项目主要生产设备一览表</w:t>
            </w:r>
          </w:p>
          <w:tbl>
            <w:tblPr>
              <w:tblStyle w:val="28"/>
              <w:tblW w:w="8080" w:type="dxa"/>
              <w:tblInd w:w="-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01"/>
              <w:gridCol w:w="1200"/>
              <w:gridCol w:w="1521"/>
              <w:gridCol w:w="2024"/>
              <w:gridCol w:w="1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501" w:type="dxa"/>
                  <w:vMerge w:val="restart"/>
                  <w:tcBorders>
                    <w:top w:val="single" w:color="000000" w:sz="4" w:space="0"/>
                    <w:left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设备名称</w:t>
                  </w:r>
                </w:p>
              </w:tc>
              <w:tc>
                <w:tcPr>
                  <w:tcW w:w="2721" w:type="dxa"/>
                  <w:gridSpan w:val="2"/>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设备数量（台/套）</w:t>
                  </w:r>
                </w:p>
              </w:tc>
              <w:tc>
                <w:tcPr>
                  <w:tcW w:w="2024" w:type="dxa"/>
                  <w:vMerge w:val="restart"/>
                  <w:tcBorders>
                    <w:top w:val="single" w:color="000000" w:sz="4" w:space="0"/>
                    <w:left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w:t>
                  </w:r>
                </w:p>
              </w:tc>
              <w:tc>
                <w:tcPr>
                  <w:tcW w:w="1834" w:type="dxa"/>
                  <w:vMerge w:val="restart"/>
                  <w:tcBorders>
                    <w:top w:val="single" w:color="000000" w:sz="4" w:space="0"/>
                    <w:left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用途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vMerge w:val="continue"/>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迁移设备</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2"/>
                      <w:sz w:val="18"/>
                      <w:szCs w:val="18"/>
                      <w:highlight w:val="none"/>
                      <w:u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增加投入</w:t>
                  </w:r>
                </w:p>
              </w:tc>
              <w:tc>
                <w:tcPr>
                  <w:tcW w:w="2024" w:type="dxa"/>
                  <w:vMerge w:val="continue"/>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834" w:type="dxa"/>
                  <w:vMerge w:val="continue"/>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真空感应定向炉</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4</w:t>
                  </w:r>
                </w:p>
              </w:tc>
              <w:tc>
                <w:tcPr>
                  <w:tcW w:w="2024"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500kg</w:t>
                  </w:r>
                </w:p>
              </w:tc>
              <w:tc>
                <w:tcPr>
                  <w:tcW w:w="1834" w:type="dxa"/>
                  <w:vMerge w:val="restart"/>
                  <w:tcBorders>
                    <w:left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铝靶熔铸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真空感应炉</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w:t>
                  </w:r>
                </w:p>
              </w:tc>
              <w:tc>
                <w:tcPr>
                  <w:tcW w:w="2024"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1吨</w:t>
                  </w:r>
                </w:p>
              </w:tc>
              <w:tc>
                <w:tcPr>
                  <w:tcW w:w="1834" w:type="dxa"/>
                  <w:vMerge w:val="continue"/>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超声清洗机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2</w:t>
                  </w:r>
                </w:p>
              </w:tc>
              <w:tc>
                <w:tcPr>
                  <w:tcW w:w="2024"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834"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超声清洗工序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锻压机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1(利旧，未搬迁)</w:t>
                  </w:r>
                </w:p>
              </w:tc>
              <w:tc>
                <w:tcPr>
                  <w:tcW w:w="2024"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3T</w:t>
                  </w:r>
                </w:p>
              </w:tc>
              <w:tc>
                <w:tcPr>
                  <w:tcW w:w="1834" w:type="dxa"/>
                  <w:vMerge w:val="restart"/>
                  <w:tcBorders>
                    <w:left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未搬迁，利用原有设备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轧机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1(利旧，未搬迁)</w:t>
                  </w:r>
                </w:p>
              </w:tc>
              <w:tc>
                <w:tcPr>
                  <w:tcW w:w="2024" w:type="dxa"/>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ø750X800mm</w:t>
                  </w:r>
                </w:p>
              </w:tc>
              <w:tc>
                <w:tcPr>
                  <w:tcW w:w="1834" w:type="dxa"/>
                  <w:vMerge w:val="continue"/>
                  <w:tcBorders>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宋体" w:hAnsi="宋体" w:eastAsia="宋体" w:cs="宋体"/>
                      <w:i w:val="0"/>
                      <w:iCs w:val="0"/>
                      <w:color w:val="auto"/>
                      <w:kern w:val="0"/>
                      <w:sz w:val="18"/>
                      <w:szCs w:val="18"/>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退火炉</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ZTS-1800</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铝靶退火（热处理）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钻攻机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机械加工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型材加工中心</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机械加工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龙门加工中心</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机械加工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锯床</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机械加工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矫平机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机械加工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水刀切割机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机械加工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数控车床</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机械加工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内孔镗床</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机械加工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牛腿、承轨梁及起重设备</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2.8T*11.45M*9M</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吊装运输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LD型欧式电动单梁起重机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1T*11.21M*4M</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吊装运输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LD电动单梁起重机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1t*7.58m*2.2m</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吊装运输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起重设备</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0.5T</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吊装运输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单轨行车</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60米</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吊装运输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超涂铟机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MR-1030C</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靶材焊接绑定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涂铟机（DCX超声波焊接机）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2.5DCXS20HOR</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靶材焊接绑定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电动叉车</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3.5T</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靶材包装及运输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搬运车</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4T</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电动轨道平车</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1T</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四向叉车</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1.5T</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电动平车</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5T</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移动式气控喷砂机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STR-630Y移动气控</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方型靶材自动修正翻转机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非标制定</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靶材翻转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长型靶材自动修正翻转机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非标制定</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靶材翻转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真空吸盘吊具</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800KG</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吊装运输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绑定快速吊具</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200KG</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吊装运输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自动化精密抛光机器人设备</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20iA-R1800</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靶材焊接绑定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自动化精密喷砂机器人设备</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20iB-R1800</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靶材焊接绑定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自动化精密喷砂机器人设备</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20iB-R1800</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靶材焊接绑定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长条靶加热平台</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4000*850*800mm</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靶材焊接绑定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长条靶校平机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非标制定</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靶材校正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方靶自动绑定系统</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非标制定</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方靶绑定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方靶加热平台</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非标制定</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方靶绑定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中小靶加热平台</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2000*1000*900</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中小靶绑定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超声波靶材绑定发生器</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MR-1030C</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中小靶绑定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方靶校平机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非标制定</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方靶校正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自动喷砂机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非标制定</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金属靶材表面毛化加工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自动抛光机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非标制定</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靶材表面抛光清洁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真空包装机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双丰凯驰1000型</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激光打标机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KL-20W</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包装配套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50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相控阵探伤机</w:t>
                  </w:r>
                </w:p>
              </w:tc>
              <w:tc>
                <w:tcPr>
                  <w:tcW w:w="1200"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521" w:type="dxa"/>
                  <w:tcBorders>
                    <w:top w:val="single" w:color="000000" w:sz="4" w:space="0"/>
                    <w:left w:val="single" w:color="000000" w:sz="4" w:space="0"/>
                    <w:bottom w:val="single" w:color="000000" w:sz="4" w:space="0"/>
                    <w:right w:val="single" w:color="000000" w:sz="4" w:space="0"/>
                  </w:tcBorders>
                  <w:shd w:val="clear" w:color="FFFFFF" w:themeColor="background1" w:fill="auto"/>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宋体" w:hAnsi="宋体" w:eastAsia="宋体" w:cs="宋体"/>
                      <w:i w:val="0"/>
                      <w:iCs w:val="0"/>
                      <w:color w:val="auto"/>
                      <w:sz w:val="18"/>
                      <w:szCs w:val="18"/>
                      <w:highlight w:val="none"/>
                      <w:u w:val="none"/>
                    </w:rPr>
                  </w:pPr>
                </w:p>
              </w:tc>
              <w:tc>
                <w:tcPr>
                  <w:tcW w:w="202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非标制定</w:t>
                  </w:r>
                </w:p>
              </w:tc>
              <w:tc>
                <w:tcPr>
                  <w:tcW w:w="1834" w:type="dxa"/>
                  <w:tcBorders>
                    <w:top w:val="single" w:color="000000" w:sz="4" w:space="0"/>
                    <w:left w:val="single" w:color="000000" w:sz="4" w:space="0"/>
                    <w:bottom w:val="single" w:color="000000" w:sz="4" w:space="0"/>
                    <w:right w:val="single" w:color="000000" w:sz="4" w:space="0"/>
                  </w:tcBorders>
                  <w:shd w:val="clear" w:color="FFFFFF" w:themeColor="background1"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检测</w:t>
                  </w:r>
                </w:p>
              </w:tc>
            </w:tr>
          </w:tbl>
          <w:p>
            <w:pPr>
              <w:pStyle w:val="66"/>
              <w:numPr>
                <w:ilvl w:val="3"/>
                <w:numId w:val="0"/>
              </w:numPr>
              <w:rPr>
                <w:color w:val="auto"/>
                <w:highlight w:val="none"/>
              </w:rPr>
            </w:pPr>
            <w:r>
              <w:rPr>
                <w:rFonts w:hint="eastAsia"/>
                <w:color w:val="auto"/>
                <w:highlight w:val="none"/>
              </w:rPr>
              <w:t>2.2.6能源消耗与给水排水</w:t>
            </w:r>
          </w:p>
          <w:p>
            <w:pPr>
              <w:pStyle w:val="72"/>
              <w:numPr>
                <w:ilvl w:val="0"/>
                <w:numId w:val="7"/>
              </w:numPr>
              <w:ind w:firstLine="480"/>
              <w:rPr>
                <w:rFonts w:hint="eastAsia"/>
                <w:color w:val="auto"/>
                <w:sz w:val="24"/>
                <w:szCs w:val="24"/>
                <w:highlight w:val="none"/>
              </w:rPr>
            </w:pPr>
            <w:r>
              <w:rPr>
                <w:rFonts w:hint="eastAsia"/>
                <w:color w:val="auto"/>
                <w:sz w:val="24"/>
                <w:szCs w:val="24"/>
                <w:highlight w:val="none"/>
              </w:rPr>
              <w:t>供电：项目营运期用电量约</w:t>
            </w:r>
            <w:r>
              <w:rPr>
                <w:rFonts w:hint="eastAsia"/>
                <w:color w:val="auto"/>
                <w:sz w:val="24"/>
                <w:szCs w:val="24"/>
                <w:highlight w:val="none"/>
                <w:lang w:val="en-US" w:eastAsia="zh-CN"/>
              </w:rPr>
              <w:t>400万</w:t>
            </w:r>
            <w:r>
              <w:rPr>
                <w:rFonts w:hint="eastAsia"/>
                <w:color w:val="auto"/>
                <w:sz w:val="24"/>
                <w:szCs w:val="24"/>
                <w:highlight w:val="none"/>
              </w:rPr>
              <w:t>kWh/a，由当地供电部门供给。</w:t>
            </w:r>
          </w:p>
          <w:p>
            <w:pPr>
              <w:pStyle w:val="72"/>
              <w:numPr>
                <w:ilvl w:val="0"/>
                <w:numId w:val="7"/>
              </w:numPr>
              <w:ind w:firstLine="480"/>
              <w:rPr>
                <w:rFonts w:hint="eastAsia"/>
                <w:color w:val="auto"/>
                <w:sz w:val="24"/>
                <w:szCs w:val="24"/>
                <w:highlight w:val="none"/>
              </w:rPr>
            </w:pPr>
            <w:r>
              <w:rPr>
                <w:rFonts w:hint="eastAsia"/>
                <w:color w:val="auto"/>
                <w:sz w:val="24"/>
                <w:szCs w:val="24"/>
                <w:highlight w:val="none"/>
              </w:rPr>
              <w:t>给水：项目营运期总用水量为</w:t>
            </w:r>
            <w:r>
              <w:rPr>
                <w:rFonts w:hint="eastAsia"/>
                <w:color w:val="auto"/>
                <w:sz w:val="24"/>
                <w:szCs w:val="24"/>
                <w:highlight w:val="none"/>
                <w:lang w:val="en-US" w:eastAsia="zh-CN"/>
              </w:rPr>
              <w:t>9558</w:t>
            </w:r>
            <w:r>
              <w:rPr>
                <w:rFonts w:hint="eastAsia"/>
                <w:color w:val="auto"/>
                <w:sz w:val="24"/>
                <w:szCs w:val="24"/>
                <w:highlight w:val="none"/>
              </w:rPr>
              <w:t>t/a，主要为生产</w:t>
            </w:r>
            <w:r>
              <w:rPr>
                <w:rFonts w:hint="eastAsia"/>
                <w:color w:val="auto"/>
                <w:sz w:val="24"/>
                <w:szCs w:val="24"/>
                <w:highlight w:val="none"/>
                <w:lang w:val="en-US" w:eastAsia="zh-CN"/>
              </w:rPr>
              <w:t>用水、</w:t>
            </w:r>
            <w:r>
              <w:rPr>
                <w:rFonts w:hint="eastAsia"/>
                <w:color w:val="auto"/>
                <w:sz w:val="24"/>
                <w:szCs w:val="24"/>
                <w:highlight w:val="none"/>
              </w:rPr>
              <w:t>生活用水</w:t>
            </w:r>
            <w:r>
              <w:rPr>
                <w:rFonts w:hint="eastAsia"/>
                <w:color w:val="auto"/>
                <w:sz w:val="24"/>
                <w:szCs w:val="24"/>
                <w:highlight w:val="none"/>
                <w:lang w:val="en-US" w:eastAsia="zh-CN"/>
              </w:rPr>
              <w:t>和绿化用水</w:t>
            </w:r>
            <w:r>
              <w:rPr>
                <w:rFonts w:hint="eastAsia"/>
                <w:color w:val="auto"/>
                <w:sz w:val="24"/>
                <w:szCs w:val="24"/>
                <w:highlight w:val="none"/>
              </w:rPr>
              <w:t>，其中生活用水</w:t>
            </w:r>
            <w:r>
              <w:rPr>
                <w:rFonts w:hint="eastAsia"/>
                <w:color w:val="auto"/>
                <w:sz w:val="24"/>
                <w:szCs w:val="24"/>
                <w:highlight w:val="none"/>
                <w:lang w:val="en-US" w:eastAsia="zh-CN"/>
              </w:rPr>
              <w:t>3345</w:t>
            </w:r>
            <w:r>
              <w:rPr>
                <w:rFonts w:hint="eastAsia"/>
                <w:color w:val="auto"/>
                <w:sz w:val="24"/>
                <w:szCs w:val="24"/>
                <w:highlight w:val="none"/>
              </w:rPr>
              <w:t>t/a，生产用水</w:t>
            </w:r>
            <w:r>
              <w:rPr>
                <w:rFonts w:hint="eastAsia"/>
                <w:color w:val="auto"/>
                <w:sz w:val="24"/>
                <w:szCs w:val="24"/>
                <w:highlight w:val="none"/>
                <w:lang w:val="en-US" w:eastAsia="zh-CN"/>
              </w:rPr>
              <w:t>5685</w:t>
            </w:r>
            <w:r>
              <w:rPr>
                <w:rFonts w:hint="eastAsia"/>
                <w:color w:val="auto"/>
                <w:sz w:val="24"/>
                <w:szCs w:val="24"/>
                <w:highlight w:val="none"/>
              </w:rPr>
              <w:t>t/a，</w:t>
            </w:r>
            <w:r>
              <w:rPr>
                <w:rFonts w:hint="eastAsia"/>
                <w:color w:val="auto"/>
                <w:sz w:val="24"/>
                <w:szCs w:val="24"/>
                <w:highlight w:val="none"/>
                <w:lang w:val="en-US" w:eastAsia="zh-CN"/>
              </w:rPr>
              <w:t>绿化用水量为528t/a。</w:t>
            </w:r>
          </w:p>
          <w:p>
            <w:pPr>
              <w:pStyle w:val="72"/>
              <w:numPr>
                <w:ilvl w:val="0"/>
                <w:numId w:val="0"/>
              </w:numPr>
              <w:rPr>
                <w:color w:val="auto"/>
                <w:sz w:val="24"/>
                <w:szCs w:val="24"/>
                <w:highlight w:val="none"/>
              </w:rPr>
            </w:pPr>
            <w:r>
              <w:rPr>
                <w:rFonts w:hint="eastAsia"/>
                <w:color w:val="auto"/>
                <w:sz w:val="24"/>
                <w:szCs w:val="24"/>
                <w:highlight w:val="none"/>
              </w:rPr>
              <w:t>来自当地市政给水管道。</w:t>
            </w:r>
          </w:p>
          <w:p>
            <w:pPr>
              <w:pStyle w:val="72"/>
              <w:ind w:firstLine="48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①</w:t>
            </w:r>
            <w:r>
              <w:rPr>
                <w:rFonts w:hint="eastAsia" w:ascii="宋体" w:hAnsi="宋体" w:eastAsia="宋体" w:cs="宋体"/>
                <w:color w:val="auto"/>
                <w:sz w:val="24"/>
                <w:szCs w:val="24"/>
                <w:highlight w:val="none"/>
                <w:lang w:val="en-US" w:eastAsia="zh-CN"/>
              </w:rPr>
              <w:t>生活用水</w:t>
            </w:r>
          </w:p>
          <w:p>
            <w:pPr>
              <w:pStyle w:val="72"/>
              <w:ind w:firstLine="480"/>
              <w:rPr>
                <w:color w:val="auto"/>
                <w:sz w:val="24"/>
                <w:szCs w:val="24"/>
                <w:highlight w:val="none"/>
              </w:rPr>
            </w:pPr>
            <w:r>
              <w:rPr>
                <w:rFonts w:hint="eastAsia"/>
                <w:color w:val="auto"/>
                <w:sz w:val="24"/>
                <w:szCs w:val="24"/>
                <w:highlight w:val="none"/>
              </w:rPr>
              <w:t>项目全年工作时间300天，员工</w:t>
            </w:r>
            <w:r>
              <w:rPr>
                <w:rFonts w:hint="eastAsia"/>
                <w:color w:val="auto"/>
                <w:sz w:val="24"/>
                <w:szCs w:val="24"/>
                <w:highlight w:val="none"/>
                <w:lang w:val="en-US" w:eastAsia="zh-CN"/>
              </w:rPr>
              <w:t>103</w:t>
            </w:r>
            <w:r>
              <w:rPr>
                <w:rFonts w:hint="eastAsia"/>
                <w:color w:val="auto"/>
                <w:sz w:val="24"/>
                <w:szCs w:val="24"/>
                <w:highlight w:val="none"/>
              </w:rPr>
              <w:t>人，</w:t>
            </w:r>
            <w:r>
              <w:rPr>
                <w:rFonts w:hint="eastAsia"/>
                <w:color w:val="auto"/>
                <w:sz w:val="24"/>
                <w:szCs w:val="24"/>
                <w:highlight w:val="none"/>
                <w:lang w:val="en-US" w:eastAsia="zh-CN"/>
              </w:rPr>
              <w:t>其中约60人在厂内食宿</w:t>
            </w:r>
            <w:r>
              <w:rPr>
                <w:rFonts w:hint="eastAsia"/>
                <w:color w:val="auto"/>
                <w:sz w:val="24"/>
                <w:szCs w:val="24"/>
                <w:highlight w:val="none"/>
              </w:rPr>
              <w:t>，</w:t>
            </w:r>
            <w:r>
              <w:rPr>
                <w:rFonts w:hint="eastAsia"/>
                <w:color w:val="auto"/>
                <w:sz w:val="24"/>
                <w:szCs w:val="24"/>
                <w:highlight w:val="none"/>
                <w:lang w:val="en-US" w:eastAsia="zh-CN"/>
              </w:rPr>
              <w:t>住厂职工用</w:t>
            </w:r>
            <w:r>
              <w:rPr>
                <w:rFonts w:hint="eastAsia"/>
                <w:color w:val="auto"/>
                <w:sz w:val="24"/>
                <w:szCs w:val="24"/>
                <w:highlight w:val="none"/>
              </w:rPr>
              <w:t>水定额</w:t>
            </w:r>
            <w:r>
              <w:rPr>
                <w:rFonts w:hint="eastAsia"/>
                <w:color w:val="auto"/>
                <w:sz w:val="24"/>
                <w:szCs w:val="24"/>
                <w:highlight w:val="none"/>
                <w:lang w:val="en-US" w:eastAsia="zh-CN"/>
              </w:rPr>
              <w:t>按</w:t>
            </w:r>
            <w:r>
              <w:rPr>
                <w:rFonts w:hint="eastAsia"/>
                <w:color w:val="auto"/>
                <w:sz w:val="24"/>
                <w:szCs w:val="24"/>
                <w:highlight w:val="none"/>
              </w:rPr>
              <w:t>每人每日150L/人</w:t>
            </w:r>
            <w:r>
              <w:rPr>
                <w:color w:val="auto"/>
                <w:sz w:val="24"/>
                <w:szCs w:val="24"/>
                <w:highlight w:val="none"/>
              </w:rPr>
              <w:t>·</w:t>
            </w:r>
            <w:r>
              <w:rPr>
                <w:rFonts w:hint="eastAsia"/>
                <w:color w:val="auto"/>
                <w:sz w:val="24"/>
                <w:szCs w:val="24"/>
                <w:highlight w:val="none"/>
              </w:rPr>
              <w:t>d</w:t>
            </w:r>
            <w:r>
              <w:rPr>
                <w:rFonts w:hint="eastAsia"/>
                <w:color w:val="auto"/>
                <w:sz w:val="24"/>
                <w:szCs w:val="24"/>
                <w:highlight w:val="none"/>
                <w:lang w:eastAsia="zh-CN"/>
              </w:rPr>
              <w:t>，</w:t>
            </w:r>
            <w:r>
              <w:rPr>
                <w:rFonts w:hint="eastAsia"/>
                <w:color w:val="auto"/>
                <w:sz w:val="24"/>
                <w:szCs w:val="24"/>
                <w:highlight w:val="none"/>
                <w:lang w:val="en-US" w:eastAsia="zh-CN"/>
              </w:rPr>
              <w:t>不住厂职工按</w:t>
            </w:r>
            <w:r>
              <w:rPr>
                <w:rFonts w:hint="eastAsia"/>
                <w:color w:val="auto"/>
                <w:sz w:val="24"/>
                <w:szCs w:val="24"/>
                <w:highlight w:val="none"/>
              </w:rPr>
              <w:t>每人每日50L/人</w:t>
            </w:r>
            <w:r>
              <w:rPr>
                <w:color w:val="auto"/>
                <w:sz w:val="24"/>
                <w:szCs w:val="24"/>
                <w:highlight w:val="none"/>
              </w:rPr>
              <w:t>·</w:t>
            </w:r>
            <w:r>
              <w:rPr>
                <w:rFonts w:hint="eastAsia"/>
                <w:color w:val="auto"/>
                <w:sz w:val="24"/>
                <w:szCs w:val="24"/>
                <w:highlight w:val="none"/>
              </w:rPr>
              <w:t>d。则本项目新增生活用水量为</w:t>
            </w:r>
            <w:r>
              <w:rPr>
                <w:rFonts w:hint="eastAsia"/>
                <w:color w:val="auto"/>
                <w:sz w:val="24"/>
                <w:szCs w:val="24"/>
                <w:highlight w:val="none"/>
                <w:lang w:val="en-US" w:eastAsia="zh-CN"/>
              </w:rPr>
              <w:t>11</w:t>
            </w:r>
            <w:r>
              <w:rPr>
                <w:rFonts w:hint="eastAsia"/>
                <w:color w:val="auto"/>
                <w:sz w:val="24"/>
                <w:szCs w:val="24"/>
                <w:highlight w:val="none"/>
              </w:rPr>
              <w:t>.</w:t>
            </w:r>
            <w:r>
              <w:rPr>
                <w:rFonts w:hint="eastAsia"/>
                <w:color w:val="auto"/>
                <w:sz w:val="24"/>
                <w:szCs w:val="24"/>
                <w:highlight w:val="none"/>
                <w:lang w:val="en-US" w:eastAsia="zh-CN"/>
              </w:rPr>
              <w:t>1</w:t>
            </w:r>
            <w:r>
              <w:rPr>
                <w:rFonts w:hint="eastAsia"/>
                <w:color w:val="auto"/>
                <w:sz w:val="24"/>
                <w:szCs w:val="24"/>
                <w:highlight w:val="none"/>
              </w:rPr>
              <w:t>5t/d（</w:t>
            </w:r>
            <w:r>
              <w:rPr>
                <w:rFonts w:hint="eastAsia"/>
                <w:color w:val="auto"/>
                <w:sz w:val="24"/>
                <w:szCs w:val="24"/>
                <w:highlight w:val="none"/>
                <w:lang w:val="en-US" w:eastAsia="zh-CN"/>
              </w:rPr>
              <w:t>3345</w:t>
            </w:r>
            <w:r>
              <w:rPr>
                <w:rFonts w:hint="eastAsia"/>
                <w:color w:val="auto"/>
                <w:sz w:val="24"/>
                <w:szCs w:val="24"/>
                <w:highlight w:val="none"/>
              </w:rPr>
              <w:t>t/a）。</w:t>
            </w:r>
          </w:p>
          <w:p>
            <w:pPr>
              <w:pStyle w:val="72"/>
              <w:ind w:firstLine="48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②</w:t>
            </w:r>
            <w:r>
              <w:rPr>
                <w:rFonts w:hint="eastAsia" w:ascii="宋体" w:hAnsi="宋体" w:cs="宋体"/>
                <w:color w:val="auto"/>
                <w:sz w:val="24"/>
                <w:szCs w:val="24"/>
                <w:highlight w:val="none"/>
                <w:lang w:val="en-US" w:eastAsia="zh-CN"/>
              </w:rPr>
              <w:t>生产用水</w:t>
            </w:r>
          </w:p>
          <w:p>
            <w:pPr>
              <w:pStyle w:val="72"/>
              <w:ind w:firstLine="480"/>
              <w:rPr>
                <w:rFonts w:hint="default" w:eastAsia="宋体"/>
                <w:color w:val="auto"/>
                <w:sz w:val="24"/>
                <w:szCs w:val="24"/>
                <w:highlight w:val="none"/>
                <w:lang w:val="en-US" w:eastAsia="zh-CN"/>
              </w:rPr>
            </w:pPr>
            <w:r>
              <w:rPr>
                <w:rFonts w:hint="eastAsia"/>
                <w:color w:val="auto"/>
                <w:sz w:val="24"/>
                <w:szCs w:val="24"/>
                <w:highlight w:val="none"/>
                <w:lang w:val="en-US" w:eastAsia="zh-CN"/>
              </w:rPr>
              <w:t>本项目生产用水包括水刀切割用水、超声探伤用水、水喷淋除尘用水、超声清洗废水、循环冷却水排污水以及车间清洁用水。水刀切割、水喷淋除尘、车间清洁、循环冷却水补水采用自来水，超声探伤、超声清洗用水为纯水。</w:t>
            </w:r>
          </w:p>
          <w:p>
            <w:pPr>
              <w:pStyle w:val="72"/>
              <w:ind w:firstLine="480"/>
              <w:rPr>
                <w:rFonts w:hint="eastAsia"/>
                <w:color w:val="auto"/>
                <w:sz w:val="24"/>
                <w:szCs w:val="24"/>
                <w:highlight w:val="none"/>
                <w:vertAlign w:val="baseline"/>
                <w:lang w:val="en-US" w:eastAsia="zh-CN"/>
              </w:rPr>
            </w:pPr>
            <w:r>
              <w:rPr>
                <w:rFonts w:hint="eastAsia"/>
                <w:color w:val="auto"/>
                <w:sz w:val="24"/>
                <w:szCs w:val="24"/>
                <w:highlight w:val="none"/>
                <w:lang w:val="en-US" w:eastAsia="zh-CN"/>
              </w:rPr>
              <w:t>超声探伤用水为纯水，每10天换水一次，每次换水约20t</w:t>
            </w:r>
            <w:r>
              <w:rPr>
                <w:rFonts w:hint="eastAsia"/>
                <w:color w:val="auto"/>
                <w:sz w:val="24"/>
                <w:szCs w:val="24"/>
                <w:highlight w:val="none"/>
                <w:vertAlign w:val="baseline"/>
                <w:lang w:val="en-US" w:eastAsia="zh-CN"/>
              </w:rPr>
              <w:t>，年用纯水量600t（即2t/d）。</w:t>
            </w:r>
          </w:p>
          <w:p>
            <w:pPr>
              <w:pStyle w:val="72"/>
              <w:ind w:firstLine="480"/>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t>根据企业提供的资料，企业拟配套2台超声清洗机，超声清洗过程采用纯水，每日用水量为5.0t/d，即1500t/a。</w:t>
            </w:r>
          </w:p>
          <w:p>
            <w:pPr>
              <w:pStyle w:val="72"/>
              <w:ind w:firstLine="480"/>
              <w:rPr>
                <w:rFonts w:hint="default"/>
                <w:color w:val="auto"/>
                <w:sz w:val="24"/>
                <w:szCs w:val="24"/>
                <w:highlight w:val="none"/>
                <w:vertAlign w:val="baseline"/>
                <w:lang w:val="en-US" w:eastAsia="zh-CN"/>
              </w:rPr>
            </w:pPr>
            <w:r>
              <w:rPr>
                <w:rFonts w:hint="eastAsia"/>
                <w:color w:val="auto"/>
                <w:sz w:val="24"/>
                <w:szCs w:val="24"/>
                <w:highlight w:val="none"/>
                <w:vertAlign w:val="baseline"/>
                <w:lang w:val="en-US" w:eastAsia="zh-CN"/>
              </w:rPr>
              <w:t>纯水机采用自来水为原水，纯水得率为80%，则自来水用量为2625t/a（即8.75t/d）。</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根据企业提供的资料，水刀切割工序每日用水量为2t/d，即600t/a。</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单台水喷淋除尘设施循环用水量为10t/h，循环水量为80t/d，每日蒸发损耗约1t/d，每月定期更换一次，每次换水量为10t；则单台水喷淋除尘设施年用水量为420t/a（</w:t>
            </w:r>
            <w:r>
              <w:rPr>
                <w:rFonts w:hint="eastAsia"/>
                <w:color w:val="auto"/>
                <w:sz w:val="24"/>
                <w:szCs w:val="24"/>
                <w:highlight w:val="none"/>
                <w:vertAlign w:val="baseline"/>
                <w:lang w:val="en-US" w:eastAsia="zh-CN"/>
              </w:rPr>
              <w:t>即1.4t/d</w:t>
            </w:r>
            <w:r>
              <w:rPr>
                <w:rFonts w:hint="eastAsia"/>
                <w:color w:val="auto"/>
                <w:sz w:val="24"/>
                <w:szCs w:val="24"/>
                <w:highlight w:val="none"/>
                <w:lang w:val="en-US" w:eastAsia="zh-CN"/>
              </w:rPr>
              <w:t>），两套喷淋除尘设施合计用水量为840t/a（</w:t>
            </w:r>
            <w:r>
              <w:rPr>
                <w:rFonts w:hint="eastAsia"/>
                <w:color w:val="auto"/>
                <w:sz w:val="24"/>
                <w:szCs w:val="24"/>
                <w:highlight w:val="none"/>
                <w:vertAlign w:val="baseline"/>
                <w:lang w:val="en-US" w:eastAsia="zh-CN"/>
              </w:rPr>
              <w:t>2.8t/d</w:t>
            </w:r>
            <w:r>
              <w:rPr>
                <w:rFonts w:hint="eastAsia"/>
                <w:color w:val="auto"/>
                <w:sz w:val="24"/>
                <w:szCs w:val="24"/>
                <w:highlight w:val="none"/>
                <w:lang w:val="en-US" w:eastAsia="zh-CN"/>
              </w:rPr>
              <w:t>）。</w:t>
            </w:r>
          </w:p>
          <w:p>
            <w:pPr>
              <w:pStyle w:val="72"/>
              <w:ind w:firstLine="480"/>
              <w:rPr>
                <w:rFonts w:hint="default"/>
                <w:color w:val="auto"/>
                <w:sz w:val="24"/>
                <w:szCs w:val="24"/>
                <w:highlight w:val="none"/>
                <w:lang w:val="en-US" w:eastAsia="zh-CN"/>
              </w:rPr>
            </w:pPr>
            <w:r>
              <w:rPr>
                <w:rFonts w:hint="eastAsia"/>
                <w:color w:val="auto"/>
                <w:sz w:val="24"/>
                <w:szCs w:val="24"/>
                <w:highlight w:val="none"/>
                <w:lang w:val="en-US" w:eastAsia="zh-CN"/>
              </w:rPr>
              <w:t>循环冷却水系统设计规模为100t/h，每日循环水量最大为800t/d，采用闭式循环冷却水系统，每日补水量约为2.4t/d（720t/a）。</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项目车间清洗采用拖洗车清洗，根据企业提供的资料，每日车间清洗用水量约为3t/d，即900t/a。</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生产用水合计用量为5685t/a（18.95t/d）。</w:t>
            </w:r>
          </w:p>
          <w:p>
            <w:pPr>
              <w:pStyle w:val="72"/>
              <w:numPr>
                <w:ilvl w:val="0"/>
                <w:numId w:val="0"/>
              </w:numPr>
              <w:ind w:firstLine="480" w:firstLineChars="20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③</w:t>
            </w:r>
            <w:r>
              <w:rPr>
                <w:rFonts w:hint="eastAsia" w:ascii="宋体" w:hAnsi="宋体" w:cs="宋体"/>
                <w:color w:val="auto"/>
                <w:sz w:val="24"/>
                <w:szCs w:val="24"/>
                <w:highlight w:val="none"/>
                <w:lang w:val="en-US" w:eastAsia="zh-CN"/>
              </w:rPr>
              <w:t>绿化用水</w:t>
            </w:r>
          </w:p>
          <w:p>
            <w:pPr>
              <w:pStyle w:val="72"/>
              <w:numPr>
                <w:ilvl w:val="0"/>
                <w:numId w:val="0"/>
              </w:numPr>
              <w:ind w:firstLine="480" w:firstLineChars="200"/>
              <w:rPr>
                <w:rFonts w:hint="default"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lang w:val="en-US" w:eastAsia="zh-CN"/>
              </w:rPr>
              <w:t>本项目新增绿化面积2205.3m</w:t>
            </w:r>
            <w:r>
              <w:rPr>
                <w:rFonts w:hint="eastAsia" w:ascii="宋体" w:hAnsi="宋体" w:cs="宋体"/>
                <w:color w:val="auto"/>
                <w:sz w:val="24"/>
                <w:szCs w:val="24"/>
                <w:highlight w:val="none"/>
                <w:vertAlign w:val="superscript"/>
                <w:lang w:val="en-US" w:eastAsia="zh-CN"/>
              </w:rPr>
              <w:t>2</w:t>
            </w:r>
            <w:r>
              <w:rPr>
                <w:rFonts w:hint="eastAsia" w:ascii="宋体" w:hAnsi="宋体" w:cs="宋体"/>
                <w:color w:val="auto"/>
                <w:sz w:val="24"/>
                <w:szCs w:val="24"/>
                <w:highlight w:val="none"/>
                <w:vertAlign w:val="baseline"/>
                <w:lang w:val="en-US" w:eastAsia="zh-CN"/>
              </w:rPr>
              <w:t>，按用水系数2L/m</w:t>
            </w:r>
            <w:r>
              <w:rPr>
                <w:rFonts w:hint="eastAsia" w:ascii="宋体" w:hAnsi="宋体" w:cs="宋体"/>
                <w:color w:val="auto"/>
                <w:sz w:val="24"/>
                <w:szCs w:val="24"/>
                <w:highlight w:val="none"/>
                <w:vertAlign w:val="superscript"/>
                <w:lang w:val="en-US" w:eastAsia="zh-CN"/>
              </w:rPr>
              <w:t>2</w:t>
            </w:r>
            <w:r>
              <w:rPr>
                <w:rFonts w:hint="eastAsia" w:ascii="宋体" w:hAnsi="宋体" w:eastAsia="宋体" w:cs="宋体"/>
                <w:color w:val="auto"/>
                <w:sz w:val="24"/>
                <w:szCs w:val="24"/>
                <w:highlight w:val="none"/>
                <w:vertAlign w:val="baseline"/>
                <w:lang w:val="en-US" w:eastAsia="zh-CN"/>
              </w:rPr>
              <w:t>.次，年浇水次数120次计算，则每次绿化用水量约为</w:t>
            </w:r>
            <w:r>
              <w:rPr>
                <w:rFonts w:hint="eastAsia" w:ascii="宋体" w:hAnsi="宋体" w:cs="宋体"/>
                <w:color w:val="auto"/>
                <w:sz w:val="24"/>
                <w:szCs w:val="24"/>
                <w:highlight w:val="none"/>
                <w:vertAlign w:val="baseline"/>
                <w:lang w:val="en-US" w:eastAsia="zh-CN"/>
              </w:rPr>
              <w:t>4.4</w:t>
            </w:r>
            <w:r>
              <w:rPr>
                <w:rFonts w:hint="eastAsia" w:ascii="宋体" w:hAnsi="宋体" w:eastAsia="宋体" w:cs="宋体"/>
                <w:color w:val="auto"/>
                <w:sz w:val="24"/>
                <w:szCs w:val="24"/>
                <w:highlight w:val="none"/>
                <w:vertAlign w:val="baseline"/>
                <w:lang w:val="en-US" w:eastAsia="zh-CN"/>
              </w:rPr>
              <w:t>t，绿化用水量约为</w:t>
            </w:r>
            <w:r>
              <w:rPr>
                <w:rFonts w:hint="eastAsia" w:ascii="宋体" w:hAnsi="宋体" w:cs="宋体"/>
                <w:color w:val="auto"/>
                <w:sz w:val="24"/>
                <w:szCs w:val="24"/>
                <w:highlight w:val="none"/>
                <w:vertAlign w:val="baseline"/>
                <w:lang w:val="en-US" w:eastAsia="zh-CN"/>
              </w:rPr>
              <w:t>528</w:t>
            </w:r>
            <w:r>
              <w:rPr>
                <w:rFonts w:hint="eastAsia" w:ascii="宋体" w:hAnsi="宋体" w:eastAsia="宋体" w:cs="宋体"/>
                <w:color w:val="auto"/>
                <w:sz w:val="24"/>
                <w:szCs w:val="24"/>
                <w:highlight w:val="none"/>
                <w:vertAlign w:val="baseline"/>
                <w:lang w:val="en-US" w:eastAsia="zh-CN"/>
              </w:rPr>
              <w:t>t/a</w:t>
            </w:r>
            <w:r>
              <w:rPr>
                <w:rFonts w:hint="eastAsia" w:ascii="宋体" w:hAnsi="宋体" w:cs="宋体"/>
                <w:color w:val="auto"/>
                <w:sz w:val="24"/>
                <w:szCs w:val="24"/>
                <w:highlight w:val="none"/>
                <w:vertAlign w:val="baseline"/>
                <w:lang w:val="en-US" w:eastAsia="zh-CN"/>
              </w:rPr>
              <w:t>(1.76t/d)</w:t>
            </w:r>
            <w:r>
              <w:rPr>
                <w:rFonts w:hint="eastAsia" w:ascii="宋体" w:hAnsi="宋体" w:eastAsia="宋体" w:cs="宋体"/>
                <w:color w:val="auto"/>
                <w:sz w:val="24"/>
                <w:szCs w:val="24"/>
                <w:highlight w:val="none"/>
                <w:vertAlign w:val="baseline"/>
                <w:lang w:val="en-US" w:eastAsia="zh-CN"/>
              </w:rPr>
              <w:t>。</w:t>
            </w:r>
          </w:p>
          <w:p>
            <w:pPr>
              <w:pStyle w:val="72"/>
              <w:numPr>
                <w:ilvl w:val="0"/>
                <w:numId w:val="7"/>
              </w:numPr>
              <w:ind w:firstLine="480"/>
              <w:rPr>
                <w:color w:val="auto"/>
                <w:sz w:val="24"/>
                <w:szCs w:val="24"/>
                <w:highlight w:val="none"/>
              </w:rPr>
            </w:pPr>
            <w:r>
              <w:rPr>
                <w:rFonts w:hint="eastAsia"/>
                <w:color w:val="auto"/>
                <w:sz w:val="24"/>
                <w:szCs w:val="24"/>
                <w:highlight w:val="none"/>
              </w:rPr>
              <w:t>排水：本项目实行“雨污分流”，项目生活污水经化粪池处理后接入市政污水管网，纳入</w:t>
            </w:r>
            <w:r>
              <w:rPr>
                <w:rFonts w:hint="eastAsia"/>
                <w:color w:val="auto"/>
                <w:sz w:val="24"/>
                <w:szCs w:val="24"/>
                <w:highlight w:val="none"/>
                <w:lang w:val="en-US" w:eastAsia="zh-CN"/>
              </w:rPr>
              <w:t>滨海工业区</w:t>
            </w:r>
            <w:r>
              <w:rPr>
                <w:rFonts w:hint="eastAsia"/>
                <w:color w:val="auto"/>
                <w:sz w:val="24"/>
                <w:szCs w:val="24"/>
                <w:highlight w:val="none"/>
              </w:rPr>
              <w:t>污水处理厂统一处理</w:t>
            </w:r>
            <w:r>
              <w:rPr>
                <w:rFonts w:hint="eastAsia"/>
                <w:color w:val="auto"/>
                <w:sz w:val="24"/>
                <w:szCs w:val="24"/>
                <w:highlight w:val="none"/>
                <w:lang w:eastAsia="zh-CN"/>
              </w:rPr>
              <w:t>，</w:t>
            </w:r>
            <w:r>
              <w:rPr>
                <w:rFonts w:hint="eastAsia"/>
                <w:color w:val="auto"/>
                <w:sz w:val="24"/>
                <w:szCs w:val="24"/>
                <w:highlight w:val="none"/>
                <w:lang w:val="en-US" w:eastAsia="zh-CN"/>
              </w:rPr>
              <w:t>生产废水经厂内污水处理站处理后排入滨海工业污水处理厂进一步处理后排放</w:t>
            </w:r>
            <w:r>
              <w:rPr>
                <w:rFonts w:hint="eastAsia"/>
                <w:color w:val="auto"/>
                <w:sz w:val="24"/>
                <w:szCs w:val="24"/>
                <w:highlight w:val="none"/>
              </w:rPr>
              <w:t>。</w:t>
            </w:r>
          </w:p>
          <w:p>
            <w:pPr>
              <w:pStyle w:val="72"/>
              <w:numPr>
                <w:ilvl w:val="0"/>
                <w:numId w:val="0"/>
              </w:numPr>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①</w:t>
            </w:r>
            <w:r>
              <w:rPr>
                <w:rFonts w:hint="eastAsia" w:ascii="宋体" w:hAnsi="宋体" w:cs="宋体"/>
                <w:color w:val="auto"/>
                <w:sz w:val="24"/>
                <w:szCs w:val="24"/>
                <w:highlight w:val="none"/>
                <w:lang w:val="en-US" w:eastAsia="zh-CN"/>
              </w:rPr>
              <w:t>生活污水</w:t>
            </w:r>
          </w:p>
          <w:p>
            <w:pPr>
              <w:pStyle w:val="72"/>
              <w:numPr>
                <w:ilvl w:val="0"/>
                <w:numId w:val="0"/>
              </w:numPr>
              <w:ind w:firstLine="480" w:firstLineChars="200"/>
              <w:rPr>
                <w:rFonts w:hint="eastAsia"/>
                <w:color w:val="auto"/>
                <w:sz w:val="24"/>
                <w:szCs w:val="24"/>
                <w:highlight w:val="none"/>
              </w:rPr>
            </w:pPr>
            <w:r>
              <w:rPr>
                <w:rFonts w:hint="eastAsia"/>
                <w:color w:val="auto"/>
                <w:sz w:val="24"/>
                <w:szCs w:val="24"/>
                <w:highlight w:val="none"/>
              </w:rPr>
              <w:t>项目生活污水排放系数取0.8</w:t>
            </w:r>
            <w:r>
              <w:rPr>
                <w:rFonts w:hint="eastAsia"/>
                <w:color w:val="auto"/>
                <w:sz w:val="24"/>
                <w:szCs w:val="24"/>
                <w:highlight w:val="none"/>
                <w:lang w:val="en-US" w:eastAsia="zh-CN"/>
              </w:rPr>
              <w:t>5</w:t>
            </w:r>
            <w:r>
              <w:rPr>
                <w:rFonts w:hint="eastAsia"/>
                <w:color w:val="auto"/>
                <w:sz w:val="24"/>
                <w:szCs w:val="24"/>
                <w:highlight w:val="none"/>
              </w:rPr>
              <w:t>，则新增生活污水排放量为</w:t>
            </w:r>
            <w:r>
              <w:rPr>
                <w:rFonts w:hint="eastAsia"/>
                <w:color w:val="auto"/>
                <w:sz w:val="24"/>
                <w:szCs w:val="24"/>
                <w:highlight w:val="none"/>
                <w:lang w:val="en-US" w:eastAsia="zh-CN"/>
              </w:rPr>
              <w:t>9.5</w:t>
            </w:r>
            <w:r>
              <w:rPr>
                <w:rFonts w:hint="eastAsia"/>
                <w:color w:val="auto"/>
                <w:sz w:val="24"/>
                <w:szCs w:val="24"/>
                <w:highlight w:val="none"/>
              </w:rPr>
              <w:t>t/d（</w:t>
            </w:r>
            <w:r>
              <w:rPr>
                <w:rFonts w:hint="eastAsia"/>
                <w:color w:val="auto"/>
                <w:sz w:val="24"/>
                <w:szCs w:val="24"/>
                <w:highlight w:val="none"/>
                <w:lang w:val="en-US" w:eastAsia="zh-CN"/>
              </w:rPr>
              <w:t>2850</w:t>
            </w:r>
            <w:r>
              <w:rPr>
                <w:rFonts w:hint="eastAsia"/>
                <w:color w:val="auto"/>
                <w:sz w:val="24"/>
                <w:szCs w:val="24"/>
                <w:highlight w:val="none"/>
              </w:rPr>
              <w:t>t/a）。</w:t>
            </w:r>
          </w:p>
          <w:p>
            <w:pPr>
              <w:pStyle w:val="72"/>
              <w:numPr>
                <w:ilvl w:val="0"/>
                <w:numId w:val="0"/>
              </w:numPr>
              <w:ind w:firstLine="480" w:firstLineChars="200"/>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②</w:t>
            </w:r>
            <w:r>
              <w:rPr>
                <w:rFonts w:hint="eastAsia" w:ascii="宋体" w:hAnsi="宋体" w:cs="宋体"/>
                <w:color w:val="auto"/>
                <w:sz w:val="24"/>
                <w:szCs w:val="24"/>
                <w:highlight w:val="none"/>
                <w:lang w:val="en-US" w:eastAsia="zh-CN"/>
              </w:rPr>
              <w:t>生产废水</w:t>
            </w:r>
          </w:p>
          <w:p>
            <w:pPr>
              <w:pStyle w:val="72"/>
              <w:numPr>
                <w:ilvl w:val="0"/>
                <w:numId w:val="0"/>
              </w:numPr>
              <w:ind w:firstLine="480" w:firstLineChars="20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生产废水主要有制纯水废水、超声波探伤废水、水刀切割废水、车间清洗废水、喷淋除尘设施废水。</w:t>
            </w:r>
          </w:p>
          <w:p>
            <w:pPr>
              <w:pStyle w:val="72"/>
              <w:numPr>
                <w:ilvl w:val="0"/>
                <w:numId w:val="0"/>
              </w:numPr>
              <w:ind w:firstLine="480" w:firstLineChars="20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纯水机每日用水量8.75t，以自来水为原水，纯水得率约为80%，则制纯水过程排污水约1.75t/d（525t/a）。</w:t>
            </w:r>
          </w:p>
          <w:p>
            <w:pPr>
              <w:pStyle w:val="72"/>
              <w:numPr>
                <w:ilvl w:val="0"/>
                <w:numId w:val="0"/>
              </w:numPr>
              <w:ind w:firstLine="480" w:firstLineChars="200"/>
              <w:rPr>
                <w:rFonts w:hint="eastAsia"/>
                <w:color w:val="auto"/>
                <w:sz w:val="24"/>
                <w:szCs w:val="24"/>
                <w:highlight w:val="none"/>
                <w:lang w:val="en-US" w:eastAsia="zh-CN"/>
              </w:rPr>
            </w:pPr>
            <w:r>
              <w:rPr>
                <w:rFonts w:hint="eastAsia" w:ascii="宋体" w:hAnsi="宋体" w:cs="宋体"/>
                <w:color w:val="auto"/>
                <w:sz w:val="24"/>
                <w:szCs w:val="24"/>
                <w:highlight w:val="none"/>
                <w:lang w:val="en-US" w:eastAsia="zh-CN"/>
              </w:rPr>
              <w:t>超声波探伤工序</w:t>
            </w:r>
            <w:r>
              <w:rPr>
                <w:rFonts w:hint="eastAsia"/>
                <w:color w:val="auto"/>
                <w:sz w:val="24"/>
                <w:szCs w:val="24"/>
                <w:highlight w:val="none"/>
                <w:lang w:val="en-US" w:eastAsia="zh-CN"/>
              </w:rPr>
              <w:t>每10天换水一次，每次换水约20t，蒸发及工件带水约10%，则超声波探伤废水排放量为18t/次，即540t/a（1.8t/d）。</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水刀切割工序废水排放量约为用水量的90%，即1.8t/d，即540t/a。</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超声清洗废水排放量约为用水量的90%，即4.5t/d，即1350t/a。</w:t>
            </w:r>
          </w:p>
          <w:p>
            <w:pPr>
              <w:pStyle w:val="72"/>
              <w:ind w:firstLine="480"/>
              <w:rPr>
                <w:rFonts w:hint="default"/>
                <w:color w:val="auto"/>
                <w:sz w:val="24"/>
                <w:szCs w:val="24"/>
                <w:highlight w:val="none"/>
                <w:lang w:val="en-US" w:eastAsia="zh-CN"/>
              </w:rPr>
            </w:pPr>
            <w:r>
              <w:rPr>
                <w:rFonts w:hint="eastAsia"/>
                <w:color w:val="auto"/>
                <w:sz w:val="24"/>
                <w:szCs w:val="24"/>
                <w:highlight w:val="none"/>
                <w:lang w:val="en-US" w:eastAsia="zh-CN"/>
              </w:rPr>
              <w:t>循环冷却水系统采用闭式循环冷却水系统，正常不排污，定期清理过程会产生少量污水，排放量约为240t/a，即0.8t/d。</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单台水喷淋除尘设施每次换水量为10t，每月定期更换一次，则单台水喷淋除尘设施年换水量为120t/a，两套喷淋除尘设施合计废水排放量为240t/a（</w:t>
            </w:r>
            <w:r>
              <w:rPr>
                <w:rFonts w:hint="eastAsia"/>
                <w:color w:val="auto"/>
                <w:sz w:val="24"/>
                <w:szCs w:val="24"/>
                <w:highlight w:val="none"/>
                <w:vertAlign w:val="baseline"/>
                <w:lang w:val="en-US" w:eastAsia="zh-CN"/>
              </w:rPr>
              <w:t>0.8t/d</w:t>
            </w:r>
            <w:r>
              <w:rPr>
                <w:rFonts w:hint="eastAsia"/>
                <w:color w:val="auto"/>
                <w:sz w:val="24"/>
                <w:szCs w:val="24"/>
                <w:highlight w:val="none"/>
                <w:lang w:val="en-US" w:eastAsia="zh-CN"/>
              </w:rPr>
              <w:t>）。</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根据企业提供的资料，每日车间清洗废水量约为2t/d，即600t/a。</w:t>
            </w:r>
          </w:p>
          <w:p>
            <w:pPr>
              <w:pStyle w:val="72"/>
              <w:ind w:firstLine="480"/>
              <w:rPr>
                <w:rFonts w:hint="default"/>
                <w:color w:val="auto"/>
                <w:sz w:val="24"/>
                <w:szCs w:val="24"/>
                <w:highlight w:val="none"/>
                <w:lang w:val="en-US" w:eastAsia="zh-CN"/>
              </w:rPr>
            </w:pPr>
            <w:r>
              <w:rPr>
                <w:rFonts w:hint="eastAsia"/>
                <w:color w:val="auto"/>
                <w:sz w:val="24"/>
                <w:szCs w:val="24"/>
                <w:highlight w:val="none"/>
                <w:lang w:val="en-US" w:eastAsia="zh-CN"/>
              </w:rPr>
              <w:t>生产废水排放量为4035t/a（13.45t/d）。四期地块废水拟与三期地块废水一起进入新建污水处理站处理后在DW002排污口排放，其中，纯水站依托现有工程纯水站，因此，纯水站浓排水仍进入现有污水处理站处理后由DW001排污口排放。</w:t>
            </w:r>
          </w:p>
          <w:p>
            <w:pPr>
              <w:pStyle w:val="72"/>
              <w:ind w:firstLine="480"/>
              <w:jc w:val="left"/>
              <w:rPr>
                <w:rFonts w:hint="eastAsia"/>
                <w:color w:val="auto"/>
                <w:sz w:val="24"/>
                <w:szCs w:val="24"/>
                <w:highlight w:val="none"/>
                <w:lang w:val="en-US" w:eastAsia="zh-CN"/>
              </w:rPr>
            </w:pPr>
            <w:r>
              <w:rPr>
                <w:rFonts w:hint="eastAsia"/>
                <w:color w:val="auto"/>
                <w:sz w:val="24"/>
                <w:szCs w:val="24"/>
                <w:highlight w:val="none"/>
              </w:rPr>
              <w:t>项目水平衡见</w:t>
            </w:r>
            <w:r>
              <w:rPr>
                <w:rFonts w:hint="eastAsia"/>
                <w:color w:val="auto"/>
                <w:sz w:val="24"/>
                <w:szCs w:val="24"/>
                <w:highlight w:val="none"/>
                <w:lang w:val="en-US" w:eastAsia="zh-CN"/>
              </w:rPr>
              <w:t>表2.2.5和</w:t>
            </w:r>
            <w:r>
              <w:rPr>
                <w:rFonts w:hint="eastAsia"/>
                <w:color w:val="auto"/>
                <w:sz w:val="24"/>
                <w:szCs w:val="24"/>
                <w:highlight w:val="none"/>
              </w:rPr>
              <w:t>图2.2-1。</w:t>
            </w:r>
            <w:r>
              <w:rPr>
                <w:rFonts w:hint="eastAsia"/>
                <w:color w:val="auto"/>
                <w:sz w:val="24"/>
                <w:szCs w:val="24"/>
                <w:highlight w:val="none"/>
                <w:lang w:val="en-US" w:eastAsia="zh-CN"/>
              </w:rPr>
              <w:t>由图2.2-1可知，工业用水重复利用率为（800+160）/（8.75+2.4+2+2.8+3+800+160）*100%=98.3%。</w:t>
            </w:r>
          </w:p>
          <w:p>
            <w:pPr>
              <w:pStyle w:val="72"/>
              <w:jc w:val="left"/>
              <w:rPr>
                <w:color w:val="auto"/>
                <w:highlight w:val="none"/>
              </w:rPr>
            </w:pPr>
            <w:r>
              <w:rPr>
                <w:color w:val="auto"/>
                <w:highlight w:val="none"/>
              </w:rPr>
              <w:drawing>
                <wp:inline distT="0" distB="0" distL="114300" distR="114300">
                  <wp:extent cx="5191125" cy="4224655"/>
                  <wp:effectExtent l="0" t="0" r="5715" b="1206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5191125" cy="4224655"/>
                          </a:xfrm>
                          <a:prstGeom prst="rect">
                            <a:avLst/>
                          </a:prstGeom>
                          <a:noFill/>
                          <a:ln>
                            <a:noFill/>
                          </a:ln>
                        </pic:spPr>
                      </pic:pic>
                    </a:graphicData>
                  </a:graphic>
                </wp:inline>
              </w:drawing>
            </w:r>
          </w:p>
          <w:p>
            <w:pPr>
              <w:pStyle w:val="72"/>
              <w:ind w:firstLine="0" w:firstLineChars="0"/>
              <w:jc w:val="center"/>
              <w:rPr>
                <w:rFonts w:hint="eastAsia"/>
                <w:b/>
                <w:bCs/>
                <w:color w:val="auto"/>
                <w:highlight w:val="none"/>
              </w:rPr>
            </w:pPr>
            <w:r>
              <w:rPr>
                <w:rFonts w:hint="eastAsia"/>
                <w:b/>
                <w:bCs/>
                <w:color w:val="auto"/>
                <w:highlight w:val="none"/>
              </w:rPr>
              <w:t>图2.2-1项目水平衡图（单位：t/d）</w:t>
            </w:r>
          </w:p>
          <w:p>
            <w:pPr>
              <w:pStyle w:val="64"/>
              <w:numPr>
                <w:ilvl w:val="2"/>
                <w:numId w:val="0"/>
              </w:numPr>
              <w:tabs>
                <w:tab w:val="clear" w:pos="2160"/>
              </w:tabs>
              <w:rPr>
                <w:color w:val="auto"/>
                <w:highlight w:val="none"/>
              </w:rPr>
            </w:pPr>
            <w:r>
              <w:rPr>
                <w:rFonts w:hint="eastAsia"/>
                <w:color w:val="auto"/>
                <w:highlight w:val="none"/>
              </w:rPr>
              <w:t>2.3总平面布置</w:t>
            </w:r>
          </w:p>
          <w:p>
            <w:pPr>
              <w:pStyle w:val="72"/>
              <w:ind w:firstLine="480"/>
              <w:rPr>
                <w:rFonts w:hint="eastAsia" w:eastAsia="宋体"/>
                <w:color w:val="auto"/>
                <w:sz w:val="24"/>
                <w:szCs w:val="24"/>
                <w:highlight w:val="none"/>
                <w:lang w:eastAsia="zh-CN"/>
              </w:rPr>
            </w:pPr>
            <w:r>
              <w:rPr>
                <w:rFonts w:hint="eastAsia"/>
                <w:color w:val="auto"/>
                <w:sz w:val="24"/>
                <w:szCs w:val="24"/>
                <w:highlight w:val="none"/>
                <w:lang w:val="en-US" w:eastAsia="zh-CN"/>
              </w:rPr>
              <w:t>本次平面布局除考虑生产工艺需求外，还结合前期地块厂房进行</w:t>
            </w:r>
            <w:r>
              <w:rPr>
                <w:rFonts w:hint="eastAsia"/>
                <w:color w:val="auto"/>
                <w:sz w:val="24"/>
                <w:szCs w:val="24"/>
                <w:highlight w:val="none"/>
              </w:rPr>
              <w:t>总</w:t>
            </w:r>
            <w:r>
              <w:rPr>
                <w:rFonts w:hint="eastAsia"/>
                <w:color w:val="auto"/>
                <w:sz w:val="24"/>
                <w:szCs w:val="24"/>
                <w:highlight w:val="none"/>
                <w:lang w:val="en-US" w:eastAsia="zh-CN"/>
              </w:rPr>
              <w:t>体布局</w:t>
            </w:r>
            <w:r>
              <w:rPr>
                <w:rFonts w:hint="eastAsia"/>
                <w:color w:val="auto"/>
                <w:sz w:val="24"/>
                <w:szCs w:val="24"/>
                <w:highlight w:val="none"/>
                <w:lang w:eastAsia="zh-CN"/>
              </w:rPr>
              <w:t>：</w:t>
            </w:r>
          </w:p>
          <w:p>
            <w:pPr>
              <w:pStyle w:val="72"/>
              <w:ind w:firstLine="480"/>
              <w:rPr>
                <w:rFonts w:hint="default"/>
                <w:color w:val="auto"/>
                <w:sz w:val="24"/>
                <w:szCs w:val="24"/>
                <w:highlight w:val="none"/>
                <w:lang w:val="en-US" w:eastAsia="zh-CN"/>
              </w:rPr>
            </w:pPr>
            <w:r>
              <w:rPr>
                <w:rFonts w:hint="eastAsia"/>
                <w:color w:val="auto"/>
                <w:sz w:val="24"/>
                <w:szCs w:val="24"/>
                <w:highlight w:val="none"/>
              </w:rPr>
              <w:t>本</w:t>
            </w:r>
            <w:r>
              <w:rPr>
                <w:rFonts w:hint="eastAsia"/>
                <w:color w:val="auto"/>
                <w:sz w:val="24"/>
                <w:szCs w:val="24"/>
                <w:highlight w:val="none"/>
                <w:lang w:val="en-US" w:eastAsia="zh-CN"/>
              </w:rPr>
              <w:t>次新征用地共建设7#楼A、B、C、D厂房，A厂房主要布置原料仓库、熔铸区、机械加工区域，B厂房主要布置绑定、后处理（喷砂、抛光）、清洁、包装等。A、B厂房之间用连廊连接，此外，本次新建厂房与三期A#厂房也有连廊连接。方便物流。生产厂房两侧分别为化学品仓库和污水处理站。</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其中7#A厂房东部为仓库区，中间隔着化学品仓库，主要高噪声设备靠厂区中间布置，相对远离东、北侧厂界，公司职工宿舍及东侧规划建设的养老院。</w:t>
            </w:r>
          </w:p>
          <w:p>
            <w:pPr>
              <w:pStyle w:val="72"/>
              <w:ind w:firstLine="480"/>
              <w:rPr>
                <w:rFonts w:hint="default"/>
                <w:color w:val="auto"/>
                <w:sz w:val="24"/>
                <w:szCs w:val="24"/>
                <w:highlight w:val="none"/>
                <w:lang w:val="en-US" w:eastAsia="zh-CN"/>
              </w:rPr>
            </w:pPr>
            <w:r>
              <w:rPr>
                <w:rFonts w:hint="eastAsia"/>
                <w:color w:val="auto"/>
                <w:sz w:val="24"/>
                <w:szCs w:val="24"/>
                <w:highlight w:val="none"/>
                <w:lang w:val="en-US" w:eastAsia="zh-CN"/>
              </w:rPr>
              <w:t>B厂房抛光、喷砂等有粉尘污染工序及除尘风机等布置于厂房西部、污水处理站布置于厂区西南侧（三期地块），相对远离公司职工宿舍。</w:t>
            </w:r>
          </w:p>
          <w:p>
            <w:pPr>
              <w:pStyle w:val="72"/>
              <w:ind w:firstLine="480"/>
              <w:rPr>
                <w:color w:val="auto"/>
                <w:sz w:val="24"/>
                <w:szCs w:val="24"/>
                <w:highlight w:val="none"/>
              </w:rPr>
            </w:pPr>
            <w:r>
              <w:rPr>
                <w:rFonts w:hint="eastAsia"/>
                <w:color w:val="auto"/>
                <w:sz w:val="24"/>
                <w:szCs w:val="24"/>
                <w:highlight w:val="none"/>
                <w:lang w:val="en-US" w:eastAsia="zh-CN"/>
              </w:rPr>
              <w:t>总体而言，本项目</w:t>
            </w:r>
            <w:r>
              <w:rPr>
                <w:rFonts w:hint="eastAsia"/>
                <w:color w:val="auto"/>
                <w:sz w:val="24"/>
                <w:szCs w:val="24"/>
                <w:highlight w:val="none"/>
              </w:rPr>
              <w:t>生产区域平面规划遵照生产工艺流程需要，尽可能使工艺路线短捷通畅、平面布置紧凑、物流畅通、管理方便，并满足生产、运输、消防、安全</w:t>
            </w:r>
            <w:r>
              <w:rPr>
                <w:rFonts w:hint="eastAsia"/>
                <w:color w:val="auto"/>
                <w:sz w:val="24"/>
                <w:szCs w:val="24"/>
                <w:highlight w:val="none"/>
                <w:lang w:eastAsia="zh-CN"/>
              </w:rPr>
              <w:t>、</w:t>
            </w:r>
            <w:r>
              <w:rPr>
                <w:rFonts w:hint="eastAsia"/>
                <w:color w:val="auto"/>
                <w:sz w:val="24"/>
                <w:szCs w:val="24"/>
                <w:highlight w:val="none"/>
                <w:lang w:val="en-US" w:eastAsia="zh-CN"/>
              </w:rPr>
              <w:t>环保</w:t>
            </w:r>
            <w:r>
              <w:rPr>
                <w:rFonts w:hint="eastAsia"/>
                <w:color w:val="auto"/>
                <w:sz w:val="24"/>
                <w:szCs w:val="24"/>
                <w:highlight w:val="none"/>
              </w:rPr>
              <w:t>等有关规范、规定，</w:t>
            </w:r>
            <w:r>
              <w:rPr>
                <w:rFonts w:hint="eastAsia"/>
                <w:color w:val="auto"/>
                <w:sz w:val="24"/>
                <w:szCs w:val="24"/>
                <w:highlight w:val="none"/>
                <w:lang w:val="en-US" w:eastAsia="zh-CN"/>
              </w:rPr>
              <w:t>平面</w:t>
            </w:r>
            <w:r>
              <w:rPr>
                <w:rFonts w:hint="eastAsia"/>
                <w:color w:val="auto"/>
                <w:sz w:val="24"/>
                <w:szCs w:val="24"/>
                <w:highlight w:val="none"/>
              </w:rPr>
              <w:t>布置</w:t>
            </w:r>
            <w:r>
              <w:rPr>
                <w:rFonts w:hint="eastAsia"/>
                <w:color w:val="auto"/>
                <w:sz w:val="24"/>
                <w:szCs w:val="24"/>
                <w:highlight w:val="none"/>
                <w:lang w:val="en-US" w:eastAsia="zh-CN"/>
              </w:rPr>
              <w:t>总体较合理。</w:t>
            </w:r>
          </w:p>
          <w:p>
            <w:pPr>
              <w:pStyle w:val="72"/>
              <w:ind w:firstLine="480"/>
              <w:rPr>
                <w:rFonts w:hint="default" w:eastAsia="宋体"/>
                <w:color w:val="auto"/>
                <w:sz w:val="24"/>
                <w:szCs w:val="24"/>
                <w:highlight w:val="none"/>
                <w:lang w:val="en-US" w:eastAsia="zh-CN"/>
              </w:rPr>
            </w:pPr>
            <w:r>
              <w:rPr>
                <w:color w:val="auto"/>
                <w:sz w:val="24"/>
                <w:szCs w:val="24"/>
                <w:highlight w:val="none"/>
              </w:rPr>
              <w:t>项目总平面布置图</w:t>
            </w:r>
            <w:r>
              <w:rPr>
                <w:rFonts w:hint="eastAsia"/>
                <w:color w:val="auto"/>
                <w:sz w:val="24"/>
                <w:szCs w:val="24"/>
                <w:highlight w:val="none"/>
              </w:rPr>
              <w:t>见</w:t>
            </w:r>
            <w:r>
              <w:rPr>
                <w:color w:val="auto"/>
                <w:sz w:val="24"/>
                <w:szCs w:val="24"/>
                <w:highlight w:val="none"/>
              </w:rPr>
              <w:t>附图</w:t>
            </w:r>
            <w:r>
              <w:rPr>
                <w:rFonts w:hint="eastAsia"/>
                <w:color w:val="auto"/>
                <w:sz w:val="24"/>
                <w:szCs w:val="24"/>
                <w:highlight w:val="none"/>
                <w:lang w:val="en-US" w:eastAsia="zh-CN"/>
              </w:rPr>
              <w:t>六</w:t>
            </w:r>
            <w:r>
              <w:rPr>
                <w:color w:val="auto"/>
                <w:sz w:val="24"/>
                <w:szCs w:val="24"/>
                <w:highlight w:val="none"/>
              </w:rPr>
              <w:t>。</w:t>
            </w:r>
            <w:r>
              <w:rPr>
                <w:rFonts w:hint="eastAsia"/>
                <w:color w:val="auto"/>
                <w:sz w:val="24"/>
                <w:szCs w:val="24"/>
                <w:highlight w:val="none"/>
                <w:lang w:val="en-US" w:eastAsia="zh-CN"/>
              </w:rPr>
              <w:t>车间平面布置见附图八。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1" w:hRule="atLeast"/>
          <w:jc w:val="center"/>
        </w:trPr>
        <w:tc>
          <w:tcPr>
            <w:tcW w:w="587" w:type="dxa"/>
            <w:vAlign w:val="center"/>
          </w:tcPr>
          <w:p>
            <w:pPr>
              <w:pStyle w:val="25"/>
              <w:adjustRightInd w:val="0"/>
              <w:snapToGrid w:val="0"/>
              <w:spacing w:before="0" w:beforeAutospacing="0" w:after="0" w:afterAutospacing="0"/>
              <w:jc w:val="center"/>
              <w:rPr>
                <w:rFonts w:cs="宋体"/>
                <w:color w:val="auto"/>
                <w:sz w:val="21"/>
                <w:szCs w:val="21"/>
                <w:highlight w:val="none"/>
              </w:rPr>
            </w:pPr>
            <w:r>
              <w:rPr>
                <w:rFonts w:hint="eastAsia" w:cs="宋体"/>
                <w:color w:val="auto"/>
                <w:sz w:val="21"/>
                <w:szCs w:val="21"/>
                <w:highlight w:val="none"/>
              </w:rPr>
              <w:t>工艺流程和产排污环节</w:t>
            </w:r>
          </w:p>
        </w:tc>
        <w:tc>
          <w:tcPr>
            <w:tcW w:w="8397" w:type="dxa"/>
          </w:tcPr>
          <w:p>
            <w:pPr>
              <w:pStyle w:val="64"/>
              <w:numPr>
                <w:ilvl w:val="2"/>
                <w:numId w:val="0"/>
              </w:numPr>
              <w:tabs>
                <w:tab w:val="clear" w:pos="2160"/>
              </w:tabs>
              <w:rPr>
                <w:color w:val="auto"/>
                <w:highlight w:val="none"/>
              </w:rPr>
            </w:pPr>
            <w:r>
              <w:rPr>
                <w:rFonts w:hint="eastAsia"/>
                <w:color w:val="auto"/>
                <w:highlight w:val="none"/>
              </w:rPr>
              <w:t>2.4项目生产工艺及产污环节</w:t>
            </w:r>
          </w:p>
          <w:p>
            <w:pPr>
              <w:pStyle w:val="72"/>
              <w:ind w:firstLine="480"/>
              <w:rPr>
                <w:color w:val="auto"/>
                <w:sz w:val="24"/>
                <w:szCs w:val="24"/>
                <w:highlight w:val="none"/>
              </w:rPr>
            </w:pPr>
            <w:r>
              <w:rPr>
                <w:rFonts w:hint="eastAsia"/>
                <w:color w:val="auto"/>
                <w:sz w:val="24"/>
                <w:szCs w:val="24"/>
                <w:highlight w:val="none"/>
              </w:rPr>
              <w:t>（1）</w:t>
            </w:r>
            <w:r>
              <w:rPr>
                <w:rFonts w:hint="eastAsia"/>
                <w:color w:val="auto"/>
                <w:sz w:val="24"/>
                <w:szCs w:val="24"/>
                <w:highlight w:val="none"/>
                <w:lang w:val="en-US" w:eastAsia="zh-CN"/>
              </w:rPr>
              <w:t>铝</w:t>
            </w:r>
            <w:r>
              <w:rPr>
                <w:rFonts w:hint="eastAsia"/>
                <w:color w:val="auto"/>
                <w:sz w:val="24"/>
                <w:szCs w:val="24"/>
                <w:highlight w:val="none"/>
              </w:rPr>
              <w:t>靶材</w:t>
            </w:r>
          </w:p>
          <w:p>
            <w:pPr>
              <w:pStyle w:val="72"/>
              <w:ind w:firstLine="480"/>
              <w:rPr>
                <w:rFonts w:hint="default" w:eastAsia="宋体"/>
                <w:color w:val="auto"/>
                <w:sz w:val="24"/>
                <w:szCs w:val="24"/>
                <w:highlight w:val="none"/>
                <w:lang w:val="en-US" w:eastAsia="zh-CN"/>
              </w:rPr>
            </w:pPr>
            <w:r>
              <w:rPr>
                <w:rFonts w:hint="eastAsia"/>
                <w:color w:val="auto"/>
                <w:sz w:val="24"/>
                <w:szCs w:val="24"/>
                <w:highlight w:val="none"/>
                <w:lang w:val="en-US" w:eastAsia="zh-CN"/>
              </w:rPr>
              <w:t>本项目铝靶材采用5N铝块为原料，</w:t>
            </w:r>
            <w:r>
              <w:rPr>
                <w:rFonts w:hint="eastAsia" w:eastAsia="宋体"/>
                <w:color w:val="auto"/>
                <w:sz w:val="24"/>
                <w:szCs w:val="24"/>
                <w:highlight w:val="none"/>
                <w:lang w:val="en-US" w:eastAsia="zh-CN"/>
              </w:rPr>
              <w:t>将</w:t>
            </w:r>
            <w:r>
              <w:rPr>
                <w:rFonts w:hint="eastAsia"/>
                <w:color w:val="auto"/>
                <w:sz w:val="24"/>
                <w:szCs w:val="24"/>
                <w:highlight w:val="none"/>
                <w:lang w:val="en-US" w:eastAsia="zh-CN"/>
              </w:rPr>
              <w:t>铝块经</w:t>
            </w:r>
            <w:r>
              <w:rPr>
                <w:rFonts w:hint="eastAsia" w:eastAsia="宋体"/>
                <w:color w:val="auto"/>
                <w:sz w:val="24"/>
                <w:szCs w:val="24"/>
                <w:highlight w:val="none"/>
                <w:lang w:val="en-US" w:eastAsia="zh-CN"/>
              </w:rPr>
              <w:t>加热至高温后，通过</w:t>
            </w:r>
            <w:r>
              <w:rPr>
                <w:rFonts w:hint="eastAsia"/>
                <w:color w:val="auto"/>
                <w:sz w:val="24"/>
                <w:szCs w:val="24"/>
                <w:highlight w:val="none"/>
                <w:lang w:val="en-US" w:eastAsia="zh-CN"/>
              </w:rPr>
              <w:t>真空熔铸、锻压、轧制热处理后进行机加工、喷砂抛光、绑定焊接、超声探伤、真空包装后制成高纯铝靶材。</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清洗烘干：铝锭在生产、运输、转移等过程会沾染油污、灰尘，采用专业金属清洗剂清洗干净后进入真空熔铸环节。清洗采用超声清洗，经过泡洗-逆流漂洗和烘干后进入下道工序。超声清洗过程产生清洗废水。</w:t>
            </w:r>
          </w:p>
          <w:p>
            <w:pPr>
              <w:pStyle w:val="72"/>
              <w:ind w:firstLine="480"/>
              <w:rPr>
                <w:rFonts w:hint="eastAsia"/>
                <w:b w:val="0"/>
                <w:bCs w:val="0"/>
                <w:color w:val="auto"/>
                <w:highlight w:val="none"/>
                <w:lang w:val="en-US" w:eastAsia="zh-CN"/>
              </w:rPr>
            </w:pPr>
            <w:r>
              <w:rPr>
                <w:rFonts w:hint="eastAsia"/>
                <w:b w:val="0"/>
                <w:bCs w:val="0"/>
                <w:color w:val="auto"/>
                <w:sz w:val="24"/>
                <w:szCs w:val="24"/>
                <w:highlight w:val="none"/>
                <w:lang w:val="en-US" w:eastAsia="zh-CN"/>
              </w:rPr>
              <w:t>真空熔铸：</w:t>
            </w:r>
            <w:r>
              <w:rPr>
                <w:rFonts w:hint="eastAsia"/>
                <w:b w:val="0"/>
                <w:bCs w:val="0"/>
                <w:color w:val="auto"/>
                <w:highlight w:val="none"/>
                <w:lang w:val="en-US" w:eastAsia="zh-CN"/>
              </w:rPr>
              <w:t>采用清5N铝块为原料，通过电真空感应炉在高温、抽真空的环境下，将金属熔化并均匀地浇铸在模具中，形成需要的金属锭。</w:t>
            </w:r>
            <w:r>
              <w:rPr>
                <w:rFonts w:hint="eastAsia" w:cs="Times New Roman"/>
                <w:b w:val="0"/>
                <w:bCs w:val="0"/>
                <w:color w:val="auto"/>
                <w:highlight w:val="none"/>
                <w:lang w:val="en-US" w:eastAsia="zh-CN"/>
              </w:rPr>
              <w:t>熔化</w:t>
            </w:r>
            <w:r>
              <w:rPr>
                <w:rFonts w:hint="eastAsia"/>
                <w:b w:val="0"/>
                <w:bCs w:val="0"/>
                <w:color w:val="auto"/>
                <w:highlight w:val="none"/>
                <w:lang w:val="en-US" w:eastAsia="zh-CN"/>
              </w:rPr>
              <w:t>温度600~1200</w:t>
            </w:r>
            <w:r>
              <w:rPr>
                <w:rFonts w:hint="default" w:ascii="Times New Roman" w:hAnsi="Times New Roman" w:cs="Times New Roman"/>
                <w:b w:val="0"/>
                <w:bCs w:val="0"/>
                <w:color w:val="auto"/>
                <w:highlight w:val="none"/>
                <w:lang w:val="en-US" w:eastAsia="zh-CN"/>
              </w:rPr>
              <w:t>℃</w:t>
            </w:r>
            <w:r>
              <w:rPr>
                <w:rFonts w:hint="eastAsia" w:cs="Times New Roman"/>
                <w:b w:val="0"/>
                <w:bCs w:val="0"/>
                <w:color w:val="auto"/>
                <w:highlight w:val="none"/>
                <w:lang w:val="en-US" w:eastAsia="zh-CN"/>
              </w:rPr>
              <w:t>，整个熔铸过程包含抽真空、升温、保温、降温，单炉熔铸时间约8h。真空熔铸过程</w:t>
            </w:r>
            <w:r>
              <w:rPr>
                <w:rFonts w:hint="eastAsia"/>
                <w:b w:val="0"/>
                <w:bCs w:val="0"/>
                <w:color w:val="auto"/>
                <w:highlight w:val="none"/>
                <w:lang w:val="en-US" w:eastAsia="zh-CN"/>
              </w:rPr>
              <w:t>在高纯度金属材料制备中发挥着重要作用，其关键技术包括高真空环境的维持、精确的温度控制和气体控制以及杂质元素的防控。在真空条件下熔铸能够显著减少气体、杂质等的混入，实现金属材料的高度纯化，同时实现金属的均匀混合。</w:t>
            </w:r>
          </w:p>
          <w:p>
            <w:pPr>
              <w:pStyle w:val="72"/>
              <w:ind w:firstLine="480"/>
              <w:rPr>
                <w:rFonts w:hint="eastAsia"/>
                <w:b w:val="0"/>
                <w:bCs w:val="0"/>
                <w:color w:val="auto"/>
                <w:highlight w:val="none"/>
              </w:rPr>
            </w:pPr>
            <w:r>
              <w:rPr>
                <w:rFonts w:hint="eastAsia"/>
                <w:b w:val="0"/>
                <w:bCs w:val="0"/>
                <w:color w:val="auto"/>
                <w:highlight w:val="none"/>
              </w:rPr>
              <w:t>项目熔</w:t>
            </w:r>
            <w:r>
              <w:rPr>
                <w:rFonts w:hint="eastAsia"/>
                <w:b w:val="0"/>
                <w:bCs w:val="0"/>
                <w:color w:val="auto"/>
                <w:highlight w:val="none"/>
                <w:lang w:val="en-US" w:eastAsia="zh-CN"/>
              </w:rPr>
              <w:t>铸</w:t>
            </w:r>
            <w:r>
              <w:rPr>
                <w:rFonts w:hint="eastAsia"/>
                <w:b w:val="0"/>
                <w:bCs w:val="0"/>
                <w:color w:val="auto"/>
                <w:highlight w:val="none"/>
              </w:rPr>
              <w:t>炉采用电为能源，熔</w:t>
            </w:r>
            <w:r>
              <w:rPr>
                <w:rFonts w:hint="eastAsia"/>
                <w:b w:val="0"/>
                <w:bCs w:val="0"/>
                <w:color w:val="auto"/>
                <w:highlight w:val="none"/>
                <w:lang w:val="en-US" w:eastAsia="zh-CN"/>
              </w:rPr>
              <w:t>铸</w:t>
            </w:r>
            <w:r>
              <w:rPr>
                <w:rFonts w:hint="eastAsia"/>
                <w:b w:val="0"/>
                <w:bCs w:val="0"/>
                <w:color w:val="auto"/>
                <w:highlight w:val="none"/>
              </w:rPr>
              <w:t>采用密闭抽真空操作，</w:t>
            </w:r>
            <w:r>
              <w:rPr>
                <w:rFonts w:hint="eastAsia"/>
                <w:b w:val="0"/>
                <w:bCs w:val="0"/>
                <w:color w:val="auto"/>
                <w:highlight w:val="none"/>
                <w:lang w:val="en-US" w:eastAsia="zh-CN"/>
              </w:rPr>
              <w:t>熔铸炉内气体采用真空泵抽出。</w:t>
            </w:r>
            <w:r>
              <w:rPr>
                <w:rFonts w:hint="eastAsia"/>
                <w:b w:val="0"/>
                <w:bCs w:val="0"/>
                <w:color w:val="auto"/>
                <w:highlight w:val="none"/>
              </w:rPr>
              <w:t>熔</w:t>
            </w:r>
            <w:r>
              <w:rPr>
                <w:rFonts w:hint="eastAsia"/>
                <w:b w:val="0"/>
                <w:bCs w:val="0"/>
                <w:color w:val="auto"/>
                <w:highlight w:val="none"/>
                <w:lang w:val="en-US" w:eastAsia="zh-CN"/>
              </w:rPr>
              <w:t>铸过程通入少量保护性气体氩气加速冷却，</w:t>
            </w:r>
            <w:r>
              <w:rPr>
                <w:rFonts w:hint="eastAsia"/>
                <w:b w:val="0"/>
                <w:bCs w:val="0"/>
                <w:color w:val="auto"/>
                <w:highlight w:val="none"/>
              </w:rPr>
              <w:t>完成冷却后才打开真空熔</w:t>
            </w:r>
            <w:r>
              <w:rPr>
                <w:rFonts w:hint="eastAsia"/>
                <w:b w:val="0"/>
                <w:bCs w:val="0"/>
                <w:color w:val="auto"/>
                <w:highlight w:val="none"/>
                <w:lang w:val="en-US" w:eastAsia="zh-CN"/>
              </w:rPr>
              <w:t>铸</w:t>
            </w:r>
            <w:r>
              <w:rPr>
                <w:rFonts w:hint="eastAsia"/>
                <w:b w:val="0"/>
                <w:bCs w:val="0"/>
                <w:color w:val="auto"/>
                <w:highlight w:val="none"/>
              </w:rPr>
              <w:t>炉，因此排出的是保护性气体氩气。熔</w:t>
            </w:r>
            <w:r>
              <w:rPr>
                <w:rFonts w:hint="eastAsia"/>
                <w:b w:val="0"/>
                <w:bCs w:val="0"/>
                <w:color w:val="auto"/>
                <w:highlight w:val="none"/>
                <w:lang w:val="en-US" w:eastAsia="zh-CN"/>
              </w:rPr>
              <w:t>铸</w:t>
            </w:r>
            <w:r>
              <w:rPr>
                <w:rFonts w:hint="eastAsia"/>
                <w:b w:val="0"/>
                <w:bCs w:val="0"/>
                <w:color w:val="auto"/>
                <w:highlight w:val="none"/>
              </w:rPr>
              <w:t>炉内的气</w:t>
            </w:r>
            <w:r>
              <w:rPr>
                <w:rFonts w:hint="eastAsia"/>
                <w:b w:val="0"/>
                <w:bCs w:val="0"/>
                <w:color w:val="auto"/>
                <w:highlight w:val="none"/>
                <w:lang w:val="en-US" w:eastAsia="zh-CN"/>
              </w:rPr>
              <w:t>体</w:t>
            </w:r>
            <w:r>
              <w:rPr>
                <w:rFonts w:hint="eastAsia"/>
                <w:b w:val="0"/>
                <w:bCs w:val="0"/>
                <w:color w:val="auto"/>
                <w:highlight w:val="none"/>
              </w:rPr>
              <w:t>经</w:t>
            </w:r>
            <w:r>
              <w:rPr>
                <w:rFonts w:hint="eastAsia"/>
                <w:b w:val="0"/>
                <w:bCs w:val="0"/>
                <w:color w:val="auto"/>
                <w:highlight w:val="none"/>
                <w:lang w:val="en-US" w:eastAsia="zh-CN"/>
              </w:rPr>
              <w:t>抽真空泵抽出，</w:t>
            </w:r>
            <w:r>
              <w:rPr>
                <w:rFonts w:hint="eastAsia"/>
                <w:b w:val="0"/>
                <w:bCs w:val="0"/>
                <w:color w:val="auto"/>
                <w:highlight w:val="none"/>
              </w:rPr>
              <w:t>排气口滤膜过滤后排放，几乎没有粉尘排放，本评价对该项废气不</w:t>
            </w:r>
            <w:r>
              <w:rPr>
                <w:rFonts w:hint="eastAsia"/>
                <w:b w:val="0"/>
                <w:bCs w:val="0"/>
                <w:color w:val="auto"/>
                <w:highlight w:val="none"/>
                <w:lang w:eastAsia="zh-CN"/>
              </w:rPr>
              <w:t>做</w:t>
            </w:r>
            <w:r>
              <w:rPr>
                <w:rFonts w:hint="eastAsia"/>
                <w:b w:val="0"/>
                <w:bCs w:val="0"/>
                <w:color w:val="auto"/>
                <w:highlight w:val="none"/>
              </w:rPr>
              <w:t>污染源统计。</w:t>
            </w:r>
          </w:p>
          <w:p>
            <w:pPr>
              <w:pStyle w:val="72"/>
              <w:ind w:firstLine="480"/>
              <w:rPr>
                <w:rFonts w:hint="default" w:eastAsia="宋体"/>
                <w:b w:val="0"/>
                <w:bCs w:val="0"/>
                <w:color w:val="auto"/>
                <w:highlight w:val="none"/>
                <w:lang w:val="en-US" w:eastAsia="zh-CN"/>
              </w:rPr>
            </w:pPr>
            <w:r>
              <w:rPr>
                <w:rFonts w:hint="eastAsia" w:eastAsia="宋体"/>
                <w:b w:val="0"/>
                <w:bCs w:val="0"/>
                <w:color w:val="auto"/>
                <w:highlight w:val="none"/>
                <w:lang w:val="en-US" w:eastAsia="zh-CN"/>
              </w:rPr>
              <w:t>热锻压：铝锭在加热炉中加热后通过锻压机</w:t>
            </w:r>
            <w:r>
              <w:rPr>
                <w:rFonts w:hint="default" w:eastAsia="宋体"/>
                <w:b w:val="0"/>
                <w:bCs w:val="0"/>
                <w:color w:val="auto"/>
                <w:highlight w:val="none"/>
                <w:lang w:val="en-US" w:eastAsia="zh-CN"/>
              </w:rPr>
              <w:t>的机械压力对金属坯料进行</w:t>
            </w:r>
            <w:r>
              <w:rPr>
                <w:rFonts w:hint="eastAsia" w:eastAsia="宋体"/>
                <w:b w:val="0"/>
                <w:bCs w:val="0"/>
                <w:color w:val="auto"/>
                <w:highlight w:val="none"/>
                <w:lang w:val="en-US" w:eastAsia="zh-CN"/>
              </w:rPr>
              <w:t>热</w:t>
            </w:r>
            <w:r>
              <w:rPr>
                <w:rFonts w:hint="default" w:eastAsia="宋体"/>
                <w:b w:val="0"/>
                <w:bCs w:val="0"/>
                <w:color w:val="auto"/>
                <w:highlight w:val="none"/>
                <w:lang w:val="en-US" w:eastAsia="zh-CN"/>
              </w:rPr>
              <w:t>塑性变形，</w:t>
            </w:r>
            <w:r>
              <w:rPr>
                <w:rFonts w:hint="eastAsia" w:eastAsia="宋体"/>
                <w:b w:val="0"/>
                <w:bCs w:val="0"/>
                <w:color w:val="auto"/>
                <w:highlight w:val="none"/>
                <w:lang w:val="en-US" w:eastAsia="zh-CN"/>
              </w:rPr>
              <w:t>目的是破碎铸件的晶粒结构。热处理炉</w:t>
            </w:r>
            <w:r>
              <w:rPr>
                <w:rFonts w:hint="eastAsia"/>
                <w:b w:val="0"/>
                <w:bCs w:val="0"/>
                <w:color w:val="auto"/>
                <w:highlight w:val="none"/>
                <w:lang w:val="en-US" w:eastAsia="zh-CN"/>
              </w:rPr>
              <w:t>采用</w:t>
            </w:r>
            <w:r>
              <w:rPr>
                <w:rFonts w:hint="eastAsia" w:eastAsia="宋体"/>
                <w:b w:val="0"/>
                <w:bCs w:val="0"/>
                <w:color w:val="auto"/>
                <w:highlight w:val="none"/>
                <w:lang w:val="en-US" w:eastAsia="zh-CN"/>
              </w:rPr>
              <w:t>电为能源加热，由于原料比较干净，热处理过程基本不产生废气。锻压过程会产生少量金属氧化皮、废油及噪声。</w:t>
            </w:r>
          </w:p>
          <w:p>
            <w:pPr>
              <w:pStyle w:val="72"/>
              <w:ind w:firstLine="480"/>
              <w:rPr>
                <w:rFonts w:hint="default" w:cs="Times New Roman"/>
                <w:b w:val="0"/>
                <w:bCs w:val="0"/>
                <w:color w:val="auto"/>
                <w:highlight w:val="none"/>
                <w:lang w:val="en-US" w:eastAsia="zh-CN"/>
              </w:rPr>
            </w:pPr>
            <w:r>
              <w:rPr>
                <w:rFonts w:hint="eastAsia" w:eastAsia="宋体"/>
                <w:b w:val="0"/>
                <w:bCs w:val="0"/>
                <w:color w:val="auto"/>
                <w:highlight w:val="none"/>
                <w:lang w:val="en-US" w:eastAsia="zh-CN"/>
              </w:rPr>
              <w:t>热轧制：热轧制是将金属材料加热至高温后，通过轧制机械压制塑形的加工方法，能改善材料性能。轧制过程主要污染物废油和轧制噪声。</w:t>
            </w:r>
          </w:p>
          <w:p>
            <w:pPr>
              <w:pStyle w:val="72"/>
              <w:ind w:firstLine="480"/>
              <w:rPr>
                <w:rFonts w:hint="default" w:eastAsia="宋体"/>
                <w:color w:val="auto"/>
                <w:sz w:val="24"/>
                <w:szCs w:val="24"/>
                <w:highlight w:val="none"/>
                <w:lang w:val="en-US" w:eastAsia="zh-CN"/>
              </w:rPr>
            </w:pPr>
            <w:r>
              <w:rPr>
                <w:rFonts w:hint="eastAsia" w:eastAsia="宋体"/>
                <w:color w:val="auto"/>
                <w:sz w:val="24"/>
                <w:szCs w:val="24"/>
                <w:highlight w:val="none"/>
                <w:lang w:val="en-US" w:eastAsia="zh-CN"/>
              </w:rPr>
              <w:t>热处理：将压制塑形后的铝材在退火炉内加热至300</w:t>
            </w:r>
            <w:r>
              <w:rPr>
                <w:rFonts w:hint="eastAsia" w:ascii="宋体" w:hAnsi="宋体" w:eastAsia="宋体" w:cs="宋体"/>
                <w:color w:val="auto"/>
                <w:sz w:val="24"/>
                <w:szCs w:val="24"/>
                <w:highlight w:val="none"/>
                <w:lang w:val="en-US" w:eastAsia="zh-CN"/>
              </w:rPr>
              <w:t>℃</w:t>
            </w:r>
            <w:r>
              <w:rPr>
                <w:rFonts w:hint="eastAsia" w:eastAsia="宋体" w:cs="Times New Roman"/>
                <w:color w:val="auto"/>
                <w:sz w:val="24"/>
                <w:szCs w:val="24"/>
                <w:highlight w:val="none"/>
                <w:lang w:val="en-US" w:eastAsia="zh-CN"/>
              </w:rPr>
              <w:t>左右</w:t>
            </w:r>
            <w:r>
              <w:rPr>
                <w:rFonts w:hint="eastAsia" w:eastAsia="宋体"/>
                <w:color w:val="auto"/>
                <w:sz w:val="24"/>
                <w:szCs w:val="24"/>
                <w:highlight w:val="none"/>
                <w:lang w:val="en-US" w:eastAsia="zh-CN"/>
              </w:rPr>
              <w:t>，去除靶材内部应力，并调整内部晶粒结构。退火炉采用电为能源，过程不排放废气等污染物。</w:t>
            </w:r>
          </w:p>
          <w:p>
            <w:pPr>
              <w:pStyle w:val="72"/>
              <w:ind w:firstLine="480"/>
              <w:rPr>
                <w:color w:val="auto"/>
                <w:sz w:val="24"/>
                <w:szCs w:val="24"/>
                <w:highlight w:val="none"/>
              </w:rPr>
            </w:pPr>
            <w:r>
              <w:rPr>
                <w:rFonts w:hint="eastAsia"/>
                <w:color w:val="auto"/>
                <w:sz w:val="24"/>
                <w:szCs w:val="24"/>
                <w:highlight w:val="none"/>
              </w:rPr>
              <w:t>机加工：根据靶材的图纸，采用大型机械加工设备，对靶材进行外观尺寸的机械加工，机加工过程会加入</w:t>
            </w:r>
            <w:r>
              <w:rPr>
                <w:rFonts w:hint="eastAsia"/>
                <w:color w:val="auto"/>
                <w:sz w:val="24"/>
                <w:szCs w:val="24"/>
                <w:highlight w:val="none"/>
                <w:lang w:val="en-US" w:eastAsia="zh-CN"/>
              </w:rPr>
              <w:t>切削</w:t>
            </w:r>
            <w:r>
              <w:rPr>
                <w:rFonts w:hint="eastAsia"/>
                <w:color w:val="auto"/>
                <w:sz w:val="24"/>
                <w:szCs w:val="24"/>
                <w:highlight w:val="none"/>
              </w:rPr>
              <w:t>液，金属屑基本截留在</w:t>
            </w:r>
            <w:r>
              <w:rPr>
                <w:rFonts w:hint="eastAsia"/>
                <w:color w:val="auto"/>
                <w:sz w:val="24"/>
                <w:szCs w:val="24"/>
                <w:highlight w:val="none"/>
                <w:lang w:val="en-US" w:eastAsia="zh-CN"/>
              </w:rPr>
              <w:t>切削</w:t>
            </w:r>
            <w:r>
              <w:rPr>
                <w:rFonts w:hint="eastAsia"/>
                <w:color w:val="auto"/>
                <w:sz w:val="24"/>
                <w:szCs w:val="24"/>
                <w:highlight w:val="none"/>
              </w:rPr>
              <w:t>液中，因此不会产生金属粉尘，部分靶材根据订单需求会使用水切割工艺。机加工过程会产生金属下脚料、废</w:t>
            </w:r>
            <w:r>
              <w:rPr>
                <w:rFonts w:hint="eastAsia"/>
                <w:color w:val="auto"/>
                <w:sz w:val="24"/>
                <w:szCs w:val="24"/>
                <w:highlight w:val="none"/>
                <w:lang w:val="en-US" w:eastAsia="zh-CN"/>
              </w:rPr>
              <w:t>切削</w:t>
            </w:r>
            <w:r>
              <w:rPr>
                <w:rFonts w:hint="eastAsia"/>
                <w:color w:val="auto"/>
                <w:sz w:val="24"/>
                <w:szCs w:val="24"/>
                <w:highlight w:val="none"/>
              </w:rPr>
              <w:t>液</w:t>
            </w:r>
            <w:r>
              <w:rPr>
                <w:rFonts w:hint="eastAsia"/>
                <w:color w:val="auto"/>
                <w:sz w:val="24"/>
                <w:szCs w:val="24"/>
                <w:highlight w:val="none"/>
                <w:lang w:eastAsia="zh-CN"/>
              </w:rPr>
              <w:t>，</w:t>
            </w:r>
            <w:r>
              <w:rPr>
                <w:rFonts w:hint="eastAsia"/>
                <w:color w:val="auto"/>
                <w:sz w:val="24"/>
                <w:szCs w:val="24"/>
                <w:highlight w:val="none"/>
                <w:lang w:val="en-US" w:eastAsia="zh-CN"/>
              </w:rPr>
              <w:t>机加工设备使用过程会产生废油，金属下脚料按一般工业固废处置，废切削液、废油按危险废物处置</w:t>
            </w:r>
            <w:r>
              <w:rPr>
                <w:rFonts w:hint="eastAsia"/>
                <w:color w:val="auto"/>
                <w:sz w:val="24"/>
                <w:szCs w:val="24"/>
                <w:highlight w:val="none"/>
              </w:rPr>
              <w:t>。</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绑定焊接：靶材焊接采用真空镀铟焊接，在靶坯下表面及背板上表面各镀上一层过渡低熔点金属铟薄膜，将靶材的下表面与背板的上表面采用熔化后的液态铟进行低熔点钎焊，将靶材和背板绑定，年工作时间2400h。</w:t>
            </w:r>
          </w:p>
          <w:p>
            <w:pPr>
              <w:pStyle w:val="72"/>
              <w:ind w:firstLine="480"/>
              <w:rPr>
                <w:rFonts w:hint="eastAsia" w:eastAsia="宋体"/>
                <w:color w:val="auto"/>
                <w:sz w:val="24"/>
                <w:szCs w:val="24"/>
                <w:highlight w:val="none"/>
                <w:lang w:val="en-US" w:eastAsia="zh-CN"/>
              </w:rPr>
            </w:pPr>
            <w:r>
              <w:rPr>
                <w:rFonts w:hint="eastAsia"/>
                <w:color w:val="auto"/>
                <w:sz w:val="24"/>
                <w:szCs w:val="24"/>
                <w:highlight w:val="none"/>
                <w:lang w:val="en-US" w:eastAsia="zh-CN"/>
              </w:rPr>
              <w:t>钎焊是采用比母材熔点低的金属材料铟作钎料，将焊件和钎料加热到高于钎料熔点，低于母材熔化温度，利用液态钎料铟润湿母材，填充接头间隙并与母材相互扩散实现连接焊件的方法。本项目铟原料基本不含杂质，钎焊过程只需在绑定平台将铟加热至160℃左右至熔化状态，过程基本不会产生烟尘及焊渣。</w:t>
            </w:r>
          </w:p>
          <w:p>
            <w:pPr>
              <w:pStyle w:val="72"/>
              <w:ind w:firstLine="480"/>
              <w:rPr>
                <w:color w:val="auto"/>
                <w:sz w:val="24"/>
                <w:szCs w:val="24"/>
                <w:highlight w:val="none"/>
              </w:rPr>
            </w:pPr>
            <w:r>
              <w:rPr>
                <w:rFonts w:hint="eastAsia"/>
                <w:color w:val="auto"/>
                <w:sz w:val="24"/>
                <w:szCs w:val="24"/>
                <w:highlight w:val="none"/>
              </w:rPr>
              <w:t>超声波探伤：将机加工完成的靶材以及焊接完成的靶材放置在超声波探伤设备中，进行超声波探伤，检查靶材内部是否有缺陷</w:t>
            </w:r>
            <w:r>
              <w:rPr>
                <w:rFonts w:hint="eastAsia"/>
                <w:color w:val="auto"/>
                <w:sz w:val="24"/>
                <w:szCs w:val="24"/>
                <w:highlight w:val="none"/>
                <w:lang w:eastAsia="zh-CN"/>
              </w:rPr>
              <w:t>，</w:t>
            </w:r>
            <w:r>
              <w:rPr>
                <w:rFonts w:hint="eastAsia"/>
                <w:color w:val="auto"/>
                <w:sz w:val="24"/>
                <w:szCs w:val="24"/>
                <w:highlight w:val="none"/>
                <w:lang w:val="en-US" w:eastAsia="zh-CN"/>
              </w:rPr>
              <w:t>设备年工作时间2400h</w:t>
            </w:r>
            <w:r>
              <w:rPr>
                <w:rFonts w:hint="eastAsia"/>
                <w:color w:val="auto"/>
                <w:sz w:val="24"/>
                <w:szCs w:val="24"/>
                <w:highlight w:val="none"/>
              </w:rPr>
              <w:t>。</w:t>
            </w:r>
          </w:p>
          <w:p>
            <w:pPr>
              <w:pStyle w:val="72"/>
              <w:ind w:firstLine="480"/>
              <w:rPr>
                <w:rFonts w:hint="eastAsia" w:eastAsia="宋体"/>
                <w:color w:val="auto"/>
                <w:sz w:val="24"/>
                <w:szCs w:val="24"/>
                <w:highlight w:val="none"/>
              </w:rPr>
            </w:pPr>
            <w:r>
              <w:rPr>
                <w:rFonts w:hint="eastAsia" w:eastAsia="宋体"/>
                <w:color w:val="auto"/>
                <w:sz w:val="24"/>
                <w:szCs w:val="24"/>
                <w:highlight w:val="none"/>
              </w:rPr>
              <w:t>超声波探伤</w:t>
            </w:r>
            <w:r>
              <w:rPr>
                <w:rFonts w:hint="eastAsia" w:eastAsia="宋体"/>
                <w:color w:val="auto"/>
                <w:sz w:val="24"/>
                <w:szCs w:val="24"/>
                <w:highlight w:val="none"/>
                <w:lang w:val="en-US" w:eastAsia="zh-CN"/>
              </w:rPr>
              <w:t>采用水浸式超声扫描设备，</w:t>
            </w:r>
            <w:r>
              <w:rPr>
                <w:rFonts w:hint="eastAsia" w:eastAsia="宋体"/>
                <w:color w:val="auto"/>
                <w:sz w:val="24"/>
                <w:szCs w:val="24"/>
                <w:highlight w:val="none"/>
              </w:rPr>
              <w:t>过程会产生少量不合格品以及超声波探伤废水</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不合格品按一般固废处置，超声探伤废水经污水处理站处理后纳入滨海工业区污水处理厂</w:t>
            </w:r>
            <w:r>
              <w:rPr>
                <w:rFonts w:hint="eastAsia" w:eastAsia="宋体"/>
                <w:color w:val="auto"/>
                <w:sz w:val="24"/>
                <w:szCs w:val="24"/>
                <w:highlight w:val="none"/>
              </w:rPr>
              <w:t>。</w:t>
            </w:r>
          </w:p>
          <w:p>
            <w:pPr>
              <w:pStyle w:val="72"/>
              <w:ind w:firstLine="480"/>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喷砂：利用高速砂流（刚玉砂）的冲击作用清理和粗化工件表面，去除产品表面的毛刺、毛边及表面杂物等，使产品颜色均匀一致，外形美观。刚玉砂在喷砂机中循环使用，由于高速冲击工件而有部分刚玉砂被粉碎成微粒，因此需定期补充刚玉砂。喷砂产生的粉尘中主要为粉碎的刚玉砂及少量清理下来的产品表面杂物。喷砂房间设置有收尘装置，采用布袋除尘器处理后排放。喷砂过程会产生喷砂废气及不可利用的废砂。</w:t>
            </w:r>
          </w:p>
          <w:p>
            <w:pPr>
              <w:pStyle w:val="72"/>
              <w:ind w:firstLine="480"/>
              <w:rPr>
                <w:rFonts w:hint="eastAsia"/>
                <w:color w:val="auto"/>
                <w:sz w:val="24"/>
                <w:szCs w:val="24"/>
                <w:highlight w:val="none"/>
              </w:rPr>
            </w:pPr>
            <w:r>
              <w:rPr>
                <w:rFonts w:hint="eastAsia" w:eastAsia="宋体"/>
                <w:color w:val="auto"/>
                <w:sz w:val="24"/>
                <w:szCs w:val="24"/>
                <w:highlight w:val="none"/>
                <w:lang w:val="en-US" w:eastAsia="zh-CN"/>
              </w:rPr>
              <w:t>抛光：采用白砂纸进行抛光打磨，属于干式打磨，主要目的是去除铜背板表面的氧化层及杂质，抛光废气采用湿法喷淋除尘处理后排放。抛光过程会产生抛光废气及废砂纸。</w:t>
            </w:r>
          </w:p>
          <w:p>
            <w:pPr>
              <w:pStyle w:val="72"/>
              <w:ind w:firstLine="480"/>
              <w:rPr>
                <w:rFonts w:hint="eastAsia"/>
                <w:color w:val="auto"/>
                <w:sz w:val="24"/>
                <w:szCs w:val="24"/>
                <w:highlight w:val="none"/>
              </w:rPr>
            </w:pPr>
            <w:r>
              <w:rPr>
                <w:rFonts w:hint="eastAsia"/>
                <w:color w:val="auto"/>
                <w:sz w:val="24"/>
                <w:szCs w:val="24"/>
                <w:highlight w:val="none"/>
              </w:rPr>
              <w:t>清洁：采用无尘布</w:t>
            </w:r>
            <w:r>
              <w:rPr>
                <w:rFonts w:hint="eastAsia"/>
                <w:color w:val="auto"/>
                <w:sz w:val="24"/>
                <w:szCs w:val="24"/>
                <w:highlight w:val="none"/>
                <w:lang w:val="en-US" w:eastAsia="zh-CN"/>
              </w:rPr>
              <w:t>和酒精进行靶材表面</w:t>
            </w:r>
            <w:r>
              <w:rPr>
                <w:rFonts w:hint="eastAsia"/>
                <w:color w:val="auto"/>
                <w:sz w:val="24"/>
                <w:szCs w:val="24"/>
                <w:highlight w:val="none"/>
              </w:rPr>
              <w:t>擦拭超声波探伤后的靶材</w:t>
            </w:r>
            <w:r>
              <w:rPr>
                <w:rFonts w:hint="eastAsia"/>
                <w:color w:val="auto"/>
                <w:sz w:val="24"/>
                <w:szCs w:val="24"/>
                <w:highlight w:val="none"/>
                <w:lang w:eastAsia="zh-CN"/>
              </w:rPr>
              <w:t>，</w:t>
            </w:r>
            <w:r>
              <w:rPr>
                <w:rFonts w:hint="eastAsia"/>
                <w:color w:val="auto"/>
                <w:sz w:val="24"/>
                <w:szCs w:val="24"/>
                <w:highlight w:val="none"/>
              </w:rPr>
              <w:t>清洁过程会产生废无尘布</w:t>
            </w:r>
            <w:r>
              <w:rPr>
                <w:rFonts w:hint="eastAsia"/>
                <w:color w:val="auto"/>
                <w:sz w:val="24"/>
                <w:szCs w:val="24"/>
                <w:highlight w:val="none"/>
                <w:lang w:eastAsia="zh-CN"/>
              </w:rPr>
              <w:t>，</w:t>
            </w:r>
            <w:r>
              <w:rPr>
                <w:rFonts w:hint="eastAsia"/>
                <w:color w:val="auto"/>
                <w:sz w:val="24"/>
                <w:szCs w:val="24"/>
                <w:highlight w:val="none"/>
                <w:lang w:val="en-US" w:eastAsia="zh-CN"/>
              </w:rPr>
              <w:t>并挥发一定的有机废气。</w:t>
            </w:r>
          </w:p>
          <w:p>
            <w:pPr>
              <w:pStyle w:val="72"/>
              <w:ind w:firstLine="480"/>
              <w:rPr>
                <w:rFonts w:hint="default" w:eastAsia="宋体"/>
                <w:color w:val="auto"/>
                <w:sz w:val="24"/>
                <w:szCs w:val="24"/>
                <w:highlight w:val="none"/>
                <w:lang w:val="en-US" w:eastAsia="zh-CN"/>
              </w:rPr>
            </w:pPr>
            <w:r>
              <w:rPr>
                <w:rFonts w:hint="eastAsia"/>
                <w:color w:val="auto"/>
                <w:sz w:val="24"/>
                <w:szCs w:val="24"/>
                <w:highlight w:val="none"/>
                <w:lang w:val="en-US" w:eastAsia="zh-CN"/>
              </w:rPr>
              <w:t>真空包装：为防止靶材发生氧化，将靶材放置在真空包装袋内进行真空包装，年工作时间2400h。</w:t>
            </w:r>
          </w:p>
          <w:p>
            <w:pPr>
              <w:pStyle w:val="72"/>
              <w:ind w:firstLine="480"/>
              <w:rPr>
                <w:color w:val="auto"/>
                <w:sz w:val="24"/>
                <w:szCs w:val="24"/>
                <w:highlight w:val="none"/>
              </w:rPr>
            </w:pPr>
            <w:r>
              <w:rPr>
                <w:rFonts w:hint="eastAsia"/>
                <w:color w:val="auto"/>
                <w:sz w:val="24"/>
                <w:szCs w:val="24"/>
                <w:highlight w:val="none"/>
              </w:rPr>
              <w:t>综上所述，</w:t>
            </w:r>
            <w:r>
              <w:rPr>
                <w:rFonts w:hint="eastAsia"/>
                <w:color w:val="auto"/>
                <w:sz w:val="24"/>
                <w:szCs w:val="24"/>
                <w:highlight w:val="none"/>
                <w:lang w:val="en-US" w:eastAsia="zh-CN"/>
              </w:rPr>
              <w:t>铝</w:t>
            </w:r>
            <w:r>
              <w:rPr>
                <w:rFonts w:hint="eastAsia"/>
                <w:color w:val="auto"/>
                <w:sz w:val="24"/>
                <w:szCs w:val="24"/>
                <w:highlight w:val="none"/>
              </w:rPr>
              <w:t>靶材加工过程产生的主要污染物为金属下脚料、废</w:t>
            </w:r>
            <w:r>
              <w:rPr>
                <w:rFonts w:hint="eastAsia"/>
                <w:color w:val="auto"/>
                <w:sz w:val="24"/>
                <w:szCs w:val="24"/>
                <w:highlight w:val="none"/>
                <w:lang w:val="en-US" w:eastAsia="zh-CN"/>
              </w:rPr>
              <w:t>切削</w:t>
            </w:r>
            <w:r>
              <w:rPr>
                <w:rFonts w:hint="eastAsia"/>
                <w:color w:val="auto"/>
                <w:sz w:val="24"/>
                <w:szCs w:val="24"/>
                <w:highlight w:val="none"/>
              </w:rPr>
              <w:t>液、不合格靶材、超声波探伤废水、废无尘布及各机械设备产生的噪声。具体工艺流程见图2.4-1。</w:t>
            </w:r>
          </w:p>
          <w:p>
            <w:pPr>
              <w:pStyle w:val="64"/>
              <w:numPr>
                <w:ilvl w:val="2"/>
                <w:numId w:val="0"/>
              </w:numPr>
              <w:tabs>
                <w:tab w:val="clear" w:pos="2160"/>
              </w:tabs>
              <w:jc w:val="center"/>
              <w:rPr>
                <w:color w:val="auto"/>
                <w:highlight w:val="none"/>
              </w:rPr>
            </w:pPr>
            <w:r>
              <w:rPr>
                <w:color w:val="auto"/>
              </w:rPr>
              <w:drawing>
                <wp:inline distT="0" distB="0" distL="114300" distR="114300">
                  <wp:extent cx="5194300" cy="7280910"/>
                  <wp:effectExtent l="0" t="0" r="6350" b="1524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5194300" cy="7280910"/>
                          </a:xfrm>
                          <a:prstGeom prst="rect">
                            <a:avLst/>
                          </a:prstGeom>
                          <a:noFill/>
                          <a:ln>
                            <a:noFill/>
                          </a:ln>
                        </pic:spPr>
                      </pic:pic>
                    </a:graphicData>
                  </a:graphic>
                </wp:inline>
              </w:drawing>
            </w:r>
          </w:p>
          <w:p>
            <w:pPr>
              <w:pStyle w:val="68"/>
              <w:rPr>
                <w:color w:val="auto"/>
                <w:highlight w:val="none"/>
              </w:rPr>
            </w:pPr>
            <w:r>
              <w:rPr>
                <w:rFonts w:hint="eastAsia"/>
                <w:color w:val="auto"/>
                <w:highlight w:val="none"/>
              </w:rPr>
              <w:t>图2.4-1</w:t>
            </w:r>
            <w:r>
              <w:rPr>
                <w:rFonts w:hint="eastAsia"/>
                <w:color w:val="auto"/>
                <w:highlight w:val="none"/>
                <w:lang w:val="en-US" w:eastAsia="zh-CN"/>
              </w:rPr>
              <w:t>平面铝</w:t>
            </w:r>
            <w:r>
              <w:rPr>
                <w:rFonts w:hint="eastAsia"/>
                <w:color w:val="auto"/>
                <w:highlight w:val="none"/>
              </w:rPr>
              <w:t>靶材生产工艺流程及产污环节示意图</w:t>
            </w:r>
          </w:p>
          <w:p>
            <w:pPr>
              <w:pStyle w:val="72"/>
              <w:ind w:firstLine="480"/>
              <w:rPr>
                <w:color w:val="auto"/>
                <w:highlight w:val="none"/>
              </w:rPr>
            </w:pPr>
            <w:r>
              <w:rPr>
                <w:rFonts w:hint="eastAsia"/>
                <w:color w:val="auto"/>
                <w:highlight w:val="none"/>
              </w:rPr>
              <w:t>（2）</w:t>
            </w:r>
            <w:r>
              <w:rPr>
                <w:rFonts w:hint="eastAsia"/>
                <w:color w:val="auto"/>
                <w:highlight w:val="none"/>
                <w:lang w:val="en-US" w:eastAsia="zh-CN"/>
              </w:rPr>
              <w:t>铜</w:t>
            </w:r>
            <w:r>
              <w:rPr>
                <w:rFonts w:hint="eastAsia"/>
                <w:color w:val="auto"/>
                <w:highlight w:val="none"/>
              </w:rPr>
              <w:t>靶材</w:t>
            </w:r>
          </w:p>
          <w:p>
            <w:pPr>
              <w:pStyle w:val="72"/>
              <w:ind w:firstLine="480"/>
              <w:rPr>
                <w:rFonts w:hint="eastAsia"/>
                <w:color w:val="auto"/>
                <w:highlight w:val="none"/>
              </w:rPr>
            </w:pPr>
            <w:r>
              <w:rPr>
                <w:rFonts w:hint="eastAsia"/>
                <w:color w:val="auto"/>
                <w:highlight w:val="none"/>
                <w:lang w:val="en-US" w:eastAsia="zh-CN"/>
              </w:rPr>
              <w:t>平面显示铜靶材生产工艺基本同铝靶材，只是直接以铜板为原料，经机加工、绑定焊接、超声探伤、喷砂抛光、真空包装后即为成品。未进行熔铸、热锻压、热处理等加工工序</w:t>
            </w:r>
            <w:r>
              <w:rPr>
                <w:rFonts w:hint="eastAsia"/>
                <w:color w:val="auto"/>
                <w:highlight w:val="none"/>
              </w:rPr>
              <w:t>。具体工艺流程见图2.4-2。</w:t>
            </w:r>
          </w:p>
          <w:p>
            <w:pPr>
              <w:pStyle w:val="68"/>
              <w:rPr>
                <w:color w:val="auto"/>
                <w:highlight w:val="none"/>
              </w:rPr>
            </w:pPr>
            <w:r>
              <w:rPr>
                <w:color w:val="auto"/>
                <w:highlight w:val="none"/>
              </w:rPr>
              <w:drawing>
                <wp:inline distT="0" distB="0" distL="114300" distR="114300">
                  <wp:extent cx="5192395" cy="5528310"/>
                  <wp:effectExtent l="0" t="0" r="8255" b="15240"/>
                  <wp:docPr id="1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7"/>
                          <pic:cNvPicPr>
                            <a:picLocks noChangeAspect="1"/>
                          </pic:cNvPicPr>
                        </pic:nvPicPr>
                        <pic:blipFill>
                          <a:blip r:embed="rId14"/>
                          <a:stretch>
                            <a:fillRect/>
                          </a:stretch>
                        </pic:blipFill>
                        <pic:spPr>
                          <a:xfrm>
                            <a:off x="0" y="0"/>
                            <a:ext cx="5192395" cy="5528310"/>
                          </a:xfrm>
                          <a:prstGeom prst="rect">
                            <a:avLst/>
                          </a:prstGeom>
                          <a:noFill/>
                          <a:ln>
                            <a:noFill/>
                          </a:ln>
                        </pic:spPr>
                      </pic:pic>
                    </a:graphicData>
                  </a:graphic>
                </wp:inline>
              </w:drawing>
            </w:r>
          </w:p>
          <w:p>
            <w:pPr>
              <w:pStyle w:val="68"/>
              <w:rPr>
                <w:rFonts w:hint="eastAsia"/>
                <w:color w:val="auto"/>
                <w:highlight w:val="none"/>
              </w:rPr>
            </w:pPr>
            <w:r>
              <w:rPr>
                <w:rFonts w:hint="eastAsia"/>
                <w:color w:val="auto"/>
                <w:highlight w:val="none"/>
                <w:lang w:val="en-US" w:eastAsia="zh-CN"/>
              </w:rPr>
              <w:t>图</w:t>
            </w:r>
            <w:r>
              <w:rPr>
                <w:rFonts w:hint="eastAsia"/>
                <w:color w:val="auto"/>
                <w:highlight w:val="none"/>
              </w:rPr>
              <w:t>2.4-2</w:t>
            </w:r>
            <w:r>
              <w:rPr>
                <w:rFonts w:hint="eastAsia"/>
                <w:color w:val="auto"/>
                <w:highlight w:val="none"/>
                <w:lang w:val="en-US" w:eastAsia="zh-CN"/>
              </w:rPr>
              <w:t>平面铜</w:t>
            </w:r>
            <w:r>
              <w:rPr>
                <w:rFonts w:hint="eastAsia"/>
                <w:color w:val="auto"/>
                <w:highlight w:val="none"/>
              </w:rPr>
              <w:t>靶材生产工艺流程及产污环节示意图</w:t>
            </w:r>
          </w:p>
          <w:p>
            <w:pPr>
              <w:pStyle w:val="72"/>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钼靶材、钛靶材、硅靶材、铌靶材、钽靶材生产工艺流程及产污环节示意图</w:t>
            </w:r>
          </w:p>
          <w:p>
            <w:pPr>
              <w:pStyle w:val="72"/>
              <w:rPr>
                <w:rFonts w:hint="default"/>
                <w:color w:val="auto"/>
                <w:highlight w:val="none"/>
                <w:lang w:val="en-US" w:eastAsia="zh-CN"/>
              </w:rPr>
            </w:pPr>
            <w:r>
              <w:rPr>
                <w:rFonts w:hint="eastAsia"/>
                <w:color w:val="auto"/>
                <w:highlight w:val="none"/>
                <w:lang w:val="en-US" w:eastAsia="zh-CN"/>
              </w:rPr>
              <w:t>钼靶材、钛靶材、硅靶材、铌靶材、钽靶材工艺相对比较简单，采用靶坯片原料，经超声探伤、绑定焊接、喷砂抛光、清洁擦拭、真空包装后即为成品。具体工艺流程见图2.4-3。</w:t>
            </w:r>
          </w:p>
          <w:p>
            <w:pPr>
              <w:pStyle w:val="72"/>
              <w:rPr>
                <w:rFonts w:hint="default"/>
                <w:color w:val="auto"/>
                <w:highlight w:val="none"/>
                <w:lang w:val="en-US" w:eastAsia="zh-CN"/>
              </w:rPr>
            </w:pPr>
          </w:p>
          <w:p>
            <w:pPr>
              <w:pStyle w:val="72"/>
              <w:ind w:left="0" w:leftChars="0" w:firstLine="0" w:firstLineChars="0"/>
              <w:rPr>
                <w:rFonts w:hint="default"/>
                <w:color w:val="auto"/>
                <w:highlight w:val="none"/>
                <w:lang w:val="en-US" w:eastAsia="zh-CN"/>
              </w:rPr>
            </w:pPr>
            <w:r>
              <w:rPr>
                <w:color w:val="auto"/>
                <w:highlight w:val="none"/>
              </w:rPr>
              <w:drawing>
                <wp:inline distT="0" distB="0" distL="114300" distR="114300">
                  <wp:extent cx="5193665" cy="4383405"/>
                  <wp:effectExtent l="0" t="0" r="6985" b="17145"/>
                  <wp:docPr id="1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6"/>
                          <pic:cNvPicPr>
                            <a:picLocks noChangeAspect="1"/>
                          </pic:cNvPicPr>
                        </pic:nvPicPr>
                        <pic:blipFill>
                          <a:blip r:embed="rId15"/>
                          <a:stretch>
                            <a:fillRect/>
                          </a:stretch>
                        </pic:blipFill>
                        <pic:spPr>
                          <a:xfrm>
                            <a:off x="0" y="0"/>
                            <a:ext cx="5193665" cy="4383405"/>
                          </a:xfrm>
                          <a:prstGeom prst="rect">
                            <a:avLst/>
                          </a:prstGeom>
                          <a:noFill/>
                          <a:ln>
                            <a:noFill/>
                          </a:ln>
                        </pic:spPr>
                      </pic:pic>
                    </a:graphicData>
                  </a:graphic>
                </wp:inline>
              </w:drawing>
            </w:r>
          </w:p>
          <w:p>
            <w:pPr>
              <w:pStyle w:val="68"/>
              <w:rPr>
                <w:rFonts w:hint="eastAsia"/>
                <w:color w:val="auto"/>
                <w:highlight w:val="none"/>
              </w:rPr>
            </w:pPr>
            <w:r>
              <w:rPr>
                <w:rFonts w:hint="eastAsia"/>
                <w:color w:val="auto"/>
                <w:highlight w:val="none"/>
                <w:lang w:val="en-US" w:eastAsia="zh-CN"/>
              </w:rPr>
              <w:t>图</w:t>
            </w:r>
            <w:r>
              <w:rPr>
                <w:rFonts w:hint="eastAsia"/>
                <w:color w:val="auto"/>
                <w:highlight w:val="none"/>
              </w:rPr>
              <w:t>2.4-</w:t>
            </w:r>
            <w:r>
              <w:rPr>
                <w:rFonts w:hint="eastAsia"/>
                <w:color w:val="auto"/>
                <w:highlight w:val="none"/>
                <w:lang w:val="en-US" w:eastAsia="zh-CN"/>
              </w:rPr>
              <w:t>3平面钼靶材、钛靶材、硅靶材、铌靶材、钽靶材</w:t>
            </w:r>
            <w:r>
              <w:rPr>
                <w:rFonts w:hint="eastAsia"/>
                <w:color w:val="auto"/>
                <w:highlight w:val="none"/>
              </w:rPr>
              <w:t>生产工艺流程及产污环节示意图</w:t>
            </w:r>
          </w:p>
          <w:p>
            <w:pPr>
              <w:pStyle w:val="72"/>
              <w:rPr>
                <w:rFonts w:hint="default"/>
                <w:color w:val="auto"/>
                <w:highlight w:val="none"/>
                <w:lang w:val="en-US" w:eastAsia="zh-CN"/>
              </w:rPr>
            </w:pPr>
            <w:r>
              <w:rPr>
                <w:rFonts w:hint="eastAsia"/>
                <w:color w:val="auto"/>
                <w:highlight w:val="none"/>
                <w:lang w:val="en-US" w:eastAsia="zh-CN"/>
              </w:rPr>
              <w:t>（4）公辅设施、环保设施产污情况</w:t>
            </w:r>
          </w:p>
          <w:p>
            <w:pPr>
              <w:pStyle w:val="72"/>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①纯水机产污环节</w:t>
            </w:r>
          </w:p>
          <w:p>
            <w:pPr>
              <w:pStyle w:val="72"/>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本项目超声探伤工序采用水</w:t>
            </w:r>
            <w:r>
              <w:rPr>
                <w:rFonts w:hint="eastAsia"/>
                <w:color w:val="auto"/>
                <w:highlight w:val="none"/>
                <w:lang w:val="en-US" w:eastAsia="zh-CN"/>
              </w:rPr>
              <w:t>浸式超声扫描设备，过程使用纯水。纯水机依托现有二期厂房纯水机。</w:t>
            </w:r>
          </w:p>
          <w:p>
            <w:pPr>
              <w:pStyle w:val="72"/>
              <w:rPr>
                <w:rFonts w:hint="eastAsia"/>
                <w:color w:val="auto"/>
                <w:highlight w:val="none"/>
                <w:lang w:val="en-US" w:eastAsia="zh-CN"/>
              </w:rPr>
            </w:pPr>
            <w:r>
              <w:rPr>
                <w:rFonts w:hint="eastAsia"/>
                <w:color w:val="auto"/>
                <w:highlight w:val="none"/>
                <w:lang w:val="en-US" w:eastAsia="zh-CN"/>
              </w:rPr>
              <w:t>纯水制水过程会排放少量污水，此外，纯水机定期更换的膜组件属于一般工业固废。</w:t>
            </w:r>
          </w:p>
          <w:p>
            <w:pPr>
              <w:pStyle w:val="72"/>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②抛光粉尘喷淋系统产污</w:t>
            </w:r>
          </w:p>
          <w:p>
            <w:pPr>
              <w:pStyle w:val="7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抛光工序产生的粉尘采用湿法喷淋除尘，定期清理，会排放少量污水，尘泥。</w:t>
            </w:r>
          </w:p>
          <w:p>
            <w:pPr>
              <w:pStyle w:val="72"/>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③布袋除尘系统产污</w:t>
            </w:r>
          </w:p>
          <w:p>
            <w:pPr>
              <w:pStyle w:val="72"/>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布袋除尘系统回收的粉尘及定期更换的废滤袋属于一般工业固废。</w:t>
            </w:r>
          </w:p>
          <w:p>
            <w:pPr>
              <w:pStyle w:val="7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④污水处理站产污</w:t>
            </w:r>
          </w:p>
          <w:p>
            <w:pPr>
              <w:pStyle w:val="7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污水处理系统产生的污泥等。</w:t>
            </w:r>
          </w:p>
          <w:p>
            <w:pPr>
              <w:pStyle w:val="72"/>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⑤</w:t>
            </w:r>
            <w:r>
              <w:rPr>
                <w:rFonts w:hint="eastAsia" w:ascii="宋体" w:hAnsi="宋体" w:cs="宋体"/>
                <w:color w:val="auto"/>
                <w:highlight w:val="none"/>
                <w:lang w:val="en-US" w:eastAsia="zh-CN"/>
              </w:rPr>
              <w:t>循环冷却水系统排污</w:t>
            </w:r>
          </w:p>
          <w:p>
            <w:pPr>
              <w:pStyle w:val="72"/>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循环冷却水系统采用闭式循环冷却水系统，正常不排污，定期清理过程会产生少量废水。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3" w:hRule="atLeast"/>
          <w:jc w:val="center"/>
        </w:trPr>
        <w:tc>
          <w:tcPr>
            <w:tcW w:w="587" w:type="dxa"/>
            <w:vAlign w:val="center"/>
          </w:tcPr>
          <w:p>
            <w:pPr>
              <w:pStyle w:val="25"/>
              <w:adjustRightInd w:val="0"/>
              <w:snapToGrid w:val="0"/>
              <w:spacing w:before="0" w:beforeAutospacing="0" w:after="0" w:afterAutospacing="0"/>
              <w:jc w:val="center"/>
              <w:rPr>
                <w:rFonts w:cs="宋体"/>
                <w:color w:val="auto"/>
                <w:sz w:val="21"/>
                <w:szCs w:val="21"/>
                <w:highlight w:val="none"/>
              </w:rPr>
            </w:pPr>
            <w:r>
              <w:rPr>
                <w:rFonts w:hint="eastAsia" w:cs="宋体"/>
                <w:bCs/>
                <w:color w:val="auto"/>
                <w:kern w:val="2"/>
                <w:sz w:val="21"/>
                <w:szCs w:val="21"/>
                <w:highlight w:val="none"/>
              </w:rPr>
              <w:t>与项目有关的原有环境污染问题</w:t>
            </w:r>
          </w:p>
        </w:tc>
        <w:tc>
          <w:tcPr>
            <w:tcW w:w="8397" w:type="dxa"/>
          </w:tcPr>
          <w:p>
            <w:pPr>
              <w:pStyle w:val="64"/>
              <w:numPr>
                <w:ilvl w:val="2"/>
                <w:numId w:val="0"/>
              </w:numPr>
              <w:tabs>
                <w:tab w:val="clear" w:pos="2160"/>
              </w:tabs>
              <w:rPr>
                <w:color w:val="auto"/>
                <w:highlight w:val="none"/>
              </w:rPr>
            </w:pPr>
            <w:r>
              <w:rPr>
                <w:rFonts w:hint="eastAsia"/>
                <w:color w:val="auto"/>
                <w:highlight w:val="none"/>
              </w:rPr>
              <w:t>2.5现有工程概况和污染源分析</w:t>
            </w:r>
          </w:p>
          <w:p>
            <w:pPr>
              <w:pStyle w:val="66"/>
              <w:numPr>
                <w:ilvl w:val="3"/>
                <w:numId w:val="0"/>
              </w:numPr>
              <w:rPr>
                <w:color w:val="auto"/>
                <w:highlight w:val="none"/>
              </w:rPr>
            </w:pPr>
            <w:r>
              <w:rPr>
                <w:rFonts w:hint="eastAsia"/>
                <w:color w:val="auto"/>
                <w:highlight w:val="none"/>
              </w:rPr>
              <w:t>2.5.1项目工程概况</w:t>
            </w:r>
          </w:p>
          <w:p>
            <w:pPr>
              <w:pStyle w:val="72"/>
              <w:ind w:firstLine="480"/>
              <w:rPr>
                <w:color w:val="auto"/>
                <w:highlight w:val="none"/>
              </w:rPr>
            </w:pPr>
            <w:r>
              <w:rPr>
                <w:rFonts w:hint="eastAsia"/>
                <w:color w:val="auto"/>
                <w:highlight w:val="none"/>
              </w:rPr>
              <w:t>现有工程规模及环境影响评价、环保竣工验收情况见表2.5.1。</w:t>
            </w:r>
          </w:p>
          <w:p>
            <w:pPr>
              <w:pStyle w:val="68"/>
              <w:rPr>
                <w:rFonts w:hint="eastAsia"/>
                <w:color w:val="auto"/>
                <w:highlight w:val="none"/>
              </w:rPr>
            </w:pPr>
            <w:r>
              <w:rPr>
                <w:rFonts w:hint="eastAsia"/>
                <w:color w:val="auto"/>
                <w:highlight w:val="none"/>
              </w:rPr>
              <w:t>表2.5.1现有项目工程规模及环评、竣工环保验收信息一览表</w:t>
            </w:r>
          </w:p>
          <w:tbl>
            <w:tblPr>
              <w:tblStyle w:val="29"/>
              <w:tblW w:w="8220"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29"/>
              <w:gridCol w:w="1902"/>
              <w:gridCol w:w="1544"/>
              <w:gridCol w:w="1489"/>
              <w:gridCol w:w="1270"/>
              <w:gridCol w:w="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9" w:type="dxa"/>
                  <w:tcBorders>
                    <w:tl2br w:val="nil"/>
                    <w:tr2bl w:val="nil"/>
                  </w:tcBorders>
                  <w:vAlign w:val="center"/>
                </w:tcPr>
                <w:p>
                  <w:pPr>
                    <w:pStyle w:val="70"/>
                    <w:rPr>
                      <w:color w:val="auto"/>
                      <w:highlight w:val="none"/>
                    </w:rPr>
                  </w:pPr>
                  <w:r>
                    <w:rPr>
                      <w:rFonts w:hint="eastAsia"/>
                      <w:color w:val="auto"/>
                      <w:highlight w:val="none"/>
                    </w:rPr>
                    <w:t>项目名称</w:t>
                  </w:r>
                </w:p>
              </w:tc>
              <w:tc>
                <w:tcPr>
                  <w:tcW w:w="1902"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审批情况</w:t>
                  </w:r>
                  <w:r>
                    <w:rPr>
                      <w:rFonts w:hint="eastAsia"/>
                      <w:color w:val="auto"/>
                      <w:highlight w:val="none"/>
                      <w:lang w:val="en-US" w:eastAsia="zh-CN"/>
                    </w:rPr>
                    <w:t>\文号</w:t>
                  </w:r>
                </w:p>
              </w:tc>
              <w:tc>
                <w:tcPr>
                  <w:tcW w:w="1544" w:type="dxa"/>
                  <w:tcBorders>
                    <w:tl2br w:val="nil"/>
                    <w:tr2bl w:val="nil"/>
                  </w:tcBorders>
                  <w:vAlign w:val="center"/>
                </w:tcPr>
                <w:p>
                  <w:pPr>
                    <w:pStyle w:val="70"/>
                    <w:rPr>
                      <w:color w:val="auto"/>
                      <w:highlight w:val="none"/>
                    </w:rPr>
                  </w:pPr>
                  <w:r>
                    <w:rPr>
                      <w:rFonts w:hint="eastAsia"/>
                      <w:color w:val="auto"/>
                      <w:highlight w:val="none"/>
                    </w:rPr>
                    <w:t>规模</w:t>
                  </w:r>
                </w:p>
              </w:tc>
              <w:tc>
                <w:tcPr>
                  <w:tcW w:w="1489" w:type="dxa"/>
                  <w:tcBorders>
                    <w:tl2br w:val="nil"/>
                    <w:tr2bl w:val="nil"/>
                  </w:tcBorders>
                  <w:vAlign w:val="center"/>
                </w:tcPr>
                <w:p>
                  <w:pPr>
                    <w:pStyle w:val="70"/>
                    <w:rPr>
                      <w:color w:val="auto"/>
                      <w:highlight w:val="none"/>
                    </w:rPr>
                  </w:pPr>
                  <w:r>
                    <w:rPr>
                      <w:rFonts w:hint="eastAsia"/>
                      <w:color w:val="auto"/>
                      <w:highlight w:val="none"/>
                    </w:rPr>
                    <w:t>验收情况</w:t>
                  </w:r>
                </w:p>
              </w:tc>
              <w:tc>
                <w:tcPr>
                  <w:tcW w:w="1270" w:type="dxa"/>
                  <w:tcBorders>
                    <w:tl2br w:val="nil"/>
                    <w:tr2bl w:val="nil"/>
                  </w:tcBorders>
                  <w:vAlign w:val="center"/>
                </w:tcPr>
                <w:p>
                  <w:pPr>
                    <w:pStyle w:val="70"/>
                    <w:rPr>
                      <w:color w:val="auto"/>
                      <w:highlight w:val="none"/>
                    </w:rPr>
                  </w:pPr>
                  <w:r>
                    <w:rPr>
                      <w:rFonts w:hint="eastAsia"/>
                      <w:color w:val="auto"/>
                      <w:highlight w:val="none"/>
                    </w:rPr>
                    <w:t>排污许可手续执行情况</w:t>
                  </w:r>
                </w:p>
              </w:tc>
              <w:tc>
                <w:tcPr>
                  <w:tcW w:w="886" w:type="dxa"/>
                  <w:tcBorders>
                    <w:tl2br w:val="nil"/>
                    <w:tr2bl w:val="nil"/>
                  </w:tcBorders>
                  <w:vAlign w:val="center"/>
                </w:tcPr>
                <w:p>
                  <w:pPr>
                    <w:pStyle w:val="70"/>
                    <w:rPr>
                      <w:color w:val="auto"/>
                      <w:highlight w:val="none"/>
                    </w:rPr>
                  </w:pPr>
                  <w:r>
                    <w:rPr>
                      <w:rFonts w:hint="eastAsia"/>
                      <w:color w:val="auto"/>
                      <w:highlight w:val="none"/>
                    </w:rPr>
                    <w:t>应急预案备案号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9" w:type="dxa"/>
                  <w:tcBorders>
                    <w:tl2br w:val="nil"/>
                    <w:tr2bl w:val="nil"/>
                  </w:tcBorders>
                  <w:vAlign w:val="center"/>
                </w:tcPr>
                <w:p>
                  <w:pPr>
                    <w:pStyle w:val="70"/>
                    <w:rPr>
                      <w:color w:val="auto"/>
                      <w:highlight w:val="none"/>
                    </w:rPr>
                  </w:pPr>
                  <w:r>
                    <w:rPr>
                      <w:rFonts w:hint="eastAsia"/>
                      <w:color w:val="auto"/>
                      <w:highlight w:val="none"/>
                    </w:rPr>
                    <w:t>平板显示溅射靶材建设项目</w:t>
                  </w:r>
                </w:p>
              </w:tc>
              <w:tc>
                <w:tcPr>
                  <w:tcW w:w="1902" w:type="dxa"/>
                  <w:tcBorders>
                    <w:tl2br w:val="nil"/>
                    <w:tr2bl w:val="nil"/>
                  </w:tcBorders>
                  <w:vAlign w:val="center"/>
                </w:tcPr>
                <w:p>
                  <w:pPr>
                    <w:pStyle w:val="70"/>
                    <w:rPr>
                      <w:rFonts w:hint="eastAsia" w:eastAsia="宋体"/>
                      <w:color w:val="auto"/>
                      <w:highlight w:val="none"/>
                      <w:lang w:val="en-US" w:eastAsia="zh-CN"/>
                    </w:rPr>
                  </w:pPr>
                  <w:r>
                    <w:rPr>
                      <w:rFonts w:hint="eastAsia"/>
                      <w:color w:val="auto"/>
                      <w:highlight w:val="none"/>
                    </w:rPr>
                    <w:t>2020年6月通过福州市长乐生态环境局审批</w:t>
                  </w:r>
                  <w:r>
                    <w:rPr>
                      <w:rFonts w:hint="eastAsia"/>
                      <w:color w:val="auto"/>
                      <w:highlight w:val="none"/>
                      <w:lang w:eastAsia="zh-CN"/>
                    </w:rPr>
                    <w:t>，</w:t>
                  </w:r>
                  <w:r>
                    <w:rPr>
                      <w:rFonts w:hint="eastAsia"/>
                      <w:color w:val="auto"/>
                      <w:highlight w:val="none"/>
                      <w:lang w:val="en-US" w:eastAsia="zh-CN"/>
                    </w:rPr>
                    <w:t>长环评〔2020〕45号</w:t>
                  </w:r>
                </w:p>
              </w:tc>
              <w:tc>
                <w:tcPr>
                  <w:tcW w:w="1544" w:type="dxa"/>
                  <w:tcBorders>
                    <w:tl2br w:val="nil"/>
                    <w:tr2bl w:val="nil"/>
                  </w:tcBorders>
                  <w:vAlign w:val="center"/>
                </w:tcPr>
                <w:p>
                  <w:pPr>
                    <w:jc w:val="center"/>
                    <w:rPr>
                      <w:color w:val="auto"/>
                      <w:highlight w:val="none"/>
                    </w:rPr>
                  </w:pPr>
                  <w:r>
                    <w:rPr>
                      <w:rFonts w:hint="eastAsia"/>
                      <w:color w:val="auto"/>
                      <w:highlight w:val="none"/>
                    </w:rPr>
                    <w:t>年产各种靶材1200吨，其中钼靶材800吨、铝靶材350吨、硅靶材50吨</w:t>
                  </w:r>
                </w:p>
              </w:tc>
              <w:tc>
                <w:tcPr>
                  <w:tcW w:w="1489" w:type="dxa"/>
                  <w:tcBorders>
                    <w:tl2br w:val="nil"/>
                    <w:tr2bl w:val="nil"/>
                  </w:tcBorders>
                  <w:vAlign w:val="center"/>
                </w:tcPr>
                <w:p>
                  <w:pPr>
                    <w:pStyle w:val="70"/>
                    <w:rPr>
                      <w:rFonts w:hint="eastAsia" w:eastAsia="宋体"/>
                      <w:color w:val="auto"/>
                      <w:highlight w:val="none"/>
                      <w:lang w:eastAsia="zh-CN"/>
                    </w:rPr>
                  </w:pPr>
                  <w:r>
                    <w:rPr>
                      <w:rFonts w:hint="eastAsia"/>
                      <w:color w:val="auto"/>
                      <w:highlight w:val="none"/>
                    </w:rPr>
                    <w:t>2021年12月该项目</w:t>
                  </w:r>
                  <w:r>
                    <w:rPr>
                      <w:rFonts w:hint="eastAsia"/>
                      <w:color w:val="auto"/>
                      <w:highlight w:val="none"/>
                      <w:lang w:val="en-US" w:eastAsia="zh-CN"/>
                    </w:rPr>
                    <w:t>完成</w:t>
                  </w:r>
                  <w:r>
                    <w:rPr>
                      <w:rFonts w:hint="eastAsia"/>
                      <w:color w:val="auto"/>
                      <w:highlight w:val="none"/>
                    </w:rPr>
                    <w:t>竣工环保验收</w:t>
                  </w:r>
                  <w:r>
                    <w:rPr>
                      <w:rFonts w:hint="eastAsia"/>
                      <w:color w:val="auto"/>
                      <w:highlight w:val="none"/>
                      <w:lang w:eastAsia="zh-CN"/>
                    </w:rPr>
                    <w:t>（</w:t>
                  </w:r>
                  <w:r>
                    <w:rPr>
                      <w:rFonts w:hint="eastAsia"/>
                      <w:color w:val="auto"/>
                      <w:highlight w:val="none"/>
                      <w:lang w:val="en-US" w:eastAsia="zh-CN"/>
                    </w:rPr>
                    <w:t>自主验收</w:t>
                  </w:r>
                  <w:r>
                    <w:rPr>
                      <w:rFonts w:hint="eastAsia"/>
                      <w:color w:val="auto"/>
                      <w:highlight w:val="none"/>
                      <w:lang w:eastAsia="zh-CN"/>
                    </w:rPr>
                    <w:t>）</w:t>
                  </w:r>
                </w:p>
              </w:tc>
              <w:tc>
                <w:tcPr>
                  <w:tcW w:w="1270" w:type="dxa"/>
                  <w:vMerge w:val="restart"/>
                  <w:tcBorders>
                    <w:tl2br w:val="nil"/>
                    <w:tr2bl w:val="nil"/>
                  </w:tcBorders>
                  <w:vAlign w:val="center"/>
                </w:tcPr>
                <w:p>
                  <w:pPr>
                    <w:pStyle w:val="70"/>
                    <w:rPr>
                      <w:rFonts w:hint="eastAsia"/>
                      <w:color w:val="auto"/>
                      <w:highlight w:val="none"/>
                      <w:lang w:val="en-US" w:eastAsia="zh-CN"/>
                    </w:rPr>
                  </w:pPr>
                  <w:r>
                    <w:rPr>
                      <w:rFonts w:hint="eastAsia"/>
                      <w:color w:val="auto"/>
                      <w:highlight w:val="none"/>
                    </w:rPr>
                    <w:t>913501007438096369</w:t>
                  </w:r>
                  <w:r>
                    <w:rPr>
                      <w:rFonts w:hint="eastAsia"/>
                      <w:color w:val="auto"/>
                      <w:highlight w:val="none"/>
                      <w:lang w:val="en-US" w:eastAsia="zh-CN"/>
                    </w:rPr>
                    <w:t>，</w:t>
                  </w:r>
                </w:p>
                <w:p>
                  <w:pPr>
                    <w:pStyle w:val="70"/>
                    <w:rPr>
                      <w:rFonts w:hint="default" w:eastAsia="宋体"/>
                      <w:color w:val="auto"/>
                      <w:highlight w:val="none"/>
                      <w:lang w:val="en-US" w:eastAsia="zh-CN"/>
                    </w:rPr>
                  </w:pPr>
                  <w:r>
                    <w:rPr>
                      <w:rFonts w:hint="eastAsia"/>
                      <w:color w:val="auto"/>
                      <w:highlight w:val="none"/>
                    </w:rPr>
                    <w:t>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4</w:t>
                  </w:r>
                  <w:r>
                    <w:rPr>
                      <w:rFonts w:hint="eastAsia"/>
                      <w:color w:val="auto"/>
                      <w:highlight w:val="none"/>
                    </w:rPr>
                    <w:t>月</w:t>
                  </w:r>
                  <w:r>
                    <w:rPr>
                      <w:rFonts w:hint="eastAsia"/>
                      <w:color w:val="auto"/>
                      <w:highlight w:val="none"/>
                      <w:lang w:val="en-US" w:eastAsia="zh-CN"/>
                    </w:rPr>
                    <w:t>21</w:t>
                  </w:r>
                  <w:r>
                    <w:rPr>
                      <w:rFonts w:hint="eastAsia"/>
                      <w:color w:val="auto"/>
                      <w:highlight w:val="none"/>
                    </w:rPr>
                    <w:t>日</w:t>
                  </w:r>
                  <w:r>
                    <w:rPr>
                      <w:rFonts w:hint="eastAsia"/>
                      <w:color w:val="auto"/>
                      <w:highlight w:val="none"/>
                      <w:lang w:val="en-US" w:eastAsia="zh-CN"/>
                    </w:rPr>
                    <w:t>变更</w:t>
                  </w:r>
                </w:p>
              </w:tc>
              <w:tc>
                <w:tcPr>
                  <w:tcW w:w="886" w:type="dxa"/>
                  <w:vMerge w:val="restart"/>
                  <w:tcBorders>
                    <w:tl2br w:val="nil"/>
                    <w:tr2bl w:val="nil"/>
                  </w:tcBorders>
                  <w:vAlign w:val="center"/>
                </w:tcPr>
                <w:p>
                  <w:pPr>
                    <w:pStyle w:val="70"/>
                    <w:rPr>
                      <w:color w:val="auto"/>
                      <w:highlight w:val="none"/>
                    </w:rPr>
                  </w:pPr>
                  <w:r>
                    <w:rPr>
                      <w:rFonts w:hint="eastAsia"/>
                      <w:color w:val="auto"/>
                      <w:highlight w:val="none"/>
                    </w:rPr>
                    <w:t>350112-2024</w:t>
                  </w:r>
                </w:p>
                <w:p>
                  <w:pPr>
                    <w:pStyle w:val="70"/>
                    <w:rPr>
                      <w:color w:val="auto"/>
                      <w:highlight w:val="none"/>
                    </w:rPr>
                  </w:pPr>
                  <w:r>
                    <w:rPr>
                      <w:rFonts w:hint="eastAsia"/>
                      <w:color w:val="auto"/>
                      <w:highlight w:val="none"/>
                    </w:rPr>
                    <w:t>-005-L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9" w:type="dxa"/>
                  <w:tcBorders>
                    <w:tl2br w:val="nil"/>
                    <w:tr2bl w:val="nil"/>
                  </w:tcBorders>
                  <w:vAlign w:val="center"/>
                </w:tcPr>
                <w:p>
                  <w:pPr>
                    <w:pStyle w:val="70"/>
                    <w:rPr>
                      <w:color w:val="auto"/>
                      <w:highlight w:val="none"/>
                    </w:rPr>
                  </w:pPr>
                  <w:r>
                    <w:rPr>
                      <w:rFonts w:hint="eastAsia"/>
                      <w:color w:val="auto"/>
                      <w:highlight w:val="none"/>
                    </w:rPr>
                    <w:t>铝钪靶材及钼靶材的研发建设项目</w:t>
                  </w:r>
                </w:p>
              </w:tc>
              <w:tc>
                <w:tcPr>
                  <w:tcW w:w="1902" w:type="dxa"/>
                  <w:tcBorders>
                    <w:tl2br w:val="nil"/>
                    <w:tr2bl w:val="nil"/>
                  </w:tcBorders>
                  <w:vAlign w:val="center"/>
                </w:tcPr>
                <w:p>
                  <w:pPr>
                    <w:pStyle w:val="70"/>
                    <w:rPr>
                      <w:color w:val="auto"/>
                      <w:highlight w:val="none"/>
                    </w:rPr>
                  </w:pPr>
                  <w:r>
                    <w:rPr>
                      <w:rFonts w:hint="eastAsia"/>
                      <w:color w:val="auto"/>
                      <w:highlight w:val="none"/>
                    </w:rPr>
                    <w:t>2020年6月通过福州市长乐生态环境局审批</w:t>
                  </w:r>
                  <w:r>
                    <w:rPr>
                      <w:rFonts w:hint="eastAsia"/>
                      <w:color w:val="auto"/>
                      <w:highlight w:val="none"/>
                      <w:lang w:eastAsia="zh-CN"/>
                    </w:rPr>
                    <w:t>，</w:t>
                  </w:r>
                  <w:r>
                    <w:rPr>
                      <w:rFonts w:hint="eastAsia"/>
                      <w:color w:val="auto"/>
                      <w:highlight w:val="none"/>
                    </w:rPr>
                    <w:t>长环评[2020]46号</w:t>
                  </w:r>
                </w:p>
              </w:tc>
              <w:tc>
                <w:tcPr>
                  <w:tcW w:w="1544" w:type="dxa"/>
                  <w:tcBorders>
                    <w:tl2br w:val="nil"/>
                    <w:tr2bl w:val="nil"/>
                  </w:tcBorders>
                  <w:vAlign w:val="center"/>
                </w:tcPr>
                <w:p>
                  <w:pPr>
                    <w:pStyle w:val="70"/>
                    <w:rPr>
                      <w:color w:val="auto"/>
                      <w:highlight w:val="none"/>
                    </w:rPr>
                  </w:pPr>
                  <w:r>
                    <w:rPr>
                      <w:rFonts w:hint="eastAsia"/>
                      <w:color w:val="auto"/>
                      <w:highlight w:val="none"/>
                    </w:rPr>
                    <w:t>年产3吨铝钪靶材，9吨钼靶材</w:t>
                  </w:r>
                </w:p>
              </w:tc>
              <w:tc>
                <w:tcPr>
                  <w:tcW w:w="1489"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取消建设</w:t>
                  </w:r>
                </w:p>
              </w:tc>
              <w:tc>
                <w:tcPr>
                  <w:tcW w:w="1270" w:type="dxa"/>
                  <w:vMerge w:val="continue"/>
                  <w:tcBorders>
                    <w:tl2br w:val="nil"/>
                    <w:tr2bl w:val="nil"/>
                  </w:tcBorders>
                  <w:vAlign w:val="center"/>
                </w:tcPr>
                <w:p>
                  <w:pPr>
                    <w:pStyle w:val="70"/>
                    <w:rPr>
                      <w:color w:val="auto"/>
                      <w:highlight w:val="none"/>
                    </w:rPr>
                  </w:pPr>
                </w:p>
              </w:tc>
              <w:tc>
                <w:tcPr>
                  <w:tcW w:w="886"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9" w:type="dxa"/>
                  <w:tcBorders>
                    <w:tl2br w:val="nil"/>
                    <w:tr2bl w:val="nil"/>
                  </w:tcBorders>
                  <w:vAlign w:val="center"/>
                </w:tcPr>
                <w:p>
                  <w:pPr>
                    <w:pStyle w:val="70"/>
                    <w:rPr>
                      <w:color w:val="auto"/>
                      <w:highlight w:val="none"/>
                    </w:rPr>
                  </w:pPr>
                  <w:r>
                    <w:rPr>
                      <w:rFonts w:hint="eastAsia"/>
                      <w:color w:val="auto"/>
                      <w:highlight w:val="none"/>
                    </w:rPr>
                    <w:t>超高清显示用铜靶材产业化建设项目</w:t>
                  </w:r>
                </w:p>
              </w:tc>
              <w:tc>
                <w:tcPr>
                  <w:tcW w:w="1902" w:type="dxa"/>
                  <w:tcBorders>
                    <w:tl2br w:val="nil"/>
                    <w:tr2bl w:val="nil"/>
                  </w:tcBorders>
                  <w:vAlign w:val="center"/>
                </w:tcPr>
                <w:p>
                  <w:pPr>
                    <w:pStyle w:val="70"/>
                    <w:rPr>
                      <w:rFonts w:hint="eastAsia" w:eastAsia="宋体"/>
                      <w:color w:val="auto"/>
                      <w:highlight w:val="none"/>
                      <w:lang w:eastAsia="zh-CN"/>
                    </w:rPr>
                  </w:pPr>
                  <w:r>
                    <w:rPr>
                      <w:rFonts w:hint="eastAsia"/>
                      <w:color w:val="auto"/>
                      <w:highlight w:val="none"/>
                    </w:rPr>
                    <w:t>2020年6月通过福州市长乐生态环境局审批</w:t>
                  </w:r>
                  <w:r>
                    <w:rPr>
                      <w:rFonts w:hint="eastAsia"/>
                      <w:color w:val="auto"/>
                      <w:highlight w:val="none"/>
                      <w:lang w:eastAsia="zh-CN"/>
                    </w:rPr>
                    <w:t>，长环评〔2020〕44号</w:t>
                  </w:r>
                </w:p>
              </w:tc>
              <w:tc>
                <w:tcPr>
                  <w:tcW w:w="1544" w:type="dxa"/>
                  <w:tcBorders>
                    <w:tl2br w:val="nil"/>
                    <w:tr2bl w:val="nil"/>
                  </w:tcBorders>
                  <w:vAlign w:val="center"/>
                </w:tcPr>
                <w:p>
                  <w:pPr>
                    <w:pStyle w:val="70"/>
                    <w:rPr>
                      <w:color w:val="auto"/>
                      <w:highlight w:val="none"/>
                    </w:rPr>
                  </w:pPr>
                  <w:r>
                    <w:rPr>
                      <w:rFonts w:hint="eastAsia"/>
                      <w:color w:val="auto"/>
                      <w:highlight w:val="none"/>
                    </w:rPr>
                    <w:t>年产超高清显示用铜靶材2000吨</w:t>
                  </w:r>
                </w:p>
              </w:tc>
              <w:tc>
                <w:tcPr>
                  <w:tcW w:w="1489" w:type="dxa"/>
                  <w:tcBorders>
                    <w:tl2br w:val="nil"/>
                    <w:tr2bl w:val="nil"/>
                  </w:tcBorders>
                  <w:vAlign w:val="center"/>
                </w:tcPr>
                <w:p>
                  <w:pPr>
                    <w:pStyle w:val="70"/>
                    <w:rPr>
                      <w:rFonts w:hint="eastAsia" w:eastAsia="宋体"/>
                      <w:color w:val="auto"/>
                      <w:highlight w:val="none"/>
                      <w:lang w:val="en-US" w:eastAsia="zh-CN"/>
                    </w:rPr>
                  </w:pPr>
                  <w:r>
                    <w:rPr>
                      <w:rFonts w:hint="eastAsia"/>
                      <w:color w:val="auto"/>
                      <w:highlight w:val="none"/>
                      <w:lang w:val="en-US" w:eastAsia="zh-CN"/>
                    </w:rPr>
                    <w:t>2025年6月</w:t>
                  </w:r>
                  <w:r>
                    <w:rPr>
                      <w:rFonts w:hint="eastAsia"/>
                      <w:color w:val="auto"/>
                      <w:highlight w:val="none"/>
                    </w:rPr>
                    <w:t>该项目</w:t>
                  </w:r>
                  <w:r>
                    <w:rPr>
                      <w:rFonts w:hint="eastAsia"/>
                      <w:color w:val="auto"/>
                      <w:highlight w:val="none"/>
                      <w:lang w:val="en-US" w:eastAsia="zh-CN"/>
                    </w:rPr>
                    <w:t>完成阶段性</w:t>
                  </w:r>
                  <w:r>
                    <w:rPr>
                      <w:rFonts w:hint="eastAsia"/>
                      <w:color w:val="auto"/>
                      <w:highlight w:val="none"/>
                    </w:rPr>
                    <w:t>竣工环保验收</w:t>
                  </w:r>
                  <w:r>
                    <w:rPr>
                      <w:rFonts w:hint="eastAsia"/>
                      <w:color w:val="auto"/>
                      <w:highlight w:val="none"/>
                      <w:lang w:eastAsia="zh-CN"/>
                    </w:rPr>
                    <w:t>（</w:t>
                  </w:r>
                  <w:r>
                    <w:rPr>
                      <w:rFonts w:hint="eastAsia"/>
                      <w:color w:val="auto"/>
                      <w:highlight w:val="none"/>
                      <w:lang w:val="en-US" w:eastAsia="zh-CN"/>
                    </w:rPr>
                    <w:t>验收规模900t/a</w:t>
                  </w:r>
                  <w:r>
                    <w:rPr>
                      <w:rFonts w:hint="eastAsia"/>
                      <w:color w:val="auto"/>
                      <w:highlight w:val="none"/>
                      <w:lang w:eastAsia="zh-CN"/>
                    </w:rPr>
                    <w:t>）（</w:t>
                  </w:r>
                  <w:r>
                    <w:rPr>
                      <w:rFonts w:hint="eastAsia"/>
                      <w:color w:val="auto"/>
                      <w:highlight w:val="none"/>
                      <w:lang w:val="en-US" w:eastAsia="zh-CN"/>
                    </w:rPr>
                    <w:t>自主验收</w:t>
                  </w:r>
                  <w:r>
                    <w:rPr>
                      <w:rFonts w:hint="eastAsia"/>
                      <w:color w:val="auto"/>
                      <w:highlight w:val="none"/>
                      <w:lang w:eastAsia="zh-CN"/>
                    </w:rPr>
                    <w:t>）</w:t>
                  </w:r>
                </w:p>
              </w:tc>
              <w:tc>
                <w:tcPr>
                  <w:tcW w:w="1270" w:type="dxa"/>
                  <w:vMerge w:val="continue"/>
                  <w:tcBorders>
                    <w:tl2br w:val="nil"/>
                    <w:tr2bl w:val="nil"/>
                  </w:tcBorders>
                  <w:vAlign w:val="center"/>
                </w:tcPr>
                <w:p>
                  <w:pPr>
                    <w:pStyle w:val="70"/>
                    <w:rPr>
                      <w:color w:val="auto"/>
                      <w:highlight w:val="none"/>
                    </w:rPr>
                  </w:pPr>
                </w:p>
              </w:tc>
              <w:tc>
                <w:tcPr>
                  <w:tcW w:w="886"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9" w:type="dxa"/>
                  <w:tcBorders>
                    <w:tl2br w:val="nil"/>
                    <w:tr2bl w:val="nil"/>
                  </w:tcBorders>
                  <w:vAlign w:val="center"/>
                </w:tcPr>
                <w:p>
                  <w:pPr>
                    <w:pStyle w:val="70"/>
                    <w:rPr>
                      <w:color w:val="auto"/>
                      <w:highlight w:val="none"/>
                    </w:rPr>
                  </w:pPr>
                  <w:r>
                    <w:rPr>
                      <w:rFonts w:hint="eastAsia"/>
                      <w:color w:val="auto"/>
                      <w:highlight w:val="none"/>
                    </w:rPr>
                    <w:t>半导体用金属及合金靶材研发及产业化建设项目</w:t>
                  </w:r>
                </w:p>
              </w:tc>
              <w:tc>
                <w:tcPr>
                  <w:tcW w:w="1902" w:type="dxa"/>
                  <w:tcBorders>
                    <w:tl2br w:val="nil"/>
                    <w:tr2bl w:val="nil"/>
                  </w:tcBorders>
                  <w:vAlign w:val="center"/>
                </w:tcPr>
                <w:p>
                  <w:pPr>
                    <w:pStyle w:val="70"/>
                    <w:rPr>
                      <w:rFonts w:hint="eastAsia" w:eastAsia="宋体"/>
                      <w:color w:val="auto"/>
                      <w:highlight w:val="none"/>
                      <w:lang w:eastAsia="zh-CN"/>
                    </w:rPr>
                  </w:pPr>
                  <w:r>
                    <w:rPr>
                      <w:rFonts w:hint="eastAsia"/>
                      <w:color w:val="auto"/>
                      <w:highlight w:val="none"/>
                    </w:rPr>
                    <w:t>2024年12月通过福州市长乐生态环境局审批</w:t>
                  </w:r>
                  <w:r>
                    <w:rPr>
                      <w:rFonts w:hint="eastAsia"/>
                      <w:color w:val="auto"/>
                      <w:highlight w:val="none"/>
                      <w:lang w:eastAsia="zh-CN"/>
                    </w:rPr>
                    <w:t>，榕长环评〔2024〕34号</w:t>
                  </w:r>
                </w:p>
              </w:tc>
              <w:tc>
                <w:tcPr>
                  <w:tcW w:w="1544" w:type="dxa"/>
                  <w:tcBorders>
                    <w:tl2br w:val="nil"/>
                    <w:tr2bl w:val="nil"/>
                  </w:tcBorders>
                  <w:vAlign w:val="center"/>
                </w:tcPr>
                <w:p>
                  <w:pPr>
                    <w:pStyle w:val="70"/>
                    <w:rPr>
                      <w:color w:val="auto"/>
                      <w:highlight w:val="none"/>
                    </w:rPr>
                  </w:pPr>
                  <w:r>
                    <w:rPr>
                      <w:rFonts w:hint="eastAsia"/>
                      <w:color w:val="auto"/>
                      <w:highlight w:val="none"/>
                    </w:rPr>
                    <w:t>年产2500枚高纯钼硅靶材、高纯钨合金靶材等金属及合金靶材</w:t>
                  </w:r>
                </w:p>
              </w:tc>
              <w:tc>
                <w:tcPr>
                  <w:tcW w:w="1489" w:type="dxa"/>
                  <w:tcBorders>
                    <w:tl2br w:val="nil"/>
                    <w:tr2bl w:val="nil"/>
                  </w:tcBorders>
                  <w:vAlign w:val="center"/>
                </w:tcPr>
                <w:p>
                  <w:pPr>
                    <w:pStyle w:val="70"/>
                    <w:rPr>
                      <w:color w:val="auto"/>
                      <w:highlight w:val="none"/>
                    </w:rPr>
                  </w:pPr>
                  <w:r>
                    <w:rPr>
                      <w:rFonts w:hint="eastAsia"/>
                      <w:color w:val="auto"/>
                      <w:highlight w:val="none"/>
                    </w:rPr>
                    <w:t>正在建设</w:t>
                  </w:r>
                </w:p>
              </w:tc>
              <w:tc>
                <w:tcPr>
                  <w:tcW w:w="1270" w:type="dxa"/>
                  <w:tcBorders>
                    <w:tl2br w:val="nil"/>
                    <w:tr2bl w:val="nil"/>
                  </w:tcBorders>
                  <w:vAlign w:val="center"/>
                </w:tcPr>
                <w:p>
                  <w:pPr>
                    <w:pStyle w:val="70"/>
                    <w:rPr>
                      <w:rFonts w:hint="eastAsia" w:eastAsia="宋体"/>
                      <w:color w:val="auto"/>
                      <w:highlight w:val="none"/>
                      <w:lang w:val="en-US" w:eastAsia="zh-CN"/>
                    </w:rPr>
                  </w:pPr>
                  <w:r>
                    <w:rPr>
                      <w:rFonts w:hint="eastAsia"/>
                      <w:color w:val="auto"/>
                      <w:highlight w:val="none"/>
                      <w:lang w:val="en-US" w:eastAsia="zh-CN"/>
                    </w:rPr>
                    <w:t>/</w:t>
                  </w:r>
                </w:p>
              </w:tc>
              <w:tc>
                <w:tcPr>
                  <w:tcW w:w="886" w:type="dxa"/>
                  <w:tcBorders>
                    <w:tl2br w:val="nil"/>
                    <w:tr2bl w:val="nil"/>
                  </w:tcBorders>
                  <w:vAlign w:val="center"/>
                </w:tcPr>
                <w:p>
                  <w:pPr>
                    <w:pStyle w:val="7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29" w:type="dxa"/>
                  <w:tcBorders>
                    <w:tl2br w:val="nil"/>
                    <w:tr2bl w:val="nil"/>
                  </w:tcBorders>
                  <w:vAlign w:val="center"/>
                </w:tcPr>
                <w:p>
                  <w:pPr>
                    <w:pStyle w:val="70"/>
                    <w:rPr>
                      <w:rFonts w:hint="eastAsia"/>
                      <w:color w:val="auto"/>
                      <w:highlight w:val="none"/>
                    </w:rPr>
                  </w:pPr>
                  <w:r>
                    <w:rPr>
                      <w:rFonts w:hint="eastAsia"/>
                      <w:color w:val="auto"/>
                      <w:highlight w:val="none"/>
                    </w:rPr>
                    <w:t>年产500吨电子材料绿色生产与回收项目</w:t>
                  </w:r>
                </w:p>
              </w:tc>
              <w:tc>
                <w:tcPr>
                  <w:tcW w:w="1902"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2025年8月6日</w:t>
                  </w:r>
                  <w:r>
                    <w:rPr>
                      <w:rFonts w:hint="eastAsia"/>
                      <w:color w:val="auto"/>
                      <w:highlight w:val="none"/>
                    </w:rPr>
                    <w:t>福州市长乐生态环境</w:t>
                  </w:r>
                  <w:r>
                    <w:rPr>
                      <w:rFonts w:hint="eastAsia"/>
                      <w:color w:val="auto"/>
                      <w:highlight w:val="none"/>
                      <w:lang w:val="en-US" w:eastAsia="zh-CN"/>
                    </w:rPr>
                    <w:t>审批，榕长环评〔2025〕25号</w:t>
                  </w:r>
                </w:p>
              </w:tc>
              <w:tc>
                <w:tcPr>
                  <w:tcW w:w="1544" w:type="dxa"/>
                  <w:tcBorders>
                    <w:tl2br w:val="nil"/>
                    <w:tr2bl w:val="nil"/>
                  </w:tcBorders>
                  <w:vAlign w:val="center"/>
                </w:tcPr>
                <w:p>
                  <w:pPr>
                    <w:pStyle w:val="70"/>
                    <w:rPr>
                      <w:rFonts w:hint="eastAsia"/>
                      <w:color w:val="auto"/>
                      <w:highlight w:val="none"/>
                    </w:rPr>
                  </w:pPr>
                  <w:r>
                    <w:rPr>
                      <w:rFonts w:hint="eastAsia"/>
                      <w:color w:val="auto"/>
                      <w:highlight w:val="none"/>
                    </w:rPr>
                    <w:t>年产500吨电子级高纯氧化物粉末，其中氧化铟粉体300吨，氧化锡粉体100吨，IT0粉体100吨</w:t>
                  </w:r>
                </w:p>
              </w:tc>
              <w:tc>
                <w:tcPr>
                  <w:tcW w:w="1489" w:type="dxa"/>
                  <w:tcBorders>
                    <w:tl2br w:val="nil"/>
                    <w:tr2bl w:val="nil"/>
                  </w:tcBorders>
                  <w:vAlign w:val="center"/>
                </w:tcPr>
                <w:p>
                  <w:pPr>
                    <w:pStyle w:val="70"/>
                    <w:rPr>
                      <w:rFonts w:hint="eastAsia"/>
                      <w:color w:val="auto"/>
                      <w:highlight w:val="none"/>
                    </w:rPr>
                  </w:pPr>
                  <w:r>
                    <w:rPr>
                      <w:rFonts w:hint="eastAsia"/>
                      <w:color w:val="auto"/>
                      <w:highlight w:val="none"/>
                    </w:rPr>
                    <w:t>正在建设</w:t>
                  </w:r>
                </w:p>
              </w:tc>
              <w:tc>
                <w:tcPr>
                  <w:tcW w:w="1270" w:type="dxa"/>
                  <w:tcBorders>
                    <w:tl2br w:val="nil"/>
                    <w:tr2bl w:val="nil"/>
                  </w:tcBorders>
                  <w:vAlign w:val="center"/>
                </w:tcPr>
                <w:p>
                  <w:pPr>
                    <w:pStyle w:val="70"/>
                    <w:rPr>
                      <w:rFonts w:hint="eastAsia" w:eastAsia="宋体"/>
                      <w:color w:val="auto"/>
                      <w:highlight w:val="none"/>
                      <w:lang w:val="en-US" w:eastAsia="zh-CN"/>
                    </w:rPr>
                  </w:pPr>
                  <w:r>
                    <w:rPr>
                      <w:rFonts w:hint="eastAsia"/>
                      <w:color w:val="auto"/>
                      <w:highlight w:val="none"/>
                      <w:lang w:val="en-US" w:eastAsia="zh-CN"/>
                    </w:rPr>
                    <w:t>/</w:t>
                  </w:r>
                </w:p>
              </w:tc>
              <w:tc>
                <w:tcPr>
                  <w:tcW w:w="886" w:type="dxa"/>
                  <w:tcBorders>
                    <w:tl2br w:val="nil"/>
                    <w:tr2bl w:val="nil"/>
                  </w:tcBorders>
                  <w:vAlign w:val="center"/>
                </w:tcPr>
                <w:p>
                  <w:pPr>
                    <w:pStyle w:val="70"/>
                    <w:rPr>
                      <w:rFonts w:hint="eastAsia" w:eastAsia="宋体"/>
                      <w:color w:val="auto"/>
                      <w:highlight w:val="none"/>
                      <w:lang w:val="en-US" w:eastAsia="zh-CN"/>
                    </w:rPr>
                  </w:pPr>
                  <w:r>
                    <w:rPr>
                      <w:rFonts w:hint="eastAsia"/>
                      <w:color w:val="auto"/>
                      <w:highlight w:val="none"/>
                      <w:lang w:val="en-US" w:eastAsia="zh-CN"/>
                    </w:rPr>
                    <w:t>/</w:t>
                  </w:r>
                </w:p>
              </w:tc>
            </w:tr>
          </w:tbl>
          <w:p>
            <w:pPr>
              <w:pStyle w:val="68"/>
              <w:rPr>
                <w:rFonts w:hint="eastAsia"/>
                <w:color w:val="auto"/>
                <w:highlight w:val="none"/>
              </w:rPr>
            </w:pPr>
          </w:p>
          <w:p>
            <w:pPr>
              <w:pStyle w:val="72"/>
              <w:ind w:firstLine="480"/>
              <w:rPr>
                <w:rFonts w:hint="default" w:eastAsia="宋体"/>
                <w:color w:val="auto"/>
                <w:highlight w:val="none"/>
                <w:lang w:val="en-US" w:eastAsia="zh-CN"/>
              </w:rPr>
            </w:pPr>
            <w:r>
              <w:rPr>
                <w:rFonts w:hint="eastAsia"/>
                <w:color w:val="auto"/>
                <w:highlight w:val="none"/>
                <w:lang w:val="en-US" w:eastAsia="zh-CN"/>
              </w:rPr>
              <w:t>现有工程主要工程内容见表2.5.2，</w:t>
            </w:r>
            <w:r>
              <w:rPr>
                <w:rFonts w:hint="eastAsia"/>
                <w:color w:val="auto"/>
                <w:highlight w:val="none"/>
              </w:rPr>
              <w:t>平</w:t>
            </w:r>
            <w:r>
              <w:rPr>
                <w:rFonts w:hint="eastAsia"/>
                <w:color w:val="auto"/>
                <w:highlight w:val="none"/>
                <w:lang w:val="en-US" w:eastAsia="zh-CN"/>
              </w:rPr>
              <w:t>板</w:t>
            </w:r>
            <w:r>
              <w:rPr>
                <w:rFonts w:hint="eastAsia"/>
                <w:color w:val="auto"/>
                <w:highlight w:val="none"/>
              </w:rPr>
              <w:t>显示溅射靶材建设项目</w:t>
            </w:r>
            <w:r>
              <w:rPr>
                <w:rFonts w:hint="eastAsia"/>
                <w:color w:val="auto"/>
                <w:highlight w:val="none"/>
                <w:lang w:val="en-US" w:eastAsia="zh-CN"/>
              </w:rPr>
              <w:t>工程建设内容依据其环保竣工验收报告及现场实际调查情况；</w:t>
            </w:r>
            <w:r>
              <w:rPr>
                <w:rFonts w:hint="eastAsia"/>
                <w:color w:val="auto"/>
                <w:highlight w:val="none"/>
              </w:rPr>
              <w:t>超高清显示用铜靶材产业化建设项目</w:t>
            </w:r>
            <w:r>
              <w:rPr>
                <w:rFonts w:hint="eastAsia"/>
                <w:color w:val="auto"/>
                <w:highlight w:val="none"/>
                <w:lang w:val="en-US" w:eastAsia="zh-CN"/>
              </w:rPr>
              <w:t>依据其阶段环保竣工验收报告及现场实际调查情况；</w:t>
            </w:r>
            <w:r>
              <w:rPr>
                <w:rFonts w:hint="eastAsia"/>
                <w:color w:val="auto"/>
                <w:highlight w:val="none"/>
              </w:rPr>
              <w:t>半导体用金属及合金靶材研发及产业化建设项目</w:t>
            </w:r>
            <w:r>
              <w:rPr>
                <w:rFonts w:hint="eastAsia"/>
                <w:color w:val="auto"/>
                <w:highlight w:val="none"/>
                <w:lang w:eastAsia="zh-CN"/>
              </w:rPr>
              <w:t>、</w:t>
            </w:r>
            <w:r>
              <w:rPr>
                <w:rFonts w:hint="eastAsia" w:eastAsia="宋体"/>
                <w:color w:val="auto"/>
                <w:highlight w:val="none"/>
              </w:rPr>
              <w:t>年产500吨电子材料绿色生产与回收</w:t>
            </w:r>
            <w:r>
              <w:rPr>
                <w:rFonts w:hint="eastAsia" w:eastAsia="宋体"/>
                <w:color w:val="auto"/>
                <w:highlight w:val="none"/>
                <w:lang w:val="en-US" w:eastAsia="zh-CN"/>
              </w:rPr>
              <w:t>项目</w:t>
            </w:r>
            <w:r>
              <w:rPr>
                <w:rFonts w:hint="eastAsia"/>
                <w:color w:val="auto"/>
                <w:highlight w:val="none"/>
                <w:lang w:val="en-US" w:eastAsia="zh-CN"/>
              </w:rPr>
              <w:t>正在建设主要依据环评报告。</w:t>
            </w:r>
          </w:p>
          <w:p>
            <w:pPr>
              <w:pStyle w:val="72"/>
              <w:ind w:firstLine="480"/>
              <w:rPr>
                <w:rFonts w:hint="default" w:eastAsia="宋体"/>
                <w:color w:val="auto"/>
                <w:highlight w:val="none"/>
                <w:lang w:val="en-US" w:eastAsia="zh-CN"/>
              </w:rPr>
            </w:pPr>
          </w:p>
        </w:tc>
      </w:tr>
    </w:tbl>
    <w:p>
      <w:pPr>
        <w:pStyle w:val="25"/>
        <w:jc w:val="center"/>
        <w:rPr>
          <w:rFonts w:ascii="黑体" w:hAnsi="黑体"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14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13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8" w:hRule="atLeast"/>
        </w:trPr>
        <w:tc>
          <w:tcPr>
            <w:tcW w:w="440" w:type="dxa"/>
          </w:tcPr>
          <w:p>
            <w:pPr>
              <w:pStyle w:val="25"/>
              <w:jc w:val="both"/>
              <w:rPr>
                <w:rFonts w:ascii="黑体" w:hAnsi="黑体" w:eastAsia="黑体"/>
                <w:snapToGrid w:val="0"/>
                <w:color w:val="auto"/>
                <w:sz w:val="36"/>
                <w:szCs w:val="36"/>
                <w:highlight w:val="none"/>
                <w:vertAlign w:val="baseline"/>
              </w:rPr>
            </w:pPr>
            <w:r>
              <w:rPr>
                <w:rFonts w:hint="eastAsia" w:cs="宋体"/>
                <w:bCs/>
                <w:color w:val="auto"/>
                <w:kern w:val="2"/>
                <w:sz w:val="21"/>
                <w:szCs w:val="21"/>
                <w:highlight w:val="none"/>
              </w:rPr>
              <w:t>与项目有关的原有环境污染问题</w:t>
            </w:r>
          </w:p>
        </w:tc>
        <w:tc>
          <w:tcPr>
            <w:tcW w:w="13699" w:type="dxa"/>
          </w:tcPr>
          <w:p>
            <w:pPr>
              <w:pStyle w:val="68"/>
              <w:rPr>
                <w:color w:val="auto"/>
                <w:highlight w:val="none"/>
              </w:rPr>
            </w:pPr>
            <w:r>
              <w:rPr>
                <w:rFonts w:hint="eastAsia"/>
                <w:color w:val="auto"/>
                <w:highlight w:val="none"/>
              </w:rPr>
              <w:t>表2.5.2现有工程主要工程内容</w:t>
            </w:r>
          </w:p>
          <w:tbl>
            <w:tblPr>
              <w:tblStyle w:val="29"/>
              <w:tblW w:w="13459" w:type="dxa"/>
              <w:tblInd w:w="8"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807"/>
              <w:gridCol w:w="2569"/>
              <w:gridCol w:w="2274"/>
              <w:gridCol w:w="2659"/>
              <w:gridCol w:w="5"/>
              <w:gridCol w:w="2414"/>
              <w:gridCol w:w="221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514"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项目组成</w:t>
                  </w:r>
                </w:p>
              </w:tc>
              <w:tc>
                <w:tcPr>
                  <w:tcW w:w="807"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建设项目</w:t>
                  </w:r>
                </w:p>
              </w:tc>
              <w:tc>
                <w:tcPr>
                  <w:tcW w:w="9921" w:type="dxa"/>
                  <w:gridSpan w:val="5"/>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建设内容</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eastAsia="zh-CN"/>
                    </w:rPr>
                  </w:pPr>
                  <w:r>
                    <w:rPr>
                      <w:rFonts w:hint="eastAsia"/>
                      <w:color w:val="auto"/>
                      <w:highlight w:val="none"/>
                    </w:rPr>
                    <w:t>平</w:t>
                  </w:r>
                  <w:r>
                    <w:rPr>
                      <w:rFonts w:hint="eastAsia"/>
                      <w:color w:val="auto"/>
                      <w:highlight w:val="none"/>
                      <w:lang w:val="en-US" w:eastAsia="zh-CN"/>
                    </w:rPr>
                    <w:t>板</w:t>
                  </w:r>
                  <w:r>
                    <w:rPr>
                      <w:rFonts w:hint="eastAsia"/>
                      <w:color w:val="auto"/>
                      <w:highlight w:val="none"/>
                    </w:rPr>
                    <w:t>显示溅射靶材建设项目</w:t>
                  </w:r>
                  <w:r>
                    <w:rPr>
                      <w:rFonts w:hint="eastAsia"/>
                      <w:color w:val="auto"/>
                      <w:highlight w:val="none"/>
                      <w:lang w:eastAsia="zh-CN"/>
                    </w:rPr>
                    <w:t>（</w:t>
                  </w:r>
                  <w:r>
                    <w:rPr>
                      <w:rFonts w:hint="eastAsia"/>
                      <w:color w:val="auto"/>
                      <w:highlight w:val="none"/>
                      <w:lang w:val="en-US" w:eastAsia="zh-CN"/>
                    </w:rPr>
                    <w:t>二期地块</w:t>
                  </w:r>
                  <w:r>
                    <w:rPr>
                      <w:rFonts w:hint="eastAsia"/>
                      <w:color w:val="auto"/>
                      <w:highlight w:val="none"/>
                      <w:lang w:eastAsia="zh-CN"/>
                    </w:rPr>
                    <w:t>）</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eastAsia="zh-CN"/>
                    </w:rPr>
                  </w:pPr>
                  <w:r>
                    <w:rPr>
                      <w:rFonts w:hint="eastAsia"/>
                      <w:color w:val="auto"/>
                      <w:highlight w:val="none"/>
                    </w:rPr>
                    <w:t>超高清显示用铜靶材产业化建设项目</w:t>
                  </w:r>
                </w:p>
              </w:tc>
              <w:tc>
                <w:tcPr>
                  <w:tcW w:w="265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highlight w:val="none"/>
                    </w:rPr>
                  </w:pPr>
                  <w:r>
                    <w:rPr>
                      <w:rFonts w:hint="eastAsia"/>
                      <w:color w:val="auto"/>
                      <w:highlight w:val="none"/>
                    </w:rPr>
                    <w:t>半导体用金属及合金靶材研发及产业化建设项目</w:t>
                  </w:r>
                </w:p>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三期地块</w:t>
                  </w:r>
                  <w:r>
                    <w:rPr>
                      <w:rFonts w:hint="eastAsia"/>
                      <w:color w:val="auto"/>
                      <w:highlight w:val="none"/>
                      <w:lang w:eastAsia="zh-CN"/>
                    </w:rPr>
                    <w:t>）</w:t>
                  </w:r>
                </w:p>
              </w:tc>
              <w:tc>
                <w:tcPr>
                  <w:tcW w:w="2419"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eastAsia="宋体"/>
                      <w:color w:val="auto"/>
                      <w:highlight w:val="none"/>
                    </w:rPr>
                    <w:t>年产500吨电子材料绿色生产与回收</w:t>
                  </w:r>
                  <w:r>
                    <w:rPr>
                      <w:rFonts w:hint="eastAsia" w:eastAsia="宋体"/>
                      <w:color w:val="auto"/>
                      <w:highlight w:val="none"/>
                      <w:lang w:val="en-US" w:eastAsia="zh-CN"/>
                    </w:rPr>
                    <w:t>项目</w:t>
                  </w:r>
                </w:p>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（三期地块）</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超高清显示铜靶材产业化建设项目环评时全部位于三期地块，实际部分设备布局于二期地块，具体见本表工程内容</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lang w:val="en-US" w:eastAsia="zh-CN"/>
                    </w:rPr>
                    <w:t>环评</w:t>
                  </w:r>
                  <w:r>
                    <w:rPr>
                      <w:rFonts w:hint="eastAsia"/>
                      <w:color w:val="auto"/>
                      <w:highlight w:val="none"/>
                    </w:rPr>
                    <w:t>产能</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年产各种靶材1200吨，其中钼靶材800吨、铝靶材350吨、硅靶材50吨</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年产超高清显示用铜靶材2000吨</w:t>
                  </w:r>
                </w:p>
              </w:tc>
              <w:tc>
                <w:tcPr>
                  <w:tcW w:w="265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年产2500枚高纯钼硅靶材、高纯钨合金靶材等金属及合金靶材</w:t>
                  </w:r>
                </w:p>
              </w:tc>
              <w:tc>
                <w:tcPr>
                  <w:tcW w:w="2419"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年产500吨电子级高纯氧化物粉末，其中氧化铟粉体300吨，氧化锡粉体100吨，ITO粉体100吨</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实际产能</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同环评</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highlight w:val="none"/>
                    </w:rPr>
                  </w:pPr>
                  <w:r>
                    <w:rPr>
                      <w:rFonts w:hint="eastAsia"/>
                      <w:color w:val="auto"/>
                      <w:highlight w:val="none"/>
                    </w:rPr>
                    <w:t>年产超高清显示用铜靶材</w:t>
                  </w:r>
                  <w:r>
                    <w:rPr>
                      <w:rFonts w:hint="eastAsia"/>
                      <w:color w:val="auto"/>
                      <w:highlight w:val="none"/>
                      <w:lang w:val="en-US" w:eastAsia="zh-CN"/>
                    </w:rPr>
                    <w:t>9</w:t>
                  </w:r>
                  <w:r>
                    <w:rPr>
                      <w:rFonts w:hint="eastAsia"/>
                      <w:color w:val="auto"/>
                      <w:highlight w:val="none"/>
                    </w:rPr>
                    <w:t>00吨</w:t>
                  </w:r>
                </w:p>
              </w:tc>
              <w:tc>
                <w:tcPr>
                  <w:tcW w:w="265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建设中，尚未投产</w:t>
                  </w:r>
                </w:p>
              </w:tc>
              <w:tc>
                <w:tcPr>
                  <w:tcW w:w="2419"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建设中，尚未投产</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514"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主体工程</w:t>
                  </w: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A车间</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共3F，</w:t>
                  </w:r>
                  <w:r>
                    <w:rPr>
                      <w:rFonts w:hint="eastAsia"/>
                      <w:color w:val="auto"/>
                      <w:highlight w:val="none"/>
                      <w:lang w:val="en-US" w:eastAsia="zh-CN"/>
                    </w:rPr>
                    <w:t>一楼为平面靶及旋转靶材机加工区，二楼平面靶材抛光、研磨、绑定、清洁、包装，三楼为旋转靶材喷</w:t>
                  </w:r>
                  <w:r>
                    <w:rPr>
                      <w:rFonts w:hint="eastAsia"/>
                      <w:color w:val="auto"/>
                      <w:highlight w:val="none"/>
                    </w:rPr>
                    <w:t>涂</w:t>
                  </w:r>
                  <w:r>
                    <w:rPr>
                      <w:rFonts w:hint="eastAsia"/>
                      <w:color w:val="auto"/>
                      <w:highlight w:val="none"/>
                      <w:lang w:eastAsia="zh-CN"/>
                    </w:rPr>
                    <w:t>、</w:t>
                  </w:r>
                  <w:r>
                    <w:rPr>
                      <w:rFonts w:hint="eastAsia"/>
                      <w:color w:val="auto"/>
                      <w:highlight w:val="none"/>
                    </w:rPr>
                    <w:t>喷砂、抛光</w:t>
                  </w:r>
                  <w:r>
                    <w:rPr>
                      <w:rFonts w:hint="eastAsia"/>
                      <w:color w:val="auto"/>
                      <w:highlight w:val="none"/>
                      <w:lang w:eastAsia="zh-CN"/>
                    </w:rPr>
                    <w:t>、</w:t>
                  </w:r>
                  <w:r>
                    <w:rPr>
                      <w:rFonts w:hint="eastAsia"/>
                      <w:color w:val="auto"/>
                      <w:highlight w:val="none"/>
                      <w:lang w:val="en-US" w:eastAsia="zh-CN"/>
                    </w:rPr>
                    <w:t>检验等加工区</w:t>
                  </w:r>
                  <w:r>
                    <w:rPr>
                      <w:rFonts w:hint="eastAsia"/>
                      <w:color w:val="auto"/>
                      <w:highlight w:val="none"/>
                    </w:rPr>
                    <w:t>。</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依托二楼抛光室、喷砂室进行喷砂、抛光后处理</w:t>
                  </w:r>
                </w:p>
              </w:tc>
              <w:tc>
                <w:tcPr>
                  <w:tcW w:w="265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419"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B车间</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rPr>
                    <w:t>共2F，</w:t>
                  </w:r>
                  <w:r>
                    <w:rPr>
                      <w:rFonts w:hint="eastAsia"/>
                      <w:color w:val="auto"/>
                      <w:highlight w:val="none"/>
                      <w:lang w:val="en-US" w:eastAsia="zh-CN"/>
                    </w:rPr>
                    <w:t>2层为靶材空箱仓库</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1层</w:t>
                  </w:r>
                  <w:r>
                    <w:rPr>
                      <w:rFonts w:hint="eastAsia"/>
                      <w:color w:val="auto"/>
                      <w:highlight w:val="none"/>
                    </w:rPr>
                    <w:t>主要设备为真空熔炼炉</w:t>
                  </w:r>
                </w:p>
              </w:tc>
              <w:tc>
                <w:tcPr>
                  <w:tcW w:w="265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419" w:type="dxa"/>
                  <w:gridSpan w:val="2"/>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真空熔炼设备后期拟调整至A#楼一层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C车间</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共4F，</w:t>
                  </w:r>
                  <w:r>
                    <w:rPr>
                      <w:rFonts w:hint="eastAsia"/>
                      <w:color w:val="auto"/>
                      <w:highlight w:val="none"/>
                      <w:lang w:val="en-US" w:eastAsia="zh-CN"/>
                    </w:rPr>
                    <w:t>1层为展厅、检测包装区，2层为原材料仓库，3、4层闲置</w:t>
                  </w:r>
                  <w:r>
                    <w:rPr>
                      <w:rFonts w:hint="eastAsia"/>
                      <w:color w:val="auto"/>
                      <w:highlight w:val="none"/>
                    </w:rPr>
                    <w:t>。</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65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419" w:type="dxa"/>
                  <w:gridSpan w:val="2"/>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A#楼</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共</w:t>
                  </w:r>
                  <w:r>
                    <w:rPr>
                      <w:rFonts w:hint="eastAsia"/>
                      <w:color w:val="auto"/>
                      <w:highlight w:val="none"/>
                      <w:lang w:val="en-US" w:eastAsia="zh-CN"/>
                    </w:rPr>
                    <w:t>3</w:t>
                  </w:r>
                  <w:r>
                    <w:rPr>
                      <w:rFonts w:hint="eastAsia"/>
                      <w:color w:val="auto"/>
                      <w:highlight w:val="none"/>
                    </w:rPr>
                    <w:t>层，</w:t>
                  </w:r>
                  <w:r>
                    <w:rPr>
                      <w:rFonts w:hint="eastAsia"/>
                      <w:color w:val="auto"/>
                      <w:highlight w:val="none"/>
                      <w:lang w:val="en-US" w:eastAsia="zh-CN"/>
                    </w:rPr>
                    <w:t>利用</w:t>
                  </w:r>
                  <w:r>
                    <w:rPr>
                      <w:rFonts w:hint="eastAsia"/>
                      <w:color w:val="auto"/>
                      <w:highlight w:val="none"/>
                    </w:rPr>
                    <w:t>一层布置</w:t>
                  </w:r>
                  <w:r>
                    <w:rPr>
                      <w:rFonts w:hint="eastAsia"/>
                      <w:color w:val="auto"/>
                      <w:highlight w:val="none"/>
                      <w:lang w:val="en-US" w:eastAsia="zh-CN"/>
                    </w:rPr>
                    <w:t>机加工、</w:t>
                  </w:r>
                  <w:r>
                    <w:rPr>
                      <w:rFonts w:hint="eastAsia"/>
                      <w:color w:val="auto"/>
                      <w:highlight w:val="none"/>
                    </w:rPr>
                    <w:t>绑定加热平台</w:t>
                  </w:r>
                </w:p>
              </w:tc>
              <w:tc>
                <w:tcPr>
                  <w:tcW w:w="265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利用A#三层面积526m</w:t>
                  </w:r>
                  <w:r>
                    <w:rPr>
                      <w:rFonts w:hint="eastAsia"/>
                      <w:color w:val="auto"/>
                      <w:highlight w:val="none"/>
                      <w:vertAlign w:val="superscript"/>
                    </w:rPr>
                    <w:t>2</w:t>
                  </w:r>
                  <w:r>
                    <w:rPr>
                      <w:rFonts w:hint="eastAsia"/>
                      <w:color w:val="auto"/>
                      <w:highlight w:val="none"/>
                    </w:rPr>
                    <w:t>，主要设备为球磨机、气流磨设备、混粉机、筛分机、破碎机、振动筛等设备</w:t>
                  </w:r>
                </w:p>
              </w:tc>
              <w:tc>
                <w:tcPr>
                  <w:tcW w:w="2419"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利用A#2层，主要承担电子级高纯氧化物粉末的汽化、粉体收集、粉体处理混合任务，主要设备为气化设备、收粉设备、煅烧炉、超微粉碎机、ICP-MS等设备</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B#楼</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办公区</w:t>
                  </w:r>
                </w:p>
              </w:tc>
              <w:tc>
                <w:tcPr>
                  <w:tcW w:w="265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419" w:type="dxa"/>
                  <w:gridSpan w:val="2"/>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514"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配套工程</w:t>
                  </w: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研发楼</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共6F，主要承担项目靶材的研发测试，仅进行晶相检测、材料力学测试、扫描电镜检测、物理气相沉积实验等物理测试</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w:t>
                  </w:r>
                </w:p>
              </w:tc>
              <w:tc>
                <w:tcPr>
                  <w:tcW w:w="265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lang w:val="en-US" w:eastAsia="zh-CN"/>
                    </w:rPr>
                    <w:t>/</w:t>
                  </w:r>
                </w:p>
              </w:tc>
              <w:tc>
                <w:tcPr>
                  <w:tcW w:w="2419"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highlight w:val="none"/>
                    </w:rPr>
                  </w:pPr>
                  <w:r>
                    <w:rPr>
                      <w:rFonts w:hint="eastAsia"/>
                      <w:color w:val="auto"/>
                      <w:highlight w:val="none"/>
                      <w:lang w:val="en-US" w:eastAsia="zh-CN"/>
                    </w:rPr>
                    <w:t>4#研发楼一层，</w:t>
                  </w:r>
                  <w:r>
                    <w:rPr>
                      <w:rFonts w:hint="eastAsia"/>
                      <w:color w:val="auto"/>
                      <w:highlight w:val="none"/>
                    </w:rPr>
                    <w:t>建筑面积2489.62m</w:t>
                  </w:r>
                  <w:r>
                    <w:rPr>
                      <w:rFonts w:hint="eastAsia"/>
                      <w:color w:val="auto"/>
                      <w:highlight w:val="none"/>
                      <w:vertAlign w:val="superscript"/>
                    </w:rPr>
                    <w:t>2</w:t>
                  </w:r>
                  <w:r>
                    <w:rPr>
                      <w:rFonts w:hint="eastAsia"/>
                      <w:color w:val="auto"/>
                      <w:highlight w:val="none"/>
                    </w:rPr>
                    <w:t>，主要承担靶材的研发测试，进行氧化铟产品样品检测</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设备用房</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承担项目设备的日常小修、非标备品备件的制作与修理等，设有6台空压机</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依托</w:t>
                  </w:r>
                </w:p>
              </w:tc>
              <w:tc>
                <w:tcPr>
                  <w:tcW w:w="265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依托</w:t>
                  </w:r>
                </w:p>
              </w:tc>
              <w:tc>
                <w:tcPr>
                  <w:tcW w:w="2419" w:type="dxa"/>
                  <w:gridSpan w:val="2"/>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设有1台空压机</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办公区</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共6F，综合楼</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lang w:val="en-US" w:eastAsia="zh-CN"/>
                    </w:rPr>
                    <w:t>依托</w:t>
                  </w:r>
                </w:p>
              </w:tc>
              <w:tc>
                <w:tcPr>
                  <w:tcW w:w="265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依托</w:t>
                  </w:r>
                </w:p>
              </w:tc>
              <w:tc>
                <w:tcPr>
                  <w:tcW w:w="2419" w:type="dxa"/>
                  <w:gridSpan w:val="2"/>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依托</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生活区</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倒班宿舍共7F，食堂一座</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lang w:val="en-US" w:eastAsia="zh-CN"/>
                    </w:rPr>
                    <w:t>依托</w:t>
                  </w:r>
                </w:p>
              </w:tc>
              <w:tc>
                <w:tcPr>
                  <w:tcW w:w="265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依托</w:t>
                  </w:r>
                </w:p>
              </w:tc>
              <w:tc>
                <w:tcPr>
                  <w:tcW w:w="2419" w:type="dxa"/>
                  <w:gridSpan w:val="2"/>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依托</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气站</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用于存放氢气瓶及氩气瓶，并设置一座8m</w:t>
                  </w:r>
                  <w:r>
                    <w:rPr>
                      <w:rFonts w:hint="eastAsia"/>
                      <w:color w:val="auto"/>
                      <w:highlight w:val="none"/>
                      <w:vertAlign w:val="superscript"/>
                    </w:rPr>
                    <w:t>3</w:t>
                  </w:r>
                  <w:r>
                    <w:rPr>
                      <w:rFonts w:hint="eastAsia"/>
                      <w:color w:val="auto"/>
                      <w:highlight w:val="none"/>
                    </w:rPr>
                    <w:t>氮气站</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lang w:val="en-US" w:eastAsia="zh-CN"/>
                    </w:rPr>
                    <w:t>依托</w:t>
                  </w:r>
                </w:p>
              </w:tc>
              <w:tc>
                <w:tcPr>
                  <w:tcW w:w="265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依托</w:t>
                  </w:r>
                </w:p>
              </w:tc>
              <w:tc>
                <w:tcPr>
                  <w:tcW w:w="2419" w:type="dxa"/>
                  <w:gridSpan w:val="2"/>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设有一座10m</w:t>
                  </w:r>
                  <w:r>
                    <w:rPr>
                      <w:rFonts w:hint="eastAsia"/>
                      <w:color w:val="auto"/>
                      <w:highlight w:val="none"/>
                      <w:vertAlign w:val="superscript"/>
                      <w:lang w:val="en-US" w:eastAsia="zh-CN"/>
                    </w:rPr>
                    <w:t>3</w:t>
                  </w:r>
                  <w:r>
                    <w:rPr>
                      <w:rFonts w:hint="eastAsia"/>
                      <w:color w:val="auto"/>
                      <w:highlight w:val="none"/>
                      <w:lang w:val="en-US" w:eastAsia="zh-CN"/>
                    </w:rPr>
                    <w:t>8吨的氮气站</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14"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公用工程</w:t>
                  </w: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给水系统</w:t>
                  </w:r>
                </w:p>
              </w:tc>
              <w:tc>
                <w:tcPr>
                  <w:tcW w:w="9921" w:type="dxa"/>
                  <w:gridSpan w:val="5"/>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由市政供水管直接供给</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排水系统</w:t>
                  </w:r>
                </w:p>
              </w:tc>
              <w:tc>
                <w:tcPr>
                  <w:tcW w:w="9921" w:type="dxa"/>
                  <w:gridSpan w:val="5"/>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生产废水经厂区污水处理站处理后排入滨海工业区污水处理厂；生活污水经化粪池处理后排入滨海工业区污水处理厂。</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供电系统</w:t>
                  </w:r>
                </w:p>
              </w:tc>
              <w:tc>
                <w:tcPr>
                  <w:tcW w:w="9921" w:type="dxa"/>
                  <w:gridSpan w:val="5"/>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ascii="Times New Roman" w:hAnsi="Times New Roman" w:eastAsia="宋体" w:cs="Times New Roman"/>
                      <w:color w:val="auto"/>
                      <w:highlight w:val="none"/>
                      <w:lang w:val="en-US" w:eastAsia="zh-CN"/>
                    </w:rPr>
                    <w:t>由湖滨供电站供电，厂内</w:t>
                  </w:r>
                  <w:r>
                    <w:rPr>
                      <w:rFonts w:hint="eastAsia" w:ascii="Times New Roman" w:hAnsi="Times New Roman" w:eastAsia="宋体" w:cs="Times New Roman"/>
                      <w:color w:val="auto"/>
                      <w:highlight w:val="none"/>
                    </w:rPr>
                    <w:t>总共</w:t>
                  </w:r>
                  <w:r>
                    <w:rPr>
                      <w:rFonts w:hint="eastAsia" w:ascii="Times New Roman" w:hAnsi="Times New Roman" w:eastAsia="宋体" w:cs="Times New Roman"/>
                      <w:color w:val="auto"/>
                      <w:highlight w:val="none"/>
                      <w:lang w:val="en-US" w:eastAsia="zh-CN"/>
                    </w:rPr>
                    <w:t>配套</w:t>
                  </w:r>
                  <w:r>
                    <w:rPr>
                      <w:rFonts w:hint="eastAsia" w:ascii="Times New Roman" w:hAnsi="Times New Roman" w:eastAsia="宋体" w:cs="Times New Roman"/>
                      <w:color w:val="auto"/>
                      <w:highlight w:val="none"/>
                    </w:rPr>
                    <w:t>三台变压器，总容量分别为6500KVA</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10KV双路供电，每层均设多处380V、220V配电箱</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514"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环保工程</w:t>
                  </w:r>
                </w:p>
              </w:tc>
              <w:tc>
                <w:tcPr>
                  <w:tcW w:w="807"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废水</w:t>
                  </w:r>
                </w:p>
              </w:tc>
              <w:tc>
                <w:tcPr>
                  <w:tcW w:w="9921" w:type="dxa"/>
                  <w:gridSpan w:val="5"/>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生活污水经化粪池处理后排入滨海工业区污水处理厂</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9921" w:type="dxa"/>
                  <w:gridSpan w:val="5"/>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生产废水进入</w:t>
                  </w:r>
                  <w:r>
                    <w:rPr>
                      <w:rFonts w:hint="eastAsia"/>
                      <w:color w:val="auto"/>
                      <w:highlight w:val="none"/>
                      <w:lang w:val="en-US" w:eastAsia="zh-CN"/>
                    </w:rPr>
                    <w:t>厂内</w:t>
                  </w:r>
                  <w:r>
                    <w:rPr>
                      <w:rFonts w:hint="eastAsia"/>
                      <w:color w:val="auto"/>
                      <w:highlight w:val="none"/>
                    </w:rPr>
                    <w:t>污水处理站</w:t>
                  </w:r>
                  <w:r>
                    <w:rPr>
                      <w:rFonts w:hint="eastAsia"/>
                      <w:color w:val="auto"/>
                      <w:highlight w:val="none"/>
                      <w:lang w:val="en-US" w:eastAsia="zh-CN"/>
                    </w:rPr>
                    <w:t>处理</w:t>
                  </w:r>
                  <w:r>
                    <w:rPr>
                      <w:rFonts w:hint="eastAsia"/>
                      <w:color w:val="auto"/>
                      <w:highlight w:val="none"/>
                    </w:rPr>
                    <w:t>，处理工艺为：混凝沉淀</w:t>
                  </w:r>
                  <w:r>
                    <w:rPr>
                      <w:rFonts w:ascii="Arial" w:hAnsi="Arial" w:cs="Arial"/>
                      <w:color w:val="auto"/>
                      <w:highlight w:val="none"/>
                    </w:rPr>
                    <w:t>→</w:t>
                  </w:r>
                  <w:r>
                    <w:rPr>
                      <w:rFonts w:hint="eastAsia"/>
                      <w:color w:val="auto"/>
                      <w:highlight w:val="none"/>
                    </w:rPr>
                    <w:t>缺氧</w:t>
                  </w:r>
                  <w:r>
                    <w:rPr>
                      <w:rFonts w:ascii="Arial" w:hAnsi="Arial" w:cs="Arial"/>
                      <w:color w:val="auto"/>
                      <w:highlight w:val="none"/>
                    </w:rPr>
                    <w:t>→</w:t>
                  </w:r>
                  <w:r>
                    <w:rPr>
                      <w:rFonts w:hint="eastAsia"/>
                      <w:color w:val="auto"/>
                      <w:highlight w:val="none"/>
                    </w:rPr>
                    <w:t>好氧</w:t>
                  </w:r>
                  <w:r>
                    <w:rPr>
                      <w:rFonts w:ascii="Arial" w:hAnsi="Arial" w:cs="Arial"/>
                      <w:color w:val="auto"/>
                      <w:highlight w:val="none"/>
                    </w:rPr>
                    <w:t>→</w:t>
                  </w:r>
                  <w:r>
                    <w:rPr>
                      <w:rFonts w:hint="eastAsia"/>
                      <w:color w:val="auto"/>
                      <w:highlight w:val="none"/>
                    </w:rPr>
                    <w:t>沉淀，处理能力10t/d</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改扩建项目实施后，位于三期地块的超高清显示用铜靶材、</w:t>
                  </w:r>
                  <w:r>
                    <w:rPr>
                      <w:rFonts w:hint="eastAsia"/>
                      <w:color w:val="auto"/>
                      <w:highlight w:val="none"/>
                    </w:rPr>
                    <w:t>半导体用金属及合金靶材研发及产业化项目</w:t>
                  </w:r>
                  <w:r>
                    <w:rPr>
                      <w:rFonts w:hint="eastAsia"/>
                      <w:color w:val="auto"/>
                      <w:highlight w:val="none"/>
                      <w:lang w:eastAsia="zh-CN"/>
                    </w:rPr>
                    <w:t>、</w:t>
                  </w:r>
                  <w:r>
                    <w:rPr>
                      <w:rFonts w:hint="eastAsia" w:eastAsia="宋体"/>
                      <w:color w:val="auto"/>
                      <w:highlight w:val="none"/>
                    </w:rPr>
                    <w:t>年产500吨电子材料绿色生产与回收</w:t>
                  </w:r>
                  <w:r>
                    <w:rPr>
                      <w:rFonts w:hint="eastAsia" w:eastAsia="宋体"/>
                      <w:color w:val="auto"/>
                      <w:highlight w:val="none"/>
                      <w:lang w:val="en-US" w:eastAsia="zh-CN"/>
                    </w:rPr>
                    <w:t>项目</w:t>
                  </w:r>
                  <w:r>
                    <w:rPr>
                      <w:rFonts w:hint="eastAsia"/>
                      <w:color w:val="auto"/>
                      <w:highlight w:val="none"/>
                      <w:lang w:val="en-US" w:eastAsia="zh-CN"/>
                    </w:rPr>
                    <w:t>废水依托新建废水处理站一起处理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噪声</w:t>
                  </w:r>
                </w:p>
              </w:tc>
              <w:tc>
                <w:tcPr>
                  <w:tcW w:w="9921" w:type="dxa"/>
                  <w:gridSpan w:val="5"/>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highlight w:val="none"/>
                    </w:rPr>
                  </w:pPr>
                  <w:r>
                    <w:rPr>
                      <w:rFonts w:hint="eastAsia"/>
                      <w:color w:val="auto"/>
                      <w:highlight w:val="none"/>
                    </w:rPr>
                    <w:t>安装减振垫、厂房隔声、距离衰减等</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固废</w:t>
                  </w:r>
                </w:p>
              </w:tc>
              <w:tc>
                <w:tcPr>
                  <w:tcW w:w="9921" w:type="dxa"/>
                  <w:gridSpan w:val="5"/>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vertAlign w:val="superscript"/>
                      <w:lang w:val="en-US" w:eastAsia="zh-CN"/>
                    </w:rPr>
                  </w:pPr>
                  <w:r>
                    <w:rPr>
                      <w:rFonts w:hint="eastAsia"/>
                      <w:color w:val="auto"/>
                      <w:highlight w:val="none"/>
                      <w:lang w:val="en-US" w:eastAsia="zh-CN"/>
                    </w:rPr>
                    <w:t>在厂区东侧建设1座一般工业固废仓库，占地面积约80m</w:t>
                  </w:r>
                  <w:r>
                    <w:rPr>
                      <w:rFonts w:hint="eastAsia"/>
                      <w:color w:val="auto"/>
                      <w:highlight w:val="none"/>
                      <w:vertAlign w:val="superscript"/>
                      <w:lang w:val="en-US" w:eastAsia="zh-CN"/>
                    </w:rPr>
                    <w:t>2</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9921" w:type="dxa"/>
                  <w:gridSpan w:val="5"/>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rPr>
                    <w:t>危险废物：危废暂存间10m</w:t>
                  </w:r>
                  <w:r>
                    <w:rPr>
                      <w:rFonts w:hint="eastAsia"/>
                      <w:color w:val="auto"/>
                      <w:highlight w:val="none"/>
                      <w:vertAlign w:val="superscript"/>
                    </w:rPr>
                    <w:t>2</w:t>
                  </w:r>
                  <w:r>
                    <w:rPr>
                      <w:rFonts w:hint="eastAsia"/>
                      <w:color w:val="auto"/>
                      <w:highlight w:val="none"/>
                    </w:rPr>
                    <w:t>，位于厂区东北侧</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废气处理设施</w:t>
                  </w: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喷砂</w:t>
                  </w:r>
                  <w:r>
                    <w:rPr>
                      <w:rFonts w:hint="eastAsia"/>
                      <w:color w:val="auto"/>
                      <w:highlight w:val="none"/>
                      <w:lang w:val="en-US" w:eastAsia="zh-CN"/>
                    </w:rPr>
                    <w:t>废气采用1套填料</w:t>
                  </w:r>
                  <w:r>
                    <w:rPr>
                      <w:rFonts w:hint="eastAsia"/>
                      <w:color w:val="auto"/>
                      <w:highlight w:val="none"/>
                    </w:rPr>
                    <w:t>喷淋塔</w:t>
                  </w:r>
                  <w:r>
                    <w:rPr>
                      <w:rFonts w:hint="eastAsia"/>
                      <w:color w:val="auto"/>
                      <w:highlight w:val="none"/>
                      <w:lang w:val="en-US" w:eastAsia="zh-CN"/>
                    </w:rPr>
                    <w:t>处理后由1根</w:t>
                  </w:r>
                  <w:r>
                    <w:rPr>
                      <w:rFonts w:hint="eastAsia"/>
                      <w:color w:val="auto"/>
                      <w:highlight w:val="none"/>
                    </w:rPr>
                    <w:t>25m排气筒</w:t>
                  </w:r>
                  <w:r>
                    <w:rPr>
                      <w:rFonts w:hint="eastAsia"/>
                      <w:color w:val="auto"/>
                      <w:highlight w:val="none"/>
                      <w:lang w:val="en-US" w:eastAsia="zh-CN"/>
                    </w:rPr>
                    <w:t>排放，最大处理</w:t>
                  </w:r>
                  <w:r>
                    <w:rPr>
                      <w:rFonts w:hint="eastAsia"/>
                      <w:color w:val="auto"/>
                      <w:highlight w:val="none"/>
                    </w:rPr>
                    <w:t>风量为</w:t>
                  </w:r>
                  <w:r>
                    <w:rPr>
                      <w:rFonts w:hint="eastAsia"/>
                      <w:color w:val="auto"/>
                      <w:highlight w:val="none"/>
                      <w:lang w:val="en-US" w:eastAsia="zh-CN"/>
                    </w:rPr>
                    <w:t>30</w:t>
                  </w:r>
                  <w:r>
                    <w:rPr>
                      <w:rFonts w:hint="eastAsia"/>
                      <w:color w:val="auto"/>
                      <w:highlight w:val="none"/>
                    </w:rPr>
                    <w:t>000m</w:t>
                  </w:r>
                  <w:r>
                    <w:rPr>
                      <w:rFonts w:hint="eastAsia"/>
                      <w:color w:val="auto"/>
                      <w:highlight w:val="none"/>
                      <w:vertAlign w:val="superscript"/>
                    </w:rPr>
                    <w:t>3</w:t>
                  </w:r>
                  <w:r>
                    <w:rPr>
                      <w:rFonts w:hint="eastAsia"/>
                      <w:color w:val="auto"/>
                      <w:highlight w:val="none"/>
                    </w:rPr>
                    <w:t>/h</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eastAsia="zh-CN"/>
                    </w:rPr>
                  </w:pPr>
                  <w:r>
                    <w:rPr>
                      <w:rFonts w:hint="eastAsia"/>
                      <w:color w:val="auto"/>
                      <w:highlight w:val="none"/>
                    </w:rPr>
                    <w:t>喷砂</w:t>
                  </w:r>
                  <w:r>
                    <w:rPr>
                      <w:rFonts w:hint="eastAsia"/>
                      <w:color w:val="auto"/>
                      <w:highlight w:val="none"/>
                      <w:lang w:val="en-US" w:eastAsia="zh-CN"/>
                    </w:rPr>
                    <w:t>废气采用1套填料</w:t>
                  </w:r>
                  <w:r>
                    <w:rPr>
                      <w:rFonts w:hint="eastAsia"/>
                      <w:color w:val="auto"/>
                      <w:highlight w:val="none"/>
                    </w:rPr>
                    <w:t>喷淋塔</w:t>
                  </w:r>
                  <w:r>
                    <w:rPr>
                      <w:rFonts w:hint="eastAsia"/>
                      <w:color w:val="auto"/>
                      <w:highlight w:val="none"/>
                      <w:lang w:val="en-US" w:eastAsia="zh-CN"/>
                    </w:rPr>
                    <w:t>处理，处理后由1根</w:t>
                  </w:r>
                  <w:r>
                    <w:rPr>
                      <w:rFonts w:hint="eastAsia"/>
                      <w:color w:val="auto"/>
                      <w:highlight w:val="none"/>
                    </w:rPr>
                    <w:t>25m排气筒</w:t>
                  </w:r>
                  <w:r>
                    <w:rPr>
                      <w:rFonts w:hint="eastAsia"/>
                      <w:color w:val="auto"/>
                      <w:highlight w:val="none"/>
                      <w:lang w:val="en-US" w:eastAsia="zh-CN"/>
                    </w:rPr>
                    <w:t>排放，最大处理</w:t>
                  </w:r>
                  <w:r>
                    <w:rPr>
                      <w:rFonts w:hint="eastAsia"/>
                      <w:color w:val="auto"/>
                      <w:highlight w:val="none"/>
                    </w:rPr>
                    <w:t>风量为</w:t>
                  </w:r>
                  <w:r>
                    <w:rPr>
                      <w:rFonts w:hint="eastAsia"/>
                      <w:color w:val="auto"/>
                      <w:highlight w:val="none"/>
                      <w:lang w:val="en-US" w:eastAsia="zh-CN"/>
                    </w:rPr>
                    <w:t>30</w:t>
                  </w:r>
                  <w:r>
                    <w:rPr>
                      <w:rFonts w:hint="eastAsia"/>
                      <w:color w:val="auto"/>
                      <w:highlight w:val="none"/>
                    </w:rPr>
                    <w:t>000m</w:t>
                  </w:r>
                  <w:r>
                    <w:rPr>
                      <w:rFonts w:hint="eastAsia"/>
                      <w:color w:val="auto"/>
                      <w:highlight w:val="none"/>
                      <w:vertAlign w:val="superscript"/>
                    </w:rPr>
                    <w:t>3</w:t>
                  </w:r>
                  <w:r>
                    <w:rPr>
                      <w:rFonts w:hint="eastAsia"/>
                      <w:color w:val="auto"/>
                      <w:highlight w:val="none"/>
                    </w:rPr>
                    <w:t>/h</w:t>
                  </w:r>
                </w:p>
              </w:tc>
              <w:tc>
                <w:tcPr>
                  <w:tcW w:w="2664"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41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本改扩建项目实施后随着平面溅射靶材生产线搬迁，喷砂房将迁至四期地块，超高清显示用铜靶材喷砂也将依托四期地块喷砂房，因此，现有2套大靶材喷砂除尘器将拆除。</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vertAlign w:val="superscript"/>
                      <w:lang w:val="en-US" w:eastAsia="zh-CN"/>
                    </w:rPr>
                  </w:pPr>
                  <w:r>
                    <w:rPr>
                      <w:rFonts w:hint="eastAsia"/>
                      <w:color w:val="auto"/>
                      <w:highlight w:val="none"/>
                    </w:rPr>
                    <w:t>抛光废气</w:t>
                  </w:r>
                  <w:r>
                    <w:rPr>
                      <w:rFonts w:hint="eastAsia"/>
                      <w:color w:val="auto"/>
                      <w:highlight w:val="none"/>
                      <w:lang w:val="en-US" w:eastAsia="zh-CN"/>
                    </w:rPr>
                    <w:t>采用1套填料</w:t>
                  </w:r>
                  <w:r>
                    <w:rPr>
                      <w:rFonts w:hint="eastAsia"/>
                      <w:color w:val="auto"/>
                      <w:highlight w:val="none"/>
                    </w:rPr>
                    <w:t>喷淋塔</w:t>
                  </w:r>
                  <w:r>
                    <w:rPr>
                      <w:rFonts w:hint="eastAsia"/>
                      <w:color w:val="auto"/>
                      <w:highlight w:val="none"/>
                      <w:lang w:val="en-US" w:eastAsia="zh-CN"/>
                    </w:rPr>
                    <w:t>处理后由1根</w:t>
                  </w:r>
                  <w:r>
                    <w:rPr>
                      <w:rFonts w:hint="eastAsia"/>
                      <w:color w:val="auto"/>
                      <w:highlight w:val="none"/>
                    </w:rPr>
                    <w:t>25m排气筒</w:t>
                  </w:r>
                  <w:r>
                    <w:rPr>
                      <w:rFonts w:hint="eastAsia"/>
                      <w:color w:val="auto"/>
                      <w:highlight w:val="none"/>
                      <w:lang w:eastAsia="zh-CN"/>
                    </w:rPr>
                    <w:t>，</w:t>
                  </w:r>
                  <w:r>
                    <w:rPr>
                      <w:rFonts w:hint="eastAsia"/>
                      <w:color w:val="auto"/>
                      <w:highlight w:val="none"/>
                      <w:lang w:val="en-US" w:eastAsia="zh-CN"/>
                    </w:rPr>
                    <w:t>最大处理风量设计为30000m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抛光废气</w:t>
                  </w:r>
                  <w:r>
                    <w:rPr>
                      <w:rFonts w:hint="eastAsia"/>
                      <w:color w:val="auto"/>
                      <w:highlight w:val="none"/>
                      <w:lang w:val="en-US" w:eastAsia="zh-CN"/>
                    </w:rPr>
                    <w:t>采用1套填料</w:t>
                  </w:r>
                  <w:r>
                    <w:rPr>
                      <w:rFonts w:hint="eastAsia"/>
                      <w:color w:val="auto"/>
                      <w:highlight w:val="none"/>
                    </w:rPr>
                    <w:t>喷淋塔</w:t>
                  </w:r>
                  <w:r>
                    <w:rPr>
                      <w:rFonts w:hint="eastAsia"/>
                      <w:color w:val="auto"/>
                      <w:highlight w:val="none"/>
                      <w:lang w:val="en-US" w:eastAsia="zh-CN"/>
                    </w:rPr>
                    <w:t>处理后由1根</w:t>
                  </w:r>
                  <w:r>
                    <w:rPr>
                      <w:rFonts w:hint="eastAsia"/>
                      <w:color w:val="auto"/>
                      <w:highlight w:val="none"/>
                    </w:rPr>
                    <w:t>25m排气筒</w:t>
                  </w:r>
                  <w:r>
                    <w:rPr>
                      <w:rFonts w:hint="eastAsia"/>
                      <w:color w:val="auto"/>
                      <w:highlight w:val="none"/>
                      <w:lang w:eastAsia="zh-CN"/>
                    </w:rPr>
                    <w:t>，</w:t>
                  </w:r>
                  <w:r>
                    <w:rPr>
                      <w:rFonts w:hint="eastAsia"/>
                      <w:color w:val="auto"/>
                      <w:highlight w:val="none"/>
                      <w:lang w:val="en-US" w:eastAsia="zh-CN"/>
                    </w:rPr>
                    <w:t>最大处理风量设计为30000m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p>
              </w:tc>
              <w:tc>
                <w:tcPr>
                  <w:tcW w:w="2664"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w:t>
                  </w:r>
                </w:p>
              </w:tc>
              <w:tc>
                <w:tcPr>
                  <w:tcW w:w="241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rPr>
                  </w:pPr>
                  <w:r>
                    <w:rPr>
                      <w:rFonts w:hint="eastAsia"/>
                      <w:color w:val="auto"/>
                      <w:highlight w:val="none"/>
                      <w:lang w:val="en-US" w:eastAsia="zh-CN"/>
                    </w:rPr>
                    <w:t>本改扩建项目实施后随着平面溅射靶材生产线搬迁，抛光房将迁至四期地块，超高清显示用铜靶材抛光也将依托四期地块抛光房，因此，现有2套大靶材抛光除尘器将迁移至四期地块。</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旋转靶</w:t>
                  </w:r>
                  <w:r>
                    <w:rPr>
                      <w:rFonts w:hint="eastAsia"/>
                      <w:color w:val="auto"/>
                      <w:highlight w:val="none"/>
                    </w:rPr>
                    <w:t>喷涂</w:t>
                  </w:r>
                  <w:r>
                    <w:rPr>
                      <w:rFonts w:hint="eastAsia"/>
                      <w:color w:val="auto"/>
                      <w:highlight w:val="none"/>
                      <w:lang w:eastAsia="zh-CN"/>
                    </w:rPr>
                    <w:t>、</w:t>
                  </w:r>
                  <w:r>
                    <w:rPr>
                      <w:rFonts w:hint="eastAsia"/>
                      <w:color w:val="auto"/>
                      <w:highlight w:val="none"/>
                      <w:lang w:val="en-US" w:eastAsia="zh-CN"/>
                    </w:rPr>
                    <w:t>喷砂工序配套4套</w:t>
                  </w:r>
                  <w:r>
                    <w:rPr>
                      <w:rFonts w:hint="eastAsia"/>
                      <w:color w:val="auto"/>
                      <w:highlight w:val="none"/>
                    </w:rPr>
                    <w:t>风机风量为8000m</w:t>
                  </w:r>
                  <w:r>
                    <w:rPr>
                      <w:rFonts w:hint="eastAsia"/>
                      <w:color w:val="auto"/>
                      <w:highlight w:val="none"/>
                      <w:vertAlign w:val="superscript"/>
                    </w:rPr>
                    <w:t>3</w:t>
                  </w:r>
                  <w:r>
                    <w:rPr>
                      <w:rFonts w:hint="eastAsia"/>
                      <w:color w:val="auto"/>
                      <w:highlight w:val="none"/>
                    </w:rPr>
                    <w:t>/h</w:t>
                  </w:r>
                  <w:r>
                    <w:rPr>
                      <w:rFonts w:hint="eastAsia"/>
                      <w:color w:val="auto"/>
                      <w:highlight w:val="none"/>
                      <w:lang w:val="en-US" w:eastAsia="zh-CN"/>
                    </w:rPr>
                    <w:t>滤筒</w:t>
                  </w:r>
                  <w:r>
                    <w:rPr>
                      <w:rFonts w:hint="eastAsia"/>
                      <w:color w:val="auto"/>
                      <w:highlight w:val="none"/>
                    </w:rPr>
                    <w:t>除尘器</w:t>
                  </w:r>
                  <w:r>
                    <w:rPr>
                      <w:rFonts w:hint="eastAsia"/>
                      <w:color w:val="auto"/>
                      <w:highlight w:val="none"/>
                      <w:lang w:eastAsia="zh-CN"/>
                    </w:rPr>
                    <w:t>，</w:t>
                  </w:r>
                  <w:r>
                    <w:rPr>
                      <w:rFonts w:hint="eastAsia"/>
                      <w:color w:val="auto"/>
                      <w:highlight w:val="none"/>
                      <w:lang w:val="en-US" w:eastAsia="zh-CN"/>
                    </w:rPr>
                    <w:t>最后经处理后由1根</w:t>
                  </w:r>
                  <w:r>
                    <w:rPr>
                      <w:rFonts w:hint="eastAsia"/>
                      <w:color w:val="auto"/>
                      <w:highlight w:val="none"/>
                    </w:rPr>
                    <w:t>25m</w:t>
                  </w:r>
                  <w:r>
                    <w:rPr>
                      <w:rFonts w:hint="eastAsia"/>
                      <w:color w:val="auto"/>
                      <w:highlight w:val="none"/>
                      <w:lang w:val="en-US" w:eastAsia="zh-CN"/>
                    </w:rPr>
                    <w:t>高</w:t>
                  </w:r>
                  <w:r>
                    <w:rPr>
                      <w:rFonts w:hint="eastAsia"/>
                      <w:color w:val="auto"/>
                      <w:highlight w:val="none"/>
                    </w:rPr>
                    <w:t>排气筒</w:t>
                  </w:r>
                  <w:r>
                    <w:rPr>
                      <w:rFonts w:hint="eastAsia"/>
                      <w:color w:val="auto"/>
                      <w:highlight w:val="none"/>
                      <w:lang w:val="en-US" w:eastAsia="zh-CN"/>
                    </w:rPr>
                    <w:t>排放</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664" w:type="dxa"/>
                  <w:gridSpan w:val="2"/>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414"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217"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rFonts w:hint="default"/>
                      <w:color w:val="auto"/>
                      <w:highlight w:val="none"/>
                      <w:lang w:val="en-US" w:eastAsia="zh-CN"/>
                    </w:rPr>
                  </w:pPr>
                  <w:r>
                    <w:rPr>
                      <w:rFonts w:hint="eastAsia"/>
                      <w:color w:val="auto"/>
                      <w:highlight w:val="none"/>
                      <w:lang w:val="en-US" w:eastAsia="zh-CN"/>
                    </w:rPr>
                    <w:t>本改扩建项目硅旋转靶材不搬迁，配套喷涂、喷砂、抛光工序除尘设施保留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旋转靶真空喷涂工序配套4套风量约为5000m</w:t>
                  </w:r>
                  <w:r>
                    <w:rPr>
                      <w:rFonts w:hint="eastAsia"/>
                      <w:color w:val="auto"/>
                      <w:highlight w:val="none"/>
                      <w:vertAlign w:val="superscript"/>
                      <w:lang w:val="en-US" w:eastAsia="zh-CN"/>
                    </w:rPr>
                    <w:t>3</w:t>
                  </w:r>
                  <w:r>
                    <w:rPr>
                      <w:rFonts w:hint="eastAsia"/>
                      <w:color w:val="auto"/>
                      <w:highlight w:val="none"/>
                      <w:vertAlign w:val="baseline"/>
                      <w:lang w:val="en-US" w:eastAsia="zh-CN"/>
                    </w:rPr>
                    <w:t>/h滤筒除尘器，粉尘经处理后分别经4根25m排气筒排放</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lang w:val="en-US" w:eastAsia="zh-CN"/>
                    </w:rPr>
                    <w:t>/</w:t>
                  </w:r>
                </w:p>
              </w:tc>
              <w:tc>
                <w:tcPr>
                  <w:tcW w:w="2664"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41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21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eastAsia="宋体"/>
                      <w:color w:val="auto"/>
                      <w:highlight w:val="none"/>
                      <w:lang w:val="en-US" w:eastAsia="zh-CN"/>
                    </w:rPr>
                    <w:t>旋转靶抛光工序配套</w:t>
                  </w:r>
                  <w:r>
                    <w:rPr>
                      <w:rFonts w:hint="eastAsia"/>
                      <w:color w:val="auto"/>
                      <w:highlight w:val="none"/>
                      <w:lang w:val="en-US" w:eastAsia="zh-CN"/>
                    </w:rPr>
                    <w:t>2套风量约为12000m</w:t>
                  </w:r>
                  <w:r>
                    <w:rPr>
                      <w:rFonts w:hint="eastAsia"/>
                      <w:color w:val="auto"/>
                      <w:highlight w:val="none"/>
                      <w:vertAlign w:val="superscript"/>
                      <w:lang w:val="en-US" w:eastAsia="zh-CN"/>
                    </w:rPr>
                    <w:t>3</w:t>
                  </w:r>
                  <w:r>
                    <w:rPr>
                      <w:rFonts w:hint="eastAsia"/>
                      <w:color w:val="auto"/>
                      <w:highlight w:val="none"/>
                      <w:vertAlign w:val="baseline"/>
                      <w:lang w:val="en-US" w:eastAsia="zh-CN"/>
                    </w:rPr>
                    <w:t>/h水喷淋/水浴除尘器处理后在屋顶排放</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eastAsia="宋体"/>
                      <w:color w:val="auto"/>
                      <w:highlight w:val="none"/>
                      <w:lang w:val="en-US" w:eastAsia="zh-CN"/>
                    </w:rPr>
                    <w:t>/</w:t>
                  </w:r>
                </w:p>
              </w:tc>
              <w:tc>
                <w:tcPr>
                  <w:tcW w:w="2664"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eastAsia="宋体"/>
                      <w:color w:val="auto"/>
                      <w:highlight w:val="none"/>
                      <w:lang w:val="en-US" w:eastAsia="zh-CN"/>
                    </w:rPr>
                    <w:t>/</w:t>
                  </w:r>
                </w:p>
              </w:tc>
              <w:tc>
                <w:tcPr>
                  <w:tcW w:w="241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eastAsia="宋体"/>
                      <w:color w:val="auto"/>
                      <w:highlight w:val="none"/>
                      <w:lang w:val="en-US" w:eastAsia="zh-CN"/>
                    </w:rPr>
                    <w:t>/</w:t>
                  </w:r>
                </w:p>
              </w:tc>
              <w:tc>
                <w:tcPr>
                  <w:tcW w:w="221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227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熔炼炉采用电为能源，熔炼采用密闭抽真空操作，熔炼炉内空气经真空泵抽出，排气口经滤膜过滤后排放，过程几乎没有粉尘排放</w:t>
                  </w:r>
                </w:p>
              </w:tc>
              <w:tc>
                <w:tcPr>
                  <w:tcW w:w="2664"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eastAsia="宋体"/>
                      <w:color w:val="auto"/>
                      <w:highlight w:val="none"/>
                      <w:lang w:val="en-US" w:eastAsia="zh-CN"/>
                    </w:rPr>
                    <w:t>/</w:t>
                  </w:r>
                </w:p>
              </w:tc>
              <w:tc>
                <w:tcPr>
                  <w:tcW w:w="241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eastAsia="宋体"/>
                      <w:color w:val="auto"/>
                      <w:highlight w:val="none"/>
                      <w:lang w:val="en-US" w:eastAsia="zh-CN"/>
                    </w:rPr>
                    <w:t>/</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274"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664"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有机废气、混粉粉尘设置</w:t>
                  </w:r>
                  <w:r>
                    <w:rPr>
                      <w:rFonts w:hint="eastAsia"/>
                      <w:color w:val="auto"/>
                      <w:highlight w:val="none"/>
                      <w:lang w:val="en-US" w:eastAsia="zh-CN"/>
                    </w:rPr>
                    <w:t>1</w:t>
                  </w:r>
                  <w:r>
                    <w:rPr>
                      <w:rFonts w:hint="eastAsia"/>
                      <w:color w:val="auto"/>
                      <w:highlight w:val="none"/>
                    </w:rPr>
                    <w:t>套水喷淋+活性炭吸</w:t>
                  </w:r>
                  <w:r>
                    <w:rPr>
                      <w:rFonts w:hint="eastAsia"/>
                      <w:color w:val="auto"/>
                      <w:highlight w:val="none"/>
                      <w:lang w:val="en-US" w:eastAsia="zh-CN"/>
                    </w:rPr>
                    <w:t>装置处理，由1根</w:t>
                  </w:r>
                  <w:r>
                    <w:rPr>
                      <w:rFonts w:hint="eastAsia"/>
                      <w:color w:val="auto"/>
                      <w:highlight w:val="none"/>
                    </w:rPr>
                    <w:t>25m排气筒</w:t>
                  </w:r>
                  <w:r>
                    <w:rPr>
                      <w:rFonts w:hint="eastAsia"/>
                      <w:color w:val="auto"/>
                      <w:highlight w:val="none"/>
                      <w:lang w:val="en-US" w:eastAsia="zh-CN"/>
                    </w:rPr>
                    <w:t>排放</w:t>
                  </w:r>
                  <w:r>
                    <w:rPr>
                      <w:rFonts w:hint="eastAsia"/>
                      <w:color w:val="auto"/>
                      <w:highlight w:val="none"/>
                    </w:rPr>
                    <w:t>，风机风量为15000m</w:t>
                  </w:r>
                  <w:r>
                    <w:rPr>
                      <w:rFonts w:hint="eastAsia"/>
                      <w:color w:val="auto"/>
                      <w:highlight w:val="none"/>
                      <w:vertAlign w:val="superscript"/>
                    </w:rPr>
                    <w:t>3</w:t>
                  </w:r>
                  <w:r>
                    <w:rPr>
                      <w:rFonts w:hint="eastAsia"/>
                      <w:color w:val="auto"/>
                      <w:highlight w:val="none"/>
                    </w:rPr>
                    <w:t>/h</w:t>
                  </w:r>
                </w:p>
              </w:tc>
              <w:tc>
                <w:tcPr>
                  <w:tcW w:w="2414"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eastAsia="宋体"/>
                      <w:color w:val="auto"/>
                      <w:highlight w:val="none"/>
                      <w:lang w:val="en-US" w:eastAsia="zh-CN"/>
                    </w:rPr>
                    <w:t>/</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eastAsia="宋体"/>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274"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664"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钼硅混粉、制粉粉尘：一套移动式集气罩及滤筒过滤除尘</w:t>
                  </w:r>
                  <w:r>
                    <w:rPr>
                      <w:rFonts w:hint="eastAsia"/>
                      <w:color w:val="auto"/>
                      <w:highlight w:val="none"/>
                      <w:lang w:val="en-US" w:eastAsia="zh-CN"/>
                    </w:rPr>
                    <w:t>后在车间排放</w:t>
                  </w:r>
                  <w:r>
                    <w:rPr>
                      <w:rFonts w:hint="eastAsia"/>
                      <w:color w:val="auto"/>
                      <w:highlight w:val="none"/>
                    </w:rPr>
                    <w:t>，风机风量300m</w:t>
                  </w:r>
                  <w:r>
                    <w:rPr>
                      <w:rFonts w:hint="eastAsia"/>
                      <w:color w:val="auto"/>
                      <w:highlight w:val="none"/>
                      <w:vertAlign w:val="superscript"/>
                    </w:rPr>
                    <w:t>3</w:t>
                  </w:r>
                  <w:r>
                    <w:rPr>
                      <w:rFonts w:hint="eastAsia"/>
                      <w:color w:val="auto"/>
                      <w:highlight w:val="none"/>
                    </w:rPr>
                    <w:t>/h</w:t>
                  </w:r>
                </w:p>
              </w:tc>
              <w:tc>
                <w:tcPr>
                  <w:tcW w:w="2414"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eastAsia="宋体"/>
                      <w:color w:val="auto"/>
                      <w:highlight w:val="none"/>
                      <w:lang w:val="en-US" w:eastAsia="zh-CN"/>
                    </w:rPr>
                    <w:t>/</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eastAsia="宋体"/>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274"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664"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钨合金制粉、筛分粉尘：两套移动式集气罩及滤筒过滤除尘，每套风机风量1500m</w:t>
                  </w:r>
                  <w:r>
                    <w:rPr>
                      <w:rFonts w:hint="eastAsia"/>
                      <w:color w:val="auto"/>
                      <w:highlight w:val="none"/>
                      <w:vertAlign w:val="superscript"/>
                    </w:rPr>
                    <w:t>3</w:t>
                  </w:r>
                  <w:r>
                    <w:rPr>
                      <w:rFonts w:hint="eastAsia"/>
                      <w:color w:val="auto"/>
                      <w:highlight w:val="none"/>
                    </w:rPr>
                    <w:t>/h，总排气风量为3000m</w:t>
                  </w:r>
                  <w:r>
                    <w:rPr>
                      <w:rFonts w:hint="eastAsia"/>
                      <w:color w:val="auto"/>
                      <w:highlight w:val="none"/>
                      <w:vertAlign w:val="superscript"/>
                    </w:rPr>
                    <w:t>3</w:t>
                  </w:r>
                  <w:r>
                    <w:rPr>
                      <w:rFonts w:hint="eastAsia"/>
                      <w:color w:val="auto"/>
                      <w:highlight w:val="none"/>
                    </w:rPr>
                    <w:t>/h，由1根25m高排气筒排放</w:t>
                  </w:r>
                </w:p>
              </w:tc>
              <w:tc>
                <w:tcPr>
                  <w:tcW w:w="241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274"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664"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41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lang w:val="en-US" w:eastAsia="zh-CN"/>
                    </w:rPr>
                    <w:t>粉体收集、混合工序</w:t>
                  </w:r>
                  <w:r>
                    <w:rPr>
                      <w:color w:val="auto"/>
                      <w:highlight w:val="none"/>
                    </w:rPr>
                    <w:t>粉尘经</w:t>
                  </w:r>
                  <w:r>
                    <w:rPr>
                      <w:rFonts w:hint="eastAsia"/>
                      <w:color w:val="auto"/>
                      <w:highlight w:val="none"/>
                    </w:rPr>
                    <w:t>设备自带布袋除尘</w:t>
                  </w:r>
                  <w:r>
                    <w:rPr>
                      <w:color w:val="auto"/>
                      <w:highlight w:val="none"/>
                    </w:rPr>
                    <w:t>器处理</w:t>
                  </w:r>
                  <w:r>
                    <w:rPr>
                      <w:rFonts w:hint="eastAsia"/>
                      <w:color w:val="auto"/>
                      <w:highlight w:val="none"/>
                    </w:rPr>
                    <w:t>后通过</w:t>
                  </w:r>
                  <w:r>
                    <w:rPr>
                      <w:rFonts w:hint="eastAsia"/>
                      <w:color w:val="auto"/>
                      <w:highlight w:val="none"/>
                      <w:lang w:val="en-US" w:eastAsia="zh-CN"/>
                    </w:rPr>
                    <w:t>1根</w:t>
                  </w:r>
                  <w:r>
                    <w:rPr>
                      <w:rFonts w:hint="eastAsia"/>
                      <w:color w:val="auto"/>
                      <w:highlight w:val="none"/>
                    </w:rPr>
                    <w:t>25m排气筒达标排放</w:t>
                  </w:r>
                  <w:r>
                    <w:rPr>
                      <w:rFonts w:hint="eastAsia"/>
                      <w:color w:val="auto"/>
                      <w:highlight w:val="none"/>
                      <w:lang w:val="en-US" w:eastAsia="zh-CN"/>
                    </w:rPr>
                    <w:t>，</w:t>
                  </w:r>
                  <w:r>
                    <w:rPr>
                      <w:rFonts w:hint="eastAsia"/>
                      <w:color w:val="auto"/>
                      <w:highlight w:val="none"/>
                    </w:rPr>
                    <w:t>风量为</w:t>
                  </w:r>
                  <w:r>
                    <w:rPr>
                      <w:rFonts w:hint="eastAsia"/>
                      <w:color w:val="auto"/>
                      <w:highlight w:val="none"/>
                      <w:lang w:val="en-US" w:eastAsia="zh-CN"/>
                    </w:rPr>
                    <w:t>735</w:t>
                  </w:r>
                  <w:r>
                    <w:rPr>
                      <w:rFonts w:hint="eastAsia"/>
                      <w:color w:val="auto"/>
                      <w:highlight w:val="none"/>
                    </w:rPr>
                    <w:t>00m</w:t>
                  </w:r>
                  <w:r>
                    <w:rPr>
                      <w:rFonts w:hint="eastAsia"/>
                      <w:color w:val="auto"/>
                      <w:highlight w:val="none"/>
                      <w:vertAlign w:val="superscript"/>
                    </w:rPr>
                    <w:t>3</w:t>
                  </w:r>
                  <w:r>
                    <w:rPr>
                      <w:rFonts w:hint="eastAsia"/>
                      <w:color w:val="auto"/>
                      <w:highlight w:val="none"/>
                    </w:rPr>
                    <w:t>/h</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eastAsia="宋体"/>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6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274"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664"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414"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lang w:val="en-US" w:eastAsia="zh-CN"/>
                    </w:rPr>
                    <w:t>研发</w:t>
                  </w:r>
                  <w:r>
                    <w:rPr>
                      <w:rFonts w:hint="eastAsia"/>
                      <w:color w:val="auto"/>
                      <w:highlight w:val="none"/>
                    </w:rPr>
                    <w:t>实验室废气</w:t>
                  </w:r>
                  <w:r>
                    <w:rPr>
                      <w:rFonts w:hint="eastAsia"/>
                      <w:color w:val="auto"/>
                      <w:highlight w:val="none"/>
                      <w:lang w:val="en-US" w:eastAsia="zh-CN"/>
                    </w:rPr>
                    <w:t>经</w:t>
                  </w:r>
                  <w:r>
                    <w:rPr>
                      <w:rFonts w:hint="eastAsia"/>
                      <w:color w:val="auto"/>
                      <w:highlight w:val="none"/>
                    </w:rPr>
                    <w:t>集气柜收集后通过25m排气筒达标排放</w:t>
                  </w:r>
                </w:p>
              </w:tc>
              <w:tc>
                <w:tcPr>
                  <w:tcW w:w="2217"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514"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807"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9921" w:type="dxa"/>
                  <w:gridSpan w:val="5"/>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jc w:val="both"/>
                    <w:textAlignment w:val="auto"/>
                    <w:rPr>
                      <w:color w:val="auto"/>
                      <w:highlight w:val="none"/>
                    </w:rPr>
                  </w:pPr>
                  <w:r>
                    <w:rPr>
                      <w:rFonts w:hint="eastAsia"/>
                      <w:color w:val="auto"/>
                      <w:highlight w:val="none"/>
                    </w:rPr>
                    <w:t>食堂油烟：油烟净化装置处理后屋顶排放</w:t>
                  </w:r>
                </w:p>
              </w:tc>
              <w:tc>
                <w:tcPr>
                  <w:tcW w:w="2217"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lang w:val="en-US" w:eastAsia="zh-CN"/>
                    </w:rPr>
                    <w:t>/</w:t>
                  </w:r>
                </w:p>
              </w:tc>
            </w:tr>
          </w:tbl>
          <w:p>
            <w:pPr>
              <w:pStyle w:val="25"/>
              <w:jc w:val="both"/>
              <w:rPr>
                <w:rFonts w:ascii="黑体" w:hAnsi="黑体" w:eastAsia="黑体"/>
                <w:snapToGrid w:val="0"/>
                <w:color w:val="auto"/>
                <w:sz w:val="36"/>
                <w:szCs w:val="36"/>
                <w:highlight w:val="none"/>
                <w:vertAlign w:val="baseline"/>
              </w:rPr>
            </w:pPr>
          </w:p>
        </w:tc>
      </w:tr>
    </w:tbl>
    <w:p>
      <w:pPr>
        <w:pStyle w:val="25"/>
        <w:jc w:val="both"/>
        <w:rPr>
          <w:rFonts w:ascii="黑体" w:hAnsi="黑体" w:eastAsia="黑体"/>
          <w:snapToGrid w:val="0"/>
          <w:color w:val="auto"/>
          <w:sz w:val="36"/>
          <w:szCs w:val="36"/>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8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0" w:hRule="atLeast"/>
        </w:trPr>
        <w:tc>
          <w:tcPr>
            <w:tcW w:w="849" w:type="dxa"/>
          </w:tcPr>
          <w:p>
            <w:pPr>
              <w:pStyle w:val="25"/>
              <w:jc w:val="center"/>
              <w:outlineLvl w:val="0"/>
              <w:rPr>
                <w:rFonts w:hint="eastAsia" w:ascii="黑体" w:hAnsi="黑体" w:eastAsia="黑体"/>
                <w:snapToGrid w:val="0"/>
                <w:color w:val="auto"/>
                <w:sz w:val="30"/>
                <w:szCs w:val="30"/>
                <w:highlight w:val="none"/>
                <w:vertAlign w:val="baseline"/>
              </w:rPr>
            </w:pPr>
          </w:p>
        </w:tc>
        <w:tc>
          <w:tcPr>
            <w:tcW w:w="8670" w:type="dxa"/>
          </w:tcPr>
          <w:p>
            <w:pPr>
              <w:pStyle w:val="66"/>
              <w:numPr>
                <w:ilvl w:val="3"/>
                <w:numId w:val="0"/>
              </w:numPr>
              <w:rPr>
                <w:color w:val="auto"/>
                <w:highlight w:val="none"/>
              </w:rPr>
            </w:pPr>
            <w:r>
              <w:rPr>
                <w:rFonts w:hint="eastAsia"/>
                <w:color w:val="auto"/>
                <w:highlight w:val="none"/>
              </w:rPr>
              <w:t>2.5.2现有工程工艺流程和产污环节</w:t>
            </w:r>
          </w:p>
          <w:p>
            <w:pPr>
              <w:pStyle w:val="72"/>
              <w:ind w:firstLine="480"/>
              <w:rPr>
                <w:rFonts w:hint="eastAsia"/>
                <w:color w:val="auto"/>
                <w:highlight w:val="none"/>
              </w:rPr>
            </w:pPr>
            <w:r>
              <w:rPr>
                <w:rFonts w:hint="eastAsia"/>
                <w:color w:val="auto"/>
                <w:highlight w:val="none"/>
              </w:rPr>
              <w:t>现有工程</w:t>
            </w:r>
            <w:r>
              <w:rPr>
                <w:rFonts w:hint="eastAsia"/>
                <w:color w:val="auto"/>
                <w:highlight w:val="none"/>
                <w:lang w:val="en-US" w:eastAsia="zh-CN"/>
              </w:rPr>
              <w:t>平面溅射靶材</w:t>
            </w:r>
            <w:r>
              <w:rPr>
                <w:rFonts w:hint="eastAsia"/>
                <w:color w:val="auto"/>
                <w:highlight w:val="none"/>
              </w:rPr>
              <w:t>铝靶材、钼靶</w:t>
            </w:r>
            <w:r>
              <w:rPr>
                <w:rFonts w:hint="eastAsia"/>
                <w:color w:val="auto"/>
                <w:highlight w:val="none"/>
                <w:lang w:val="en-US" w:eastAsia="zh-CN"/>
              </w:rPr>
              <w:t>材</w:t>
            </w:r>
            <w:r>
              <w:rPr>
                <w:rFonts w:hint="eastAsia"/>
                <w:color w:val="auto"/>
                <w:highlight w:val="none"/>
              </w:rPr>
              <w:t>生产</w:t>
            </w:r>
            <w:r>
              <w:rPr>
                <w:rFonts w:hint="eastAsia"/>
                <w:color w:val="auto"/>
                <w:highlight w:val="none"/>
                <w:lang w:val="en-US" w:eastAsia="zh-CN"/>
              </w:rPr>
              <w:t>线拟搬至四期，其生产工艺流程</w:t>
            </w:r>
            <w:r>
              <w:rPr>
                <w:rFonts w:hint="eastAsia"/>
                <w:color w:val="auto"/>
                <w:highlight w:val="none"/>
              </w:rPr>
              <w:t>及产污环节见图2.</w:t>
            </w:r>
            <w:r>
              <w:rPr>
                <w:rFonts w:hint="eastAsia"/>
                <w:color w:val="auto"/>
                <w:highlight w:val="none"/>
                <w:lang w:val="en-US" w:eastAsia="zh-CN"/>
              </w:rPr>
              <w:t>4</w:t>
            </w:r>
            <w:r>
              <w:rPr>
                <w:rFonts w:hint="eastAsia"/>
                <w:color w:val="auto"/>
                <w:highlight w:val="none"/>
              </w:rPr>
              <w:t>-1</w:t>
            </w:r>
            <w:r>
              <w:rPr>
                <w:rFonts w:hint="eastAsia"/>
                <w:color w:val="auto"/>
                <w:highlight w:val="none"/>
                <w:lang w:eastAsia="zh-CN"/>
              </w:rPr>
              <w:t>、</w:t>
            </w:r>
            <w:r>
              <w:rPr>
                <w:rFonts w:hint="eastAsia"/>
                <w:color w:val="auto"/>
                <w:highlight w:val="none"/>
                <w:lang w:val="en-US" w:eastAsia="zh-CN"/>
              </w:rPr>
              <w:t>图2.4-3</w:t>
            </w:r>
            <w:r>
              <w:rPr>
                <w:rFonts w:hint="eastAsia"/>
                <w:color w:val="auto"/>
                <w:highlight w:val="none"/>
              </w:rPr>
              <w:t>，</w:t>
            </w:r>
            <w:r>
              <w:rPr>
                <w:rFonts w:hint="eastAsia"/>
                <w:color w:val="auto"/>
                <w:highlight w:val="none"/>
                <w:lang w:val="en-US" w:eastAsia="zh-CN"/>
              </w:rPr>
              <w:t>旋转</w:t>
            </w:r>
            <w:r>
              <w:rPr>
                <w:rFonts w:hint="eastAsia"/>
                <w:color w:val="auto"/>
                <w:highlight w:val="none"/>
              </w:rPr>
              <w:t>硅靶材生产工艺流程及产污环节见图2.5-</w:t>
            </w:r>
            <w:r>
              <w:rPr>
                <w:rFonts w:hint="eastAsia"/>
                <w:color w:val="auto"/>
                <w:highlight w:val="none"/>
                <w:lang w:val="en-US" w:eastAsia="zh-CN"/>
              </w:rPr>
              <w:t>1</w:t>
            </w:r>
            <w:r>
              <w:rPr>
                <w:rFonts w:hint="eastAsia"/>
                <w:color w:val="auto"/>
                <w:highlight w:val="none"/>
              </w:rPr>
              <w:t>，超高清显示用铜靶材生产工艺</w:t>
            </w:r>
            <w:r>
              <w:rPr>
                <w:rFonts w:hint="eastAsia"/>
                <w:color w:val="auto"/>
                <w:highlight w:val="none"/>
                <w:lang w:val="en-US" w:eastAsia="zh-CN"/>
              </w:rPr>
              <w:t>见图2.5-2，</w:t>
            </w:r>
            <w:r>
              <w:rPr>
                <w:rFonts w:hint="eastAsia"/>
                <w:color w:val="auto"/>
                <w:highlight w:val="none"/>
              </w:rPr>
              <w:t>高纯钼硅靶材生产工艺流程及产污环节见图2.5-</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高纯钨合金靶材生产工艺流程及产污环节见图2.5-</w:t>
            </w:r>
            <w:r>
              <w:rPr>
                <w:rFonts w:hint="eastAsia"/>
                <w:color w:val="auto"/>
                <w:highlight w:val="none"/>
                <w:lang w:val="en-US" w:eastAsia="zh-CN"/>
              </w:rPr>
              <w:t>4，</w:t>
            </w:r>
            <w:r>
              <w:rPr>
                <w:rFonts w:hint="eastAsia"/>
                <w:color w:val="auto"/>
                <w:highlight w:val="none"/>
              </w:rPr>
              <w:t>氧化铟粉体</w:t>
            </w:r>
            <w:r>
              <w:rPr>
                <w:rFonts w:hint="eastAsia"/>
                <w:color w:val="auto"/>
                <w:highlight w:val="none"/>
                <w:lang w:eastAsia="zh-CN"/>
              </w:rPr>
              <w:t>、</w:t>
            </w:r>
            <w:r>
              <w:rPr>
                <w:rFonts w:hint="eastAsia"/>
                <w:color w:val="auto"/>
                <w:highlight w:val="none"/>
              </w:rPr>
              <w:t>氧化锡粉体</w:t>
            </w:r>
            <w:r>
              <w:rPr>
                <w:rFonts w:hint="eastAsia"/>
                <w:color w:val="auto"/>
                <w:highlight w:val="none"/>
                <w:lang w:val="en-US" w:eastAsia="zh-CN"/>
              </w:rPr>
              <w:t>生产工艺流程</w:t>
            </w:r>
            <w:r>
              <w:rPr>
                <w:rFonts w:hint="eastAsia"/>
                <w:color w:val="auto"/>
                <w:highlight w:val="none"/>
              </w:rPr>
              <w:t>及产污环节</w:t>
            </w:r>
            <w:r>
              <w:rPr>
                <w:rFonts w:hint="eastAsia"/>
                <w:color w:val="auto"/>
                <w:highlight w:val="none"/>
                <w:lang w:val="en-US" w:eastAsia="zh-CN"/>
              </w:rPr>
              <w:t>见图2.5-5</w:t>
            </w:r>
            <w:r>
              <w:rPr>
                <w:rFonts w:hint="eastAsia"/>
                <w:color w:val="auto"/>
                <w:highlight w:val="none"/>
              </w:rPr>
              <w:t>，ITO粉体</w:t>
            </w:r>
            <w:r>
              <w:rPr>
                <w:rFonts w:hint="eastAsia"/>
                <w:color w:val="auto"/>
                <w:highlight w:val="none"/>
                <w:lang w:val="en-US" w:eastAsia="zh-CN"/>
              </w:rPr>
              <w:t>生产工艺流程</w:t>
            </w:r>
            <w:r>
              <w:rPr>
                <w:rFonts w:hint="eastAsia"/>
                <w:color w:val="auto"/>
                <w:highlight w:val="none"/>
              </w:rPr>
              <w:t>及产污环节</w:t>
            </w:r>
            <w:r>
              <w:rPr>
                <w:rFonts w:hint="eastAsia"/>
                <w:color w:val="auto"/>
                <w:highlight w:val="none"/>
                <w:lang w:val="en-US" w:eastAsia="zh-CN"/>
              </w:rPr>
              <w:t>见图2.5-6</w:t>
            </w:r>
            <w:r>
              <w:rPr>
                <w:rFonts w:hint="eastAsia"/>
                <w:color w:val="auto"/>
                <w:highlight w:val="none"/>
              </w:rPr>
              <w:t>。</w:t>
            </w:r>
          </w:p>
          <w:p>
            <w:pPr>
              <w:pStyle w:val="68"/>
              <w:rPr>
                <w:color w:val="auto"/>
                <w:highlight w:val="none"/>
              </w:rPr>
            </w:pPr>
            <w:r>
              <w:rPr>
                <w:color w:val="auto"/>
                <w:highlight w:val="none"/>
              </w:rPr>
              <w:object>
                <v:shape id="_x0000_i1025" o:spt="75" type="#_x0000_t75" style="height:520.3pt;width:322.65pt;" o:ole="t" filled="f" o:preferrelative="t" stroked="f" coordsize="21600,21600">
                  <v:path/>
                  <v:fill on="f" focussize="0,0"/>
                  <v:stroke on="f" joinstyle="miter"/>
                  <v:imagedata r:id="rId17" cropright="9123f" o:title=""/>
                  <o:lock v:ext="edit" aspectratio="f"/>
                  <w10:wrap type="none"/>
                  <w10:anchorlock/>
                </v:shape>
                <o:OLEObject Type="Embed" ProgID="Visio.DrawingConvertable.15" ShapeID="_x0000_i1025" DrawAspect="Content" ObjectID="_1468075725" r:id="rId16">
                  <o:LockedField>false</o:LockedField>
                </o:OLEObject>
              </w:object>
            </w:r>
          </w:p>
          <w:p>
            <w:pPr>
              <w:pStyle w:val="68"/>
              <w:rPr>
                <w:rFonts w:hint="eastAsia"/>
                <w:color w:val="auto"/>
                <w:highlight w:val="none"/>
              </w:rPr>
            </w:pPr>
            <w:r>
              <w:rPr>
                <w:rFonts w:hint="eastAsia"/>
                <w:color w:val="auto"/>
                <w:highlight w:val="none"/>
              </w:rPr>
              <w:t>图2.5-</w:t>
            </w:r>
            <w:r>
              <w:rPr>
                <w:rFonts w:hint="eastAsia"/>
                <w:color w:val="auto"/>
                <w:highlight w:val="none"/>
                <w:lang w:val="en-US" w:eastAsia="zh-CN"/>
              </w:rPr>
              <w:t>1旋转</w:t>
            </w:r>
            <w:r>
              <w:rPr>
                <w:rFonts w:hint="eastAsia"/>
                <w:color w:val="auto"/>
                <w:highlight w:val="none"/>
              </w:rPr>
              <w:t>硅靶材生产工艺流程及产污环节示意图</w:t>
            </w:r>
          </w:p>
          <w:p>
            <w:pPr>
              <w:pStyle w:val="68"/>
              <w:rPr>
                <w:rFonts w:hint="eastAsia" w:eastAsia="黑体"/>
                <w:color w:val="auto"/>
                <w:highlight w:val="none"/>
                <w:lang w:eastAsia="zh-CN"/>
              </w:rPr>
            </w:pPr>
            <w:r>
              <w:rPr>
                <w:rFonts w:hint="eastAsia"/>
                <w:color w:val="auto"/>
                <w:highlight w:val="none"/>
                <w:lang w:eastAsia="zh-CN"/>
              </w:rPr>
              <w:t>（</w:t>
            </w:r>
            <w:r>
              <w:rPr>
                <w:rFonts w:hint="eastAsia"/>
                <w:color w:val="auto"/>
                <w:highlight w:val="none"/>
                <w:lang w:val="en-US" w:eastAsia="zh-CN"/>
              </w:rPr>
              <w:t>保留在现有1#楼A厂房1楼、3楼</w:t>
            </w:r>
            <w:r>
              <w:rPr>
                <w:rFonts w:hint="eastAsia"/>
                <w:color w:val="auto"/>
                <w:highlight w:val="none"/>
                <w:lang w:eastAsia="zh-CN"/>
              </w:rPr>
              <w:t>）</w:t>
            </w:r>
          </w:p>
          <w:p>
            <w:pPr>
              <w:pStyle w:val="72"/>
              <w:ind w:firstLine="480"/>
              <w:rPr>
                <w:rFonts w:hint="eastAsia"/>
                <w:color w:val="auto"/>
                <w:highlight w:val="none"/>
              </w:rPr>
            </w:pPr>
          </w:p>
          <w:p>
            <w:pPr>
              <w:pStyle w:val="72"/>
              <w:ind w:firstLine="480"/>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color w:val="auto"/>
                <w:highlight w:val="none"/>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1605280</wp:posOffset>
                      </wp:positionH>
                      <wp:positionV relativeFrom="paragraph">
                        <wp:posOffset>6480175</wp:posOffset>
                      </wp:positionV>
                      <wp:extent cx="1113790" cy="502920"/>
                      <wp:effectExtent l="0" t="0" r="0" b="0"/>
                      <wp:wrapNone/>
                      <wp:docPr id="123" name="矩形 123"/>
                      <wp:cNvGraphicFramePr/>
                      <a:graphic xmlns:a="http://schemas.openxmlformats.org/drawingml/2006/main">
                        <a:graphicData uri="http://schemas.microsoft.com/office/word/2010/wordprocessingShape">
                          <wps:wsp>
                            <wps:cNvSpPr/>
                            <wps:spPr>
                              <a:xfrm>
                                <a:off x="3388360" y="8041005"/>
                                <a:ext cx="1113790" cy="50292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2E75B6" w:themeColor="accent1" w:themeShade="BF"/>
                                      <w:highlight w:val="none"/>
                                      <w:lang w:val="en-US" w:eastAsia="zh-CN"/>
                                    </w:rPr>
                                  </w:pPr>
                                  <w:r>
                                    <w:rPr>
                                      <w:rFonts w:hint="eastAsia"/>
                                      <w:color w:val="2E75B6" w:themeColor="accent1" w:themeShade="BF"/>
                                      <w:highlight w:val="none"/>
                                      <w:lang w:val="en-US" w:eastAsia="zh-CN"/>
                                    </w:rPr>
                                    <w:t>废无尘布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4pt;margin-top:510.25pt;height:39.6pt;width:87.7pt;z-index:251663360;v-text-anchor:middle;mso-width-relative:page;mso-height-relative:page;" filled="f" stroked="f" coordsize="21600,21600" o:gfxdata="UEsDBAoAAAAAAIdO4kAAAAAAAAAAAAAAAAAEAAAAZHJzL1BLAwQUAAAACACHTuJAgfDhxdoAAAAN&#10;AQAADwAAAGRycy9kb3ducmV2LnhtbE2PwU7DMBBE70j8g7VI3Khdi0KaxqkEEkKoB9QCd8d2k6jx&#10;OoqdpP17tic4zs5o5m2xPfuOTW6IbUAFy4UA5tAE22Kt4Pvr7SEDFpNGq7uATsHFRdiWtzeFzm2Y&#10;ce+mQ6oZlWDMtYImpT7nPJrGeR0XoXdI3jEMXieSQ83toGcq9x2XQjxxr1ukhUb37rVx5nQYvYKf&#10;cHyZvanwY7p8tuP7bjAm2yl1f7cUG2DJndNfGK74hA4lMVVhRBtZp0CuJKEnMoQUK2AUeZSZBFZd&#10;T+v1M/Cy4P+/KH8BUEsDBBQAAAAIAIdO4kB7HqUqbQIAAL0EAAAOAAAAZHJzL2Uyb0RvYy54bWyt&#10;VEtu2zAQ3RfoHQjuG0m2kzhG5MCIkaJA0ARIi65pirII8FeS/qSXKdBdD5HjFL1GHyklMdIusqgX&#10;0pAzfjPz5o3OL/Zaka3wQVpT0+qopEQYbhtp1jX9/Onq3ZSSEJlpmLJG1PReBHoxf/vmfOdmYmQ7&#10;qxrhCUBMmO1cTbsY3awoAu+EZuHIOmHgbK3XLOLo10Xj2Q7oWhWjsjwpdtY3zlsuQsDtsnfSAdG/&#10;BtC2reRiaflGCxN7VC8Ui2gpdNIFOs/Vtq3g8aZtg4hE1RSdxvxEEtir9Czm52y29sx1kg8lsNeU&#10;8KInzaRB0ieoJYuMbLz8C0pL7m2wbTziVhd9I5kRdFGVL7i565gTuRdQHdwT6eH/wfKP21tPZAMl&#10;jMaUGKYx8t/ff/56+EHSDfjZuTBD2J279cMpwEzN7luv0xttkH1Nx+PpdHwCZu9rOi0nVVke9/yK&#10;fSQcAVVVjU/PEMARcVyOzkZ5AMUzkvMhvhdWk2TU1GN+mVa2vQ4R2RH6GJISG3sllcozVIbsUhOn&#10;ZcJnEGYLQcDUDs0Fs6aEqTUUz6PPkAf/TZBLFjqyZZBJsEo2feFaRmhdSZ0aSr90jRqUwSvx0jOR&#10;rLhf7Qd6Vra5B6ne9moLjl9JZLhmId4yD3mhQixgvMGjVRZl28GipLP+27/uUzymDi8lO8gVZX7d&#10;MC8oUR8M9HBWTSaAjfkwOT4Fs8QfelaHHrPRlxatVlh1x7OZ4qN6NFtv9Rfs6SJlhYsZjtw9ecPh&#10;MvZrhE3nYrHIYdC0Y/Ha3DmewPsRLTbRtjJPLxHVszPwB1VnQocNTGtzeM5Rz1+d+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B8OHF2gAAAA0BAAAPAAAAAAAAAAEAIAAAACIAAABkcnMvZG93bnJl&#10;di54bWxQSwECFAAUAAAACACHTuJAex6lKm0CAAC9BAAADgAAAAAAAAABACAAAAApAQAAZHJzL2Uy&#10;b0RvYy54bWxQSwUGAAAAAAYABgBZAQAACAYAAAAA&#10;">
                      <v:fill on="f" focussize="0,0"/>
                      <v:stroke on="f" weight="1pt" miterlimit="8" joinstyle="miter"/>
                      <v:imagedata o:title=""/>
                      <o:lock v:ext="edit" aspectratio="f"/>
                      <v:textbox>
                        <w:txbxContent>
                          <w:p>
                            <w:pPr>
                              <w:jc w:val="center"/>
                              <w:rPr>
                                <w:rFonts w:hint="default" w:eastAsia="宋体"/>
                                <w:color w:val="2E75B6" w:themeColor="accent1" w:themeShade="BF"/>
                                <w:highlight w:val="none"/>
                                <w:lang w:val="en-US" w:eastAsia="zh-CN"/>
                              </w:rPr>
                            </w:pPr>
                            <w:r>
                              <w:rPr>
                                <w:rFonts w:hint="eastAsia"/>
                                <w:color w:val="2E75B6" w:themeColor="accent1" w:themeShade="BF"/>
                                <w:highlight w:val="none"/>
                                <w:lang w:val="en-US" w:eastAsia="zh-CN"/>
                              </w:rPr>
                              <w:t>废无尘布</w:t>
                            </w:r>
                          </w:p>
                        </w:txbxContent>
                      </v:textbox>
                    </v:rect>
                  </w:pict>
                </mc:Fallback>
              </mc:AlternateContent>
            </w: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1289050</wp:posOffset>
                      </wp:positionH>
                      <wp:positionV relativeFrom="paragraph">
                        <wp:posOffset>6722110</wp:posOffset>
                      </wp:positionV>
                      <wp:extent cx="490220" cy="0"/>
                      <wp:effectExtent l="0" t="38100" r="5080" b="38100"/>
                      <wp:wrapNone/>
                      <wp:docPr id="122" name="直接箭头连接符 122"/>
                      <wp:cNvGraphicFramePr/>
                      <a:graphic xmlns:a="http://schemas.openxmlformats.org/drawingml/2006/main">
                        <a:graphicData uri="http://schemas.microsoft.com/office/word/2010/wordprocessingShape">
                          <wps:wsp>
                            <wps:cNvCnPr/>
                            <wps:spPr>
                              <a:xfrm>
                                <a:off x="2762250" y="8141970"/>
                                <a:ext cx="490220" cy="0"/>
                              </a:xfrm>
                              <a:prstGeom prst="straightConnector1">
                                <a:avLst/>
                              </a:prstGeom>
                              <a:ln w="6350" cap="flat" cmpd="sng" algn="ctr">
                                <a:solidFill>
                                  <a:schemeClr val="accent1"/>
                                </a:solidFill>
                                <a:prstDash val="dash"/>
                                <a:miter lim="800000"/>
                                <a:headEnd type="none"/>
                                <a:tailEnd type="triangle"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1.5pt;margin-top:529.3pt;height:0pt;width:38.6pt;z-index:251662336;mso-width-relative:page;mso-height-relative:page;" filled="f" stroked="t" coordsize="21600,21600" o:gfxdata="UEsDBAoAAAAAAIdO4kAAAAAAAAAAAAAAAAAEAAAAZHJzL1BLAwQUAAAACACHTuJAbF899NcAAAAN&#10;AQAADwAAAGRycy9kb3ducmV2LnhtbE2PzU7DMBCE70i8g7VI3KhdUyorxKnE36UcUAoP4MZLEhGv&#10;o9ht07dnOSA47sxo9ptyM4dBHHFKfSQLy4UCgdRE31Nr4eP95caASNmRd0MktHDGBJvq8qJ0hY8n&#10;qvG4y63gEkqFs9DlPBZSpqbD4NIijkjsfcYpuMzn1Eo/uROXh0FqpdYyuJ74Q+dGfOyw+dodggVT&#10;1zNFfQ6rh6e3/tWstvOz2Vp7fbVU9yAyzvkvDD/4jA4VM+3jgXwSgwWtbnlLZkPdmTUIjmijNIj9&#10;rySrUv5fUX0DUEsDBBQAAAAIAIdO4kDaxtdzLQIAABkEAAAOAAAAZHJzL2Uyb0RvYy54bWytU81u&#10;EzEQviPxDpbvZJOlSZsom0pNKBcEkYAHcGzvriX/aexmk5fgBZA4AafCqXeeBspjMPaGBsqlB3LY&#10;jMczn7/v83h+vjOabCUE5WxFR4MhJdJyJ5RtKvr2zeWTM0pCZFYw7ays6F4Ger54/Gje+ZksXeu0&#10;kEAQxIZZ5yvaxuhnRRF4Kw0LA+elxc3agWERl9AUAliH6EYX5XA4KToHwoPjMgTMrvpNekCEhwC6&#10;ulZcrhy/MtLGHhWkZhElhVb5QBeZbV1LHl/VdZCR6Iqi0pi/eAjGm/QtFnM2a4D5VvEDBfYQCvc0&#10;GaYsHnoHtWKRkStQ/0AZxcEFV8cBd6bohWRHUMVoeM+b1y3zMmtBq4O/Mz38P1j+crsGogROQllS&#10;YpnBK799f/Pj3afbr1++f7z5+e1Diq8/k1SAdnU+zLBraddwWAW/hqR9V4NJ/6iK7Cpank7KcoxG&#10;7yt6NjoZTU8PdstdJBwLTqbDssR9jgV5qzhieAjxuXSGpKCiIQJTTRuXzlq8Uwej7DbbvggRWWDj&#10;74ZEwLpLpXW+Wm1JV9HJ08SDMxzXGscEQ+NRcrANJUw3+A54hIwYnFYidSecAM1mqYFsGU7P+GJ6&#10;sRonB/C0v8rS0SsW2r5OYNSPlVERX4pWBvUP069Pt5KJZ1aQuPfotcVH1ucjU/qYj6CYbbSkib+R&#10;ghItkWeKegraIpN0Gb39Kdo4sc+3kvM4MZnrYbrTSP65zt3HF73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xfPfTXAAAADQEAAA8AAAAAAAAAAQAgAAAAIgAAAGRycy9kb3ducmV2LnhtbFBLAQIU&#10;ABQAAAAIAIdO4kDaxtdzLQIAABkEAAAOAAAAAAAAAAEAIAAAACYBAABkcnMvZTJvRG9jLnhtbFBL&#10;BQYAAAAABgAGAFkBAADFBQAAAAA=&#10;">
                      <v:fill on="f" focussize="0,0"/>
                      <v:stroke weight="0.5pt" color="#5B9BD5 [3204]" miterlimit="8" joinstyle="miter" dashstyle="dash" endarrow="block"/>
                      <v:imagedata o:title=""/>
                      <o:lock v:ext="edit" aspectratio="f"/>
                    </v:shape>
                  </w:pict>
                </mc:Fallback>
              </mc:AlternateContent>
            </w:r>
            <w:r>
              <w:rPr>
                <w:rFonts w:hint="eastAsia"/>
                <w:color w:val="auto"/>
                <w:highlight w:val="none"/>
              </w:rPr>
              <w:object>
                <v:shape id="_x0000_i1026" o:spt="75" type="#_x0000_t75" style="height:590.3pt;width:377.9pt;" o:ole="t" filled="f" o:preferrelative="t" stroked="f" coordsize="21600,21600">
                  <v:path/>
                  <v:fill on="f" focussize="0,0"/>
                  <v:stroke on="f"/>
                  <v:imagedata r:id="rId19" o:title=""/>
                  <o:lock v:ext="edit" aspectratio="f"/>
                  <w10:wrap type="none"/>
                  <w10:anchorlock/>
                </v:shape>
                <o:OLEObject Type="Embed" ProgID="Visio.DrawingConvertable.15" ShapeID="_x0000_i1026" DrawAspect="Content" ObjectID="_1468075726" r:id="rId18">
                  <o:LockedField>false</o:LockedField>
                </o:OLEObject>
              </w:object>
            </w:r>
          </w:p>
          <w:p>
            <w:pPr>
              <w:pStyle w:val="68"/>
              <w:rPr>
                <w:rFonts w:hint="eastAsia"/>
                <w:color w:val="auto"/>
                <w:highlight w:val="none"/>
              </w:rPr>
            </w:pPr>
            <w:r>
              <w:rPr>
                <w:rFonts w:hint="eastAsia"/>
                <w:color w:val="auto"/>
                <w:highlight w:val="none"/>
              </w:rPr>
              <w:t>图2.5-</w:t>
            </w:r>
            <w:r>
              <w:rPr>
                <w:rFonts w:hint="eastAsia"/>
                <w:color w:val="auto"/>
                <w:highlight w:val="none"/>
                <w:lang w:val="en-US" w:eastAsia="zh-CN"/>
              </w:rPr>
              <w:t>2</w:t>
            </w:r>
            <w:r>
              <w:rPr>
                <w:rFonts w:hint="eastAsia"/>
                <w:color w:val="auto"/>
                <w:highlight w:val="none"/>
              </w:rPr>
              <w:t>超高清显示用铜靶材生产工艺流程图</w:t>
            </w:r>
          </w:p>
          <w:p>
            <w:pPr>
              <w:pStyle w:val="68"/>
              <w:rPr>
                <w:color w:val="auto"/>
                <w:highlight w:val="none"/>
              </w:rPr>
            </w:pPr>
            <w:r>
              <w:rPr>
                <w:color w:val="auto"/>
                <w:highlight w:val="none"/>
              </w:rPr>
              <w:object>
                <v:shape id="_x0000_i1027" o:spt="75" type="#_x0000_t75" style="height:578.7pt;width:398.05pt;" o:ole="t" filled="f" o:preferrelative="t" stroked="f" coordsize="21600,21600">
                  <v:path/>
                  <v:fill on="f" focussize="0,0"/>
                  <v:stroke on="f" joinstyle="miter"/>
                  <v:imagedata r:id="rId21" o:title=""/>
                  <o:lock v:ext="edit" aspectratio="f"/>
                  <w10:wrap type="none"/>
                  <w10:anchorlock/>
                </v:shape>
                <o:OLEObject Type="Embed" ProgID="Visio.Drawing.15" ShapeID="_x0000_i1027" DrawAspect="Content" ObjectID="_1468075727" r:id="rId20">
                  <o:LockedField>false</o:LockedField>
                </o:OLEObject>
              </w:object>
            </w:r>
          </w:p>
          <w:p>
            <w:pPr>
              <w:pStyle w:val="68"/>
              <w:rPr>
                <w:rFonts w:hint="eastAsia"/>
                <w:color w:val="auto"/>
                <w:highlight w:val="none"/>
              </w:rPr>
            </w:pPr>
            <w:r>
              <w:rPr>
                <w:rFonts w:hint="eastAsia"/>
                <w:color w:val="auto"/>
                <w:highlight w:val="none"/>
              </w:rPr>
              <w:t>图2.5-</w:t>
            </w:r>
            <w:r>
              <w:rPr>
                <w:rFonts w:hint="eastAsia"/>
                <w:color w:val="auto"/>
                <w:highlight w:val="none"/>
                <w:lang w:val="en-US" w:eastAsia="zh-CN"/>
              </w:rPr>
              <w:t>3</w:t>
            </w:r>
            <w:r>
              <w:rPr>
                <w:rFonts w:hint="eastAsia"/>
                <w:color w:val="auto"/>
                <w:highlight w:val="none"/>
              </w:rPr>
              <w:t>高纯钼硅靶材生产工艺流程及产污环节示意图</w:t>
            </w:r>
          </w:p>
          <w:p>
            <w:pPr>
              <w:pStyle w:val="68"/>
              <w:rPr>
                <w:rFonts w:hint="eastAsia"/>
                <w:color w:val="auto"/>
                <w:highlight w:val="none"/>
              </w:rPr>
            </w:pPr>
          </w:p>
          <w:p>
            <w:pPr>
              <w:pStyle w:val="68"/>
              <w:rPr>
                <w:rFonts w:hint="eastAsia"/>
                <w:color w:val="auto"/>
                <w:highlight w:val="none"/>
              </w:rPr>
            </w:pPr>
          </w:p>
          <w:p>
            <w:pPr>
              <w:pStyle w:val="68"/>
              <w:rPr>
                <w:color w:val="auto"/>
                <w:highlight w:val="none"/>
              </w:rPr>
            </w:pPr>
            <w:r>
              <w:rPr>
                <w:rFonts w:hint="eastAsia"/>
                <w:color w:val="auto"/>
                <w:highlight w:val="none"/>
              </w:rPr>
              <w:object>
                <v:shape id="_x0000_i1028" o:spt="75" type="#_x0000_t75" style="height:491.75pt;width:320.6pt;" o:ole="t" filled="f" o:preferrelative="t" stroked="f" coordsize="21600,21600">
                  <v:path/>
                  <v:fill on="f" focussize="0,0"/>
                  <v:stroke on="f" joinstyle="miter"/>
                  <v:imagedata r:id="rId23" cropright="6860f" o:title=""/>
                  <o:lock v:ext="edit" aspectratio="f"/>
                  <w10:wrap type="none"/>
                  <w10:anchorlock/>
                </v:shape>
                <o:OLEObject Type="Embed" ProgID="Visio.Drawing.15" ShapeID="_x0000_i1028" DrawAspect="Content" ObjectID="_1468075728" r:id="rId22">
                  <o:LockedField>false</o:LockedField>
                </o:OLEObject>
              </w:object>
            </w: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r>
              <w:rPr>
                <w:rFonts w:hint="eastAsia"/>
                <w:color w:val="auto"/>
                <w:highlight w:val="none"/>
              </w:rPr>
              <w:t>图2.5-</w:t>
            </w:r>
            <w:r>
              <w:rPr>
                <w:rFonts w:hint="eastAsia"/>
                <w:color w:val="auto"/>
                <w:highlight w:val="none"/>
                <w:lang w:val="en-US" w:eastAsia="zh-CN"/>
              </w:rPr>
              <w:t>4</w:t>
            </w:r>
            <w:r>
              <w:rPr>
                <w:rFonts w:hint="eastAsia"/>
                <w:color w:val="auto"/>
                <w:highlight w:val="none"/>
              </w:rPr>
              <w:t>钨合金靶材生产工艺流程及产污环节示意图</w:t>
            </w: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p>
          <w:p>
            <w:pPr>
              <w:pStyle w:val="68"/>
              <w:rPr>
                <w:rFonts w:hint="eastAsia"/>
                <w:color w:val="auto"/>
                <w:highlight w:val="none"/>
              </w:rPr>
            </w:pPr>
            <w:r>
              <w:rPr>
                <w:color w:val="auto"/>
                <w:sz w:val="28"/>
                <w:highlight w:val="none"/>
              </w:rPr>
              <mc:AlternateContent>
                <mc:Choice Requires="wps">
                  <w:drawing>
                    <wp:anchor distT="0" distB="0" distL="114300" distR="114300" simplePos="0" relativeHeight="251661312" behindDoc="0" locked="0" layoutInCell="1" allowOverlap="1">
                      <wp:simplePos x="0" y="0"/>
                      <wp:positionH relativeFrom="column">
                        <wp:posOffset>1713865</wp:posOffset>
                      </wp:positionH>
                      <wp:positionV relativeFrom="paragraph">
                        <wp:posOffset>160655</wp:posOffset>
                      </wp:positionV>
                      <wp:extent cx="1551305" cy="285750"/>
                      <wp:effectExtent l="0" t="0" r="10795" b="0"/>
                      <wp:wrapNone/>
                      <wp:docPr id="121" name="矩形 121"/>
                      <wp:cNvGraphicFramePr/>
                      <a:graphic xmlns:a="http://schemas.openxmlformats.org/drawingml/2006/main">
                        <a:graphicData uri="http://schemas.microsoft.com/office/word/2010/wordprocessingShape">
                          <wps:wsp>
                            <wps:cNvSpPr/>
                            <wps:spPr>
                              <a:xfrm>
                                <a:off x="3279140" y="1141095"/>
                                <a:ext cx="1551305" cy="28575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金属铟锭或锡锭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95pt;margin-top:12.65pt;height:22.5pt;width:122.15pt;z-index:251661312;v-text-anchor:middle;mso-width-relative:page;mso-height-relative:page;" fillcolor="#FFFFFF [3212]" filled="t" stroked="f" coordsize="21600,21600" o:gfxdata="UEsDBAoAAAAAAIdO4kAAAAAAAAAAAAAAAAAEAAAAZHJzL1BLAwQUAAAACACHTuJAFPuxd9kAAAAJ&#10;AQAADwAAAGRycy9kb3ducmV2LnhtbE2PPU/DMBCGdyT+g3VIbNT5IC0NcTpUYsiABC0DoxsfSUhs&#10;R7bz0X/PMcF2p3v03vMWh1UPbEbnO2sExJsIGJraqs40Aj7OLw9PwHyQRsnBGhRwRQ+H8vamkLmy&#10;i3nH+RQaRiHG51JAG8KYc+7rFrX0GzuioduXdVoGWl3DlZMLheuBJ1G05Vp2hj60csRji3V/mrSA&#10;vqr0tGb1XL297r5Tt1z78+dRiPu7OHoGFnANfzD86pM6lOR0sZNRng0Cku1+TygNWQqMgCx+TIBd&#10;BOyiFHhZ8P8Nyh9QSwMEFAAAAAgAh07iQL9Syjh+AgAA5gQAAA4AAABkcnMvZTJvRG9jLnhtbK1U&#10;S27bMBDdF+gdCO4bSU5cJ0bkwIjhokDQBkiLrmmKsgjwV5K2nF6mQHc9RI9T9Bp9pJRP0y6yqBb0&#10;jDh+b+bNjM4vDlqRvfBBWlPT6qikRBhuG2m2Nf34Yf3qlJIQmWmYskbU9FYEerF4+eK8d3MxsZ1V&#10;jfAEICbMe1fTLkY3L4rAO6FZOLJOGFy21msW4fpt0XjWA12rYlKWr4ve+sZ5y0UIeLsaLumI6J8D&#10;aNtWcrGyfKeFiQOqF4pFlBQ66QJd5GzbVvD4vm2DiETVFJXGfIIE9iadxeKczbeeuU7yMQX2nBSe&#10;1KSZNCC9h1qxyMjOy7+gtOTeBtvGI251MRSSFUEVVflEm5uOOZFrgdTB3Yse/h8sf7e/9kQ2mIRJ&#10;RYlhGi3/9fX7zx/fSHoDfXoX5gi7cdd+9ALMVOyh9Tr9ogxyqOnxZHZWnUDZW6BVJ1V5Nh30FYdI&#10;OAKq6bQ6LqeUcERMTqezaW5A8YDkfIhvhNUkGTX16F+Wle2vQgQ7Qu9CEnGwSjZrqVR2/HZzqTzZ&#10;M/R6nZ9Ej7/8EaYM6VO1sxKZcoYJbjE5MLWDCsFsKWFqi9Xg0WduYxMDkAbuFQvdwJFhhwq1jFgK&#10;JXVNT8v0jMzKIIEk4CBZsuJhcxh13NjmFup7O4xlcHwtUfcVC/GaecwhMsSmxvc4WmWRth0tSjrr&#10;v/zrfYrHeOCWkh5zjZI+75gXlKi3BoODDqUWxeycTGcTOP7xzebxjdnpSws5MRrILpspPqo7s/VW&#10;f8JCLxMrrpjh4B7EG53LOOwbPglcLJc5DMPvWLwyN44n8KStsctdtK3MbU5CDeqM+mH8cyvHVU37&#10;9djPUQ+fp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Puxd9kAAAAJAQAADwAAAAAAAAABACAA&#10;AAAiAAAAZHJzL2Rvd25yZXYueG1sUEsBAhQAFAAAAAgAh07iQL9Syjh+AgAA5gQAAA4AAAAAAAAA&#10;AQAgAAAAKAEAAGRycy9lMm9Eb2MueG1sUEsFBgAAAAAGAAYAWQEAABgGAAAAAA==&#10;">
                      <v:fill on="t" focussize="0,0"/>
                      <v:stroke on="f" weight="1pt" miterlimit="8" joinstyle="miter"/>
                      <v:imagedata o:title=""/>
                      <o:lock v:ext="edit" aspectratio="f"/>
                      <v:textbox>
                        <w:txbxContent>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金属铟锭或锡锭</w:t>
                            </w:r>
                          </w:p>
                        </w:txbxContent>
                      </v:textbox>
                    </v:rect>
                  </w:pict>
                </mc:Fallback>
              </mc:AlternateContent>
            </w:r>
          </w:p>
          <w:p>
            <w:pPr>
              <w:pStyle w:val="64"/>
              <w:numPr>
                <w:ilvl w:val="2"/>
                <w:numId w:val="0"/>
              </w:numPr>
              <w:tabs>
                <w:tab w:val="clear" w:pos="2160"/>
              </w:tabs>
              <w:jc w:val="center"/>
              <w:rPr>
                <w:color w:val="auto"/>
                <w:highlight w:val="none"/>
              </w:rPr>
            </w:pPr>
            <w:r>
              <w:rPr>
                <w:color w:val="auto"/>
                <w:highlight w:val="none"/>
              </w:rPr>
              <w:object>
                <v:shape id="_x0000_i1029" o:spt="75" type="#_x0000_t75" style="height:228.75pt;width:277.5pt;" o:ole="t" filled="f" o:preferrelative="t" stroked="f" coordsize="21600,21600">
                  <v:path/>
                  <v:fill on="f" focussize="0,0"/>
                  <v:stroke on="f" joinstyle="miter"/>
                  <v:imagedata r:id="rId25" cropright="10923f" o:title=""/>
                  <o:lock v:ext="edit" aspectratio="f"/>
                  <w10:wrap type="none"/>
                  <w10:anchorlock/>
                </v:shape>
                <o:OLEObject Type="Embed" ProgID="Visio.DrawingConvertable.15" ShapeID="_x0000_i1029" DrawAspect="Content" ObjectID="_1468075729" r:id="rId24">
                  <o:LockedField>false</o:LockedField>
                </o:OLEObject>
              </w:object>
            </w:r>
          </w:p>
          <w:p>
            <w:pPr>
              <w:pStyle w:val="68"/>
              <w:rPr>
                <w:rFonts w:hint="eastAsia"/>
                <w:color w:val="auto"/>
                <w:highlight w:val="none"/>
              </w:rPr>
            </w:pPr>
            <w:r>
              <w:rPr>
                <w:rFonts w:hint="eastAsia"/>
                <w:color w:val="auto"/>
                <w:highlight w:val="none"/>
              </w:rPr>
              <w:t>图2.</w:t>
            </w: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5</w:t>
            </w:r>
            <w:r>
              <w:rPr>
                <w:rFonts w:hint="eastAsia"/>
                <w:color w:val="auto"/>
                <w:highlight w:val="none"/>
              </w:rPr>
              <w:t>氧化铟粉体生产工艺流程及产污环节示意图</w:t>
            </w:r>
          </w:p>
          <w:p>
            <w:pPr>
              <w:pStyle w:val="68"/>
              <w:rPr>
                <w:color w:val="auto"/>
                <w:highlight w:val="none"/>
              </w:rPr>
            </w:pPr>
            <w:r>
              <w:rPr>
                <w:color w:val="auto"/>
                <w:highlight w:val="none"/>
              </w:rPr>
              <w:object>
                <v:shape id="_x0000_i1030" o:spt="75" type="#_x0000_t75" style="height:236.95pt;width:333pt;" o:ole="t" filled="f" o:preferrelative="t" stroked="f" coordsize="21600,21600">
                  <v:path/>
                  <v:fill on="f" focussize="0,0"/>
                  <v:stroke on="f" joinstyle="miter"/>
                  <v:imagedata r:id="rId27" croptop="10027f" o:title=""/>
                  <o:lock v:ext="edit" aspectratio="f"/>
                  <w10:wrap type="none"/>
                  <w10:anchorlock/>
                </v:shape>
                <o:OLEObject Type="Embed" ProgID="Visio.DrawingConvertable.15" ShapeID="_x0000_i1030" DrawAspect="Content" ObjectID="_1468075730" r:id="rId26">
                  <o:LockedField>false</o:LockedField>
                </o:OLEObject>
              </w:object>
            </w:r>
          </w:p>
          <w:p>
            <w:pPr>
              <w:pStyle w:val="68"/>
              <w:rPr>
                <w:rFonts w:hint="eastAsia"/>
                <w:color w:val="auto"/>
                <w:highlight w:val="none"/>
              </w:rPr>
            </w:pPr>
            <w:r>
              <w:rPr>
                <w:rFonts w:hint="eastAsia"/>
                <w:color w:val="auto"/>
                <w:highlight w:val="none"/>
              </w:rPr>
              <w:t>图2.</w:t>
            </w: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 xml:space="preserve">6 </w:t>
            </w:r>
            <w:r>
              <w:rPr>
                <w:rFonts w:hint="eastAsia" w:hAnsi="宋体"/>
                <w:color w:val="auto"/>
                <w:szCs w:val="24"/>
                <w:highlight w:val="none"/>
              </w:rPr>
              <w:t>ITO回收</w:t>
            </w:r>
            <w:r>
              <w:rPr>
                <w:rFonts w:hint="eastAsia"/>
                <w:color w:val="auto"/>
                <w:highlight w:val="none"/>
              </w:rPr>
              <w:t>粉体生产工艺流程及产污环节示意图</w:t>
            </w:r>
          </w:p>
          <w:p>
            <w:pPr>
              <w:pStyle w:val="68"/>
              <w:rPr>
                <w:rFonts w:hint="eastAsia"/>
                <w:color w:val="auto"/>
                <w:highlight w:val="none"/>
              </w:rPr>
            </w:pPr>
          </w:p>
          <w:p>
            <w:pPr>
              <w:pStyle w:val="66"/>
              <w:numPr>
                <w:ilvl w:val="3"/>
                <w:numId w:val="0"/>
              </w:numPr>
              <w:rPr>
                <w:color w:val="auto"/>
                <w:highlight w:val="none"/>
              </w:rPr>
            </w:pPr>
            <w:r>
              <w:rPr>
                <w:rFonts w:hint="eastAsia"/>
                <w:color w:val="auto"/>
                <w:highlight w:val="none"/>
              </w:rPr>
              <w:t>2.5.3已建项目污染物排放和达标情况说明</w:t>
            </w:r>
          </w:p>
          <w:p>
            <w:pPr>
              <w:pStyle w:val="72"/>
              <w:ind w:firstLine="480"/>
              <w:rPr>
                <w:rFonts w:hint="default"/>
                <w:color w:val="auto"/>
                <w:highlight w:val="none"/>
                <w:lang w:val="en-US" w:eastAsia="zh-CN"/>
              </w:rPr>
            </w:pPr>
            <w:r>
              <w:rPr>
                <w:rFonts w:hint="eastAsia"/>
                <w:color w:val="auto"/>
                <w:highlight w:val="none"/>
                <w:lang w:val="en-US" w:eastAsia="zh-CN"/>
              </w:rPr>
              <w:t>根据调查，全厂已建项目废水、废气等污染物均能达标排放，其中废水排放的水量、水质符合</w:t>
            </w:r>
            <w:r>
              <w:rPr>
                <w:rFonts w:hint="eastAsia"/>
                <w:color w:val="auto"/>
                <w:highlight w:val="none"/>
              </w:rPr>
              <w:t>《</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w:t>
            </w:r>
            <w:r>
              <w:rPr>
                <w:rFonts w:hint="eastAsia"/>
                <w:color w:val="auto"/>
                <w:highlight w:val="none"/>
                <w:lang w:val="en-US" w:eastAsia="zh-CN"/>
              </w:rPr>
              <w:t>及其他相应标准要求，废气排放符合</w:t>
            </w:r>
            <w:r>
              <w:rPr>
                <w:rFonts w:hint="eastAsia" w:ascii="宋体" w:hAnsi="宋体" w:eastAsia="宋体" w:cs="宋体"/>
                <w:color w:val="auto"/>
                <w:highlight w:val="none"/>
                <w:lang w:val="en-US" w:eastAsia="zh-CN"/>
              </w:rPr>
              <w:t>《大气污染物综合排放标准》</w:t>
            </w:r>
            <w:r>
              <w:rPr>
                <w:rFonts w:hint="eastAsia" w:ascii="宋体" w:hAnsi="宋体" w:cs="宋体"/>
                <w:color w:val="auto"/>
                <w:highlight w:val="none"/>
                <w:lang w:val="en-US" w:eastAsia="zh-CN"/>
              </w:rPr>
              <w:t>（</w:t>
            </w:r>
            <w:r>
              <w:rPr>
                <w:rFonts w:hint="default" w:ascii="宋体" w:hAnsi="宋体" w:eastAsia="宋体" w:cs="宋体"/>
                <w:color w:val="auto"/>
                <w:highlight w:val="none"/>
                <w:lang w:val="en-US" w:eastAsia="zh-CN"/>
              </w:rPr>
              <w:t>GB16297-1996</w:t>
            </w:r>
            <w:r>
              <w:rPr>
                <w:rFonts w:hint="eastAsia" w:ascii="宋体" w:hAnsi="宋体" w:cs="宋体"/>
                <w:color w:val="auto"/>
                <w:highlight w:val="none"/>
                <w:lang w:val="en-US" w:eastAsia="zh-CN"/>
              </w:rPr>
              <w:t>）等要求，厂界噪声达标，固体废物分类处置，分别暂存，处置方法等符合相应标准要求。具体如下：</w:t>
            </w:r>
          </w:p>
          <w:p>
            <w:pPr>
              <w:pStyle w:val="72"/>
              <w:ind w:firstLine="480"/>
              <w:rPr>
                <w:rFonts w:hint="default" w:eastAsia="宋体"/>
                <w:color w:val="auto"/>
                <w:highlight w:val="none"/>
                <w:lang w:val="en-US" w:eastAsia="zh-CN"/>
              </w:rPr>
            </w:pPr>
            <w:r>
              <w:rPr>
                <w:rFonts w:hint="eastAsia"/>
                <w:color w:val="auto"/>
                <w:highlight w:val="none"/>
                <w:lang w:val="en-US" w:eastAsia="zh-CN"/>
              </w:rPr>
              <w:t>1、已批已建</w:t>
            </w:r>
            <w:r>
              <w:rPr>
                <w:rFonts w:hint="eastAsia"/>
                <w:color w:val="auto"/>
                <w:highlight w:val="none"/>
              </w:rPr>
              <w:t>平</w:t>
            </w:r>
            <w:r>
              <w:rPr>
                <w:rFonts w:hint="eastAsia"/>
                <w:color w:val="auto"/>
                <w:highlight w:val="none"/>
                <w:lang w:val="en-US" w:eastAsia="zh-CN"/>
              </w:rPr>
              <w:t>板</w:t>
            </w:r>
            <w:r>
              <w:rPr>
                <w:rFonts w:hint="eastAsia"/>
                <w:color w:val="auto"/>
                <w:highlight w:val="none"/>
              </w:rPr>
              <w:t>显示溅射靶材建设项目</w:t>
            </w:r>
            <w:r>
              <w:rPr>
                <w:rFonts w:hint="eastAsia"/>
                <w:color w:val="auto"/>
                <w:highlight w:val="none"/>
                <w:lang w:val="en-US" w:eastAsia="zh-CN"/>
              </w:rPr>
              <w:t>验收情况</w:t>
            </w:r>
          </w:p>
          <w:p>
            <w:pPr>
              <w:pStyle w:val="72"/>
              <w:ind w:firstLine="480"/>
              <w:rPr>
                <w:rFonts w:hint="default" w:eastAsia="宋体"/>
                <w:color w:val="auto"/>
                <w:highlight w:val="none"/>
                <w:lang w:val="en-US" w:eastAsia="zh-CN"/>
              </w:rPr>
            </w:pPr>
            <w:r>
              <w:rPr>
                <w:rFonts w:hint="eastAsia"/>
                <w:color w:val="auto"/>
                <w:highlight w:val="none"/>
                <w:lang w:val="en-US" w:eastAsia="zh-CN"/>
              </w:rPr>
              <w:t>厂区内现有已建项目为平板显示溅射靶材建设项目，于2021年12月由企业自主开展竣工环境保护验收，验收时生产工况为88%~90%。</w:t>
            </w:r>
          </w:p>
          <w:p>
            <w:pPr>
              <w:pStyle w:val="72"/>
              <w:ind w:firstLine="480"/>
              <w:rPr>
                <w:rFonts w:hint="eastAsia" w:eastAsia="宋体"/>
                <w:color w:val="auto"/>
                <w:highlight w:val="none"/>
                <w:lang w:val="en-US" w:eastAsia="zh-CN"/>
              </w:rPr>
            </w:pPr>
            <w:r>
              <w:rPr>
                <w:rFonts w:hint="eastAsia" w:eastAsia="宋体"/>
                <w:color w:val="auto"/>
                <w:highlight w:val="none"/>
                <w:lang w:val="en-US" w:eastAsia="zh-CN"/>
              </w:rPr>
              <w:t>（1）环保设施处理效率监测结果</w:t>
            </w:r>
          </w:p>
          <w:p>
            <w:pPr>
              <w:pStyle w:val="72"/>
              <w:ind w:firstLine="480"/>
              <w:rPr>
                <w:rFonts w:hint="eastAsia" w:eastAsia="宋体"/>
                <w:color w:val="auto"/>
                <w:highlight w:val="none"/>
                <w:lang w:val="en-US" w:eastAsia="zh-CN"/>
              </w:rPr>
            </w:pPr>
            <w:r>
              <w:rPr>
                <w:rFonts w:hint="eastAsia" w:eastAsia="宋体"/>
                <w:color w:val="auto"/>
                <w:highlight w:val="none"/>
                <w:lang w:val="en-US" w:eastAsia="zh-CN"/>
              </w:rPr>
              <w:t>项目粉尘废气采用</w:t>
            </w:r>
            <w:r>
              <w:rPr>
                <w:rFonts w:hint="default" w:eastAsia="宋体"/>
                <w:color w:val="auto"/>
                <w:highlight w:val="none"/>
                <w:lang w:val="en-US" w:eastAsia="zh-CN"/>
              </w:rPr>
              <w:t>“</w:t>
            </w:r>
            <w:r>
              <w:rPr>
                <w:rFonts w:hint="eastAsia" w:eastAsia="宋体"/>
                <w:color w:val="auto"/>
                <w:highlight w:val="none"/>
                <w:lang w:val="en-US" w:eastAsia="zh-CN"/>
              </w:rPr>
              <w:t>喷淋塔</w:t>
            </w:r>
            <w:r>
              <w:rPr>
                <w:rFonts w:hint="default" w:eastAsia="宋体"/>
                <w:color w:val="auto"/>
                <w:highlight w:val="none"/>
                <w:lang w:val="en-US" w:eastAsia="zh-CN"/>
              </w:rPr>
              <w:t>/</w:t>
            </w:r>
            <w:r>
              <w:rPr>
                <w:rFonts w:hint="eastAsia" w:eastAsia="宋体"/>
                <w:color w:val="auto"/>
                <w:highlight w:val="none"/>
                <w:lang w:val="en-US" w:eastAsia="zh-CN"/>
              </w:rPr>
              <w:t>滤筒除尘器</w:t>
            </w:r>
            <w:r>
              <w:rPr>
                <w:rFonts w:hint="default" w:eastAsia="宋体"/>
                <w:color w:val="auto"/>
                <w:highlight w:val="none"/>
                <w:lang w:val="en-US" w:eastAsia="zh-CN"/>
              </w:rPr>
              <w:t>”</w:t>
            </w:r>
            <w:r>
              <w:rPr>
                <w:rFonts w:hint="eastAsia" w:eastAsia="宋体"/>
                <w:color w:val="auto"/>
                <w:highlight w:val="none"/>
                <w:lang w:val="en-US" w:eastAsia="zh-CN"/>
              </w:rPr>
              <w:t>进行处理，采用喷淋塔对颗粒物的去除效率分别为</w:t>
            </w:r>
            <w:r>
              <w:rPr>
                <w:rFonts w:hint="default" w:eastAsia="宋体"/>
                <w:color w:val="auto"/>
                <w:highlight w:val="none"/>
                <w:lang w:val="en-US" w:eastAsia="zh-CN"/>
              </w:rPr>
              <w:t>81.5%</w:t>
            </w:r>
            <w:r>
              <w:rPr>
                <w:rFonts w:hint="eastAsia" w:eastAsia="宋体"/>
                <w:color w:val="auto"/>
                <w:highlight w:val="none"/>
                <w:lang w:val="en-US" w:eastAsia="zh-CN"/>
              </w:rPr>
              <w:t>~84.6%，采用</w:t>
            </w:r>
            <w:r>
              <w:rPr>
                <w:rFonts w:hint="eastAsia"/>
                <w:color w:val="auto"/>
                <w:highlight w:val="none"/>
                <w:lang w:val="en-US" w:eastAsia="zh-CN"/>
              </w:rPr>
              <w:t>滤筒</w:t>
            </w:r>
            <w:r>
              <w:rPr>
                <w:rFonts w:hint="eastAsia" w:eastAsia="宋体"/>
                <w:color w:val="auto"/>
                <w:highlight w:val="none"/>
                <w:lang w:val="en-US" w:eastAsia="zh-CN"/>
              </w:rPr>
              <w:t>除尘</w:t>
            </w:r>
            <w:r>
              <w:rPr>
                <w:rFonts w:hint="eastAsia"/>
                <w:color w:val="auto"/>
                <w:highlight w:val="none"/>
                <w:lang w:val="en-US" w:eastAsia="zh-CN"/>
              </w:rPr>
              <w:t>对</w:t>
            </w:r>
            <w:r>
              <w:rPr>
                <w:rFonts w:hint="eastAsia" w:eastAsia="宋体"/>
                <w:color w:val="auto"/>
                <w:highlight w:val="none"/>
                <w:lang w:val="en-US" w:eastAsia="zh-CN"/>
              </w:rPr>
              <w:t>颗粒物的去除效率为92.5%~92.7%。</w:t>
            </w:r>
          </w:p>
          <w:p>
            <w:pPr>
              <w:pStyle w:val="72"/>
              <w:ind w:firstLine="480"/>
              <w:rPr>
                <w:rFonts w:hint="eastAsia" w:eastAsia="宋体"/>
                <w:color w:val="auto"/>
                <w:highlight w:val="none"/>
                <w:lang w:val="en-US" w:eastAsia="zh-CN"/>
              </w:rPr>
            </w:pPr>
            <w:r>
              <w:rPr>
                <w:rFonts w:hint="eastAsia" w:eastAsia="宋体"/>
                <w:color w:val="auto"/>
                <w:highlight w:val="none"/>
                <w:lang w:val="en-US" w:eastAsia="zh-CN"/>
              </w:rPr>
              <w:t>项目污水处理站采取</w:t>
            </w:r>
            <w:r>
              <w:rPr>
                <w:rFonts w:hint="default" w:eastAsia="宋体"/>
                <w:color w:val="auto"/>
                <w:highlight w:val="none"/>
                <w:lang w:val="en-US" w:eastAsia="zh-CN"/>
              </w:rPr>
              <w:t>“</w:t>
            </w:r>
            <w:r>
              <w:rPr>
                <w:rFonts w:hint="eastAsia" w:eastAsia="宋体"/>
                <w:color w:val="auto"/>
                <w:highlight w:val="none"/>
                <w:lang w:val="en-US" w:eastAsia="zh-CN"/>
              </w:rPr>
              <w:t>混凝沉淀</w:t>
            </w:r>
            <w:r>
              <w:rPr>
                <w:rFonts w:hint="default" w:eastAsia="宋体"/>
                <w:color w:val="auto"/>
                <w:highlight w:val="none"/>
                <w:lang w:val="en-US" w:eastAsia="zh-CN"/>
              </w:rPr>
              <w:t>+</w:t>
            </w:r>
            <w:r>
              <w:rPr>
                <w:rFonts w:hint="eastAsia" w:eastAsia="宋体"/>
                <w:color w:val="auto"/>
                <w:highlight w:val="none"/>
                <w:lang w:val="en-US" w:eastAsia="zh-CN"/>
              </w:rPr>
              <w:t>厌氧</w:t>
            </w:r>
            <w:r>
              <w:rPr>
                <w:rFonts w:hint="default" w:eastAsia="宋体"/>
                <w:color w:val="auto"/>
                <w:highlight w:val="none"/>
                <w:lang w:val="en-US" w:eastAsia="zh-CN"/>
              </w:rPr>
              <w:t>+</w:t>
            </w:r>
            <w:r>
              <w:rPr>
                <w:rFonts w:hint="eastAsia" w:eastAsia="宋体"/>
                <w:color w:val="auto"/>
                <w:highlight w:val="none"/>
                <w:lang w:val="en-US" w:eastAsia="zh-CN"/>
              </w:rPr>
              <w:t>好氧</w:t>
            </w:r>
            <w:r>
              <w:rPr>
                <w:rFonts w:hint="default" w:eastAsia="宋体"/>
                <w:color w:val="auto"/>
                <w:highlight w:val="none"/>
                <w:lang w:val="en-US" w:eastAsia="zh-CN"/>
              </w:rPr>
              <w:t>+</w:t>
            </w:r>
            <w:r>
              <w:rPr>
                <w:rFonts w:hint="eastAsia" w:eastAsia="宋体"/>
                <w:color w:val="auto"/>
                <w:highlight w:val="none"/>
                <w:lang w:val="en-US" w:eastAsia="zh-CN"/>
              </w:rPr>
              <w:t>沉淀</w:t>
            </w:r>
            <w:r>
              <w:rPr>
                <w:rFonts w:hint="default" w:eastAsia="宋体"/>
                <w:color w:val="auto"/>
                <w:highlight w:val="none"/>
                <w:lang w:val="en-US" w:eastAsia="zh-CN"/>
              </w:rPr>
              <w:t>”</w:t>
            </w:r>
            <w:r>
              <w:rPr>
                <w:rFonts w:hint="eastAsia" w:eastAsia="宋体"/>
                <w:color w:val="auto"/>
                <w:highlight w:val="none"/>
                <w:lang w:val="en-US" w:eastAsia="zh-CN"/>
              </w:rPr>
              <w:t>处理工艺对生产废水处理效率</w:t>
            </w:r>
            <w:r>
              <w:rPr>
                <w:rFonts w:hint="default" w:eastAsia="宋体"/>
                <w:color w:val="auto"/>
                <w:highlight w:val="none"/>
                <w:lang w:val="en-US" w:eastAsia="zh-CN"/>
              </w:rPr>
              <w:t>SS69.2%</w:t>
            </w:r>
            <w:r>
              <w:rPr>
                <w:rFonts w:hint="eastAsia" w:eastAsia="宋体"/>
                <w:color w:val="auto"/>
                <w:highlight w:val="none"/>
                <w:lang w:val="en-US" w:eastAsia="zh-CN"/>
              </w:rPr>
              <w:t>~69.6%、</w:t>
            </w:r>
            <w:r>
              <w:rPr>
                <w:rFonts w:hint="default" w:eastAsia="宋体"/>
                <w:color w:val="auto"/>
                <w:highlight w:val="none"/>
                <w:lang w:val="en-US" w:eastAsia="zh-CN"/>
              </w:rPr>
              <w:t>COD50%</w:t>
            </w:r>
            <w:r>
              <w:rPr>
                <w:rFonts w:hint="eastAsia" w:eastAsia="宋体"/>
                <w:color w:val="auto"/>
                <w:highlight w:val="none"/>
                <w:lang w:val="en-US" w:eastAsia="zh-CN"/>
              </w:rPr>
              <w:t>~61.4%、石油类47.4%~</w:t>
            </w:r>
            <w:r>
              <w:rPr>
                <w:rFonts w:hint="default" w:eastAsia="宋体"/>
                <w:color w:val="auto"/>
                <w:highlight w:val="none"/>
                <w:lang w:val="en-US" w:eastAsia="zh-CN"/>
              </w:rPr>
              <w:t>62.4%</w:t>
            </w:r>
            <w:r>
              <w:rPr>
                <w:rFonts w:hint="eastAsia" w:eastAsia="宋体"/>
                <w:color w:val="auto"/>
                <w:highlight w:val="none"/>
                <w:lang w:val="en-US" w:eastAsia="zh-CN"/>
              </w:rPr>
              <w:t>。</w:t>
            </w:r>
          </w:p>
          <w:p>
            <w:pPr>
              <w:pStyle w:val="72"/>
              <w:ind w:firstLine="480"/>
              <w:rPr>
                <w:rFonts w:hint="eastAsia" w:eastAsia="宋体"/>
                <w:color w:val="auto"/>
                <w:highlight w:val="none"/>
                <w:lang w:val="en-US" w:eastAsia="zh-CN"/>
              </w:rPr>
            </w:pPr>
            <w:r>
              <w:rPr>
                <w:rFonts w:hint="eastAsia" w:eastAsia="宋体"/>
                <w:color w:val="auto"/>
                <w:highlight w:val="none"/>
                <w:lang w:val="en-US" w:eastAsia="zh-CN"/>
              </w:rPr>
              <w:t>（2）污染物</w:t>
            </w:r>
            <w:r>
              <w:rPr>
                <w:rFonts w:hint="eastAsia"/>
                <w:color w:val="auto"/>
                <w:highlight w:val="none"/>
                <w:lang w:val="en-US" w:eastAsia="zh-CN"/>
              </w:rPr>
              <w:t>达标</w:t>
            </w:r>
            <w:r>
              <w:rPr>
                <w:rFonts w:hint="eastAsia" w:eastAsia="宋体"/>
                <w:color w:val="auto"/>
                <w:highlight w:val="none"/>
                <w:lang w:val="en-US" w:eastAsia="zh-CN"/>
              </w:rPr>
              <w:t>排放监测结果</w:t>
            </w:r>
          </w:p>
          <w:p>
            <w:pPr>
              <w:pStyle w:val="72"/>
              <w:ind w:firstLine="48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①废水</w:t>
            </w:r>
          </w:p>
          <w:p>
            <w:pPr>
              <w:pStyle w:val="72"/>
              <w:ind w:firstLine="480"/>
              <w:rPr>
                <w:rFonts w:hint="eastAsia" w:eastAsia="宋体"/>
                <w:color w:val="auto"/>
                <w:highlight w:val="none"/>
                <w:lang w:val="en-US" w:eastAsia="zh-CN"/>
              </w:rPr>
            </w:pPr>
            <w:r>
              <w:rPr>
                <w:rFonts w:hint="eastAsia" w:eastAsia="宋体"/>
                <w:color w:val="auto"/>
                <w:highlight w:val="none"/>
                <w:lang w:val="en-US" w:eastAsia="zh-CN"/>
              </w:rPr>
              <w:t>验收监测期间，项目生活污水中主要污染物浓度监测结果两日均值分别为：</w:t>
            </w:r>
            <w:r>
              <w:rPr>
                <w:rFonts w:hint="default" w:eastAsia="宋体"/>
                <w:color w:val="auto"/>
                <w:highlight w:val="none"/>
                <w:lang w:val="en-US" w:eastAsia="zh-CN"/>
              </w:rPr>
              <w:t>pH7.3~7.6</w:t>
            </w:r>
            <w:r>
              <w:rPr>
                <w:rFonts w:hint="eastAsia" w:eastAsia="宋体"/>
                <w:color w:val="auto"/>
                <w:highlight w:val="none"/>
                <w:lang w:val="en-US" w:eastAsia="zh-CN"/>
              </w:rPr>
              <w:t>、</w:t>
            </w:r>
            <w:r>
              <w:rPr>
                <w:rFonts w:hint="default" w:eastAsia="宋体"/>
                <w:color w:val="auto"/>
                <w:highlight w:val="none"/>
                <w:lang w:val="en-US" w:eastAsia="zh-CN"/>
              </w:rPr>
              <w:t>COD367mg/L</w:t>
            </w:r>
            <w:r>
              <w:rPr>
                <w:rFonts w:hint="eastAsia" w:eastAsia="宋体"/>
                <w:color w:val="auto"/>
                <w:highlight w:val="none"/>
                <w:lang w:val="en-US" w:eastAsia="zh-CN"/>
              </w:rPr>
              <w:t>、</w:t>
            </w:r>
            <w:r>
              <w:rPr>
                <w:rFonts w:hint="default" w:eastAsia="宋体"/>
                <w:color w:val="auto"/>
                <w:highlight w:val="none"/>
                <w:lang w:val="en-US" w:eastAsia="zh-CN"/>
              </w:rPr>
              <w:t>BOD</w:t>
            </w:r>
            <w:r>
              <w:rPr>
                <w:rFonts w:hint="default" w:eastAsia="宋体"/>
                <w:color w:val="auto"/>
                <w:highlight w:val="none"/>
                <w:vertAlign w:val="subscript"/>
                <w:lang w:val="en-US" w:eastAsia="zh-CN"/>
              </w:rPr>
              <w:t>5</w:t>
            </w:r>
            <w:r>
              <w:rPr>
                <w:rFonts w:hint="default" w:eastAsia="宋体"/>
                <w:color w:val="auto"/>
                <w:highlight w:val="none"/>
                <w:lang w:val="en-US" w:eastAsia="zh-CN"/>
              </w:rPr>
              <w:t>150.5mg/L</w:t>
            </w:r>
            <w:r>
              <w:rPr>
                <w:rFonts w:hint="eastAsia" w:eastAsia="宋体"/>
                <w:color w:val="auto"/>
                <w:highlight w:val="none"/>
                <w:lang w:val="en-US" w:eastAsia="zh-CN"/>
              </w:rPr>
              <w:t>、</w:t>
            </w:r>
            <w:r>
              <w:rPr>
                <w:rFonts w:hint="default" w:eastAsia="宋体"/>
                <w:color w:val="auto"/>
                <w:highlight w:val="none"/>
                <w:lang w:val="en-US" w:eastAsia="zh-CN"/>
              </w:rPr>
              <w:t>SS83mg/L</w:t>
            </w:r>
            <w:r>
              <w:rPr>
                <w:rFonts w:hint="eastAsia" w:eastAsia="宋体"/>
                <w:color w:val="auto"/>
                <w:highlight w:val="none"/>
                <w:lang w:val="en-US" w:eastAsia="zh-CN"/>
              </w:rPr>
              <w:t>、</w:t>
            </w:r>
            <w:r>
              <w:rPr>
                <w:rFonts w:hint="default" w:eastAsia="宋体"/>
                <w:color w:val="auto"/>
                <w:highlight w:val="none"/>
                <w:lang w:val="en-US" w:eastAsia="zh-CN"/>
              </w:rPr>
              <w:t>NH</w:t>
            </w:r>
            <w:r>
              <w:rPr>
                <w:rFonts w:hint="default" w:eastAsia="宋体"/>
                <w:color w:val="auto"/>
                <w:highlight w:val="none"/>
                <w:vertAlign w:val="subscript"/>
                <w:lang w:val="en-US" w:eastAsia="zh-CN"/>
              </w:rPr>
              <w:t>3</w:t>
            </w:r>
            <w:r>
              <w:rPr>
                <w:rFonts w:hint="default" w:eastAsia="宋体"/>
                <w:color w:val="auto"/>
                <w:highlight w:val="none"/>
                <w:lang w:val="en-US" w:eastAsia="zh-CN"/>
              </w:rPr>
              <w:t>-N38.2mg/L</w:t>
            </w:r>
            <w:r>
              <w:rPr>
                <w:rFonts w:hint="eastAsia" w:eastAsia="宋体"/>
                <w:color w:val="auto"/>
                <w:highlight w:val="none"/>
                <w:lang w:val="en-US" w:eastAsia="zh-CN"/>
              </w:rPr>
              <w:t>，均能达到《污水综合排放标准》</w:t>
            </w:r>
            <w:r>
              <w:rPr>
                <w:rFonts w:hint="eastAsia"/>
                <w:color w:val="auto"/>
                <w:highlight w:val="none"/>
                <w:lang w:val="en-US" w:eastAsia="zh-CN"/>
              </w:rPr>
              <w:t>（</w:t>
            </w:r>
            <w:r>
              <w:rPr>
                <w:rFonts w:hint="default" w:eastAsia="宋体"/>
                <w:color w:val="auto"/>
                <w:highlight w:val="none"/>
                <w:lang w:val="en-US" w:eastAsia="zh-CN"/>
              </w:rPr>
              <w:t>GB8978-1996</w:t>
            </w:r>
            <w:r>
              <w:rPr>
                <w:rFonts w:hint="eastAsia"/>
                <w:color w:val="auto"/>
                <w:highlight w:val="none"/>
                <w:lang w:val="en-US" w:eastAsia="zh-CN"/>
              </w:rPr>
              <w:t>）</w:t>
            </w:r>
            <w:r>
              <w:rPr>
                <w:rFonts w:hint="eastAsia" w:eastAsia="宋体"/>
                <w:color w:val="auto"/>
                <w:highlight w:val="none"/>
                <w:lang w:val="en-US" w:eastAsia="zh-CN"/>
              </w:rPr>
              <w:t>表</w:t>
            </w:r>
            <w:r>
              <w:rPr>
                <w:rFonts w:hint="default" w:eastAsia="宋体"/>
                <w:color w:val="auto"/>
                <w:highlight w:val="none"/>
                <w:lang w:val="en-US" w:eastAsia="zh-CN"/>
              </w:rPr>
              <w:t>4</w:t>
            </w:r>
            <w:r>
              <w:rPr>
                <w:rFonts w:hint="eastAsia" w:eastAsia="宋体"/>
                <w:color w:val="auto"/>
                <w:highlight w:val="none"/>
                <w:lang w:val="en-US" w:eastAsia="zh-CN"/>
              </w:rPr>
              <w:t>三级标准（其中</w:t>
            </w:r>
            <w:r>
              <w:rPr>
                <w:rFonts w:hint="default" w:eastAsia="宋体"/>
                <w:color w:val="auto"/>
                <w:highlight w:val="none"/>
                <w:lang w:val="en-US" w:eastAsia="zh-CN"/>
              </w:rPr>
              <w:t>NH</w:t>
            </w:r>
            <w:r>
              <w:rPr>
                <w:rFonts w:hint="default" w:eastAsia="宋体"/>
                <w:color w:val="auto"/>
                <w:highlight w:val="none"/>
                <w:vertAlign w:val="subscript"/>
                <w:lang w:val="en-US" w:eastAsia="zh-CN"/>
              </w:rPr>
              <w:t>3</w:t>
            </w:r>
            <w:r>
              <w:rPr>
                <w:rFonts w:hint="default" w:eastAsia="宋体"/>
                <w:color w:val="auto"/>
                <w:highlight w:val="none"/>
                <w:lang w:val="en-US" w:eastAsia="zh-CN"/>
              </w:rPr>
              <w:t>-N</w:t>
            </w:r>
            <w:r>
              <w:rPr>
                <w:rFonts w:hint="eastAsia" w:eastAsia="宋体"/>
                <w:color w:val="auto"/>
                <w:highlight w:val="none"/>
                <w:lang w:val="en-US" w:eastAsia="zh-CN"/>
              </w:rPr>
              <w:t>指标参考《污水排入城镇下水道水质标准》（</w:t>
            </w:r>
            <w:r>
              <w:rPr>
                <w:rFonts w:hint="default" w:eastAsia="宋体"/>
                <w:color w:val="auto"/>
                <w:highlight w:val="none"/>
                <w:lang w:val="en-US" w:eastAsia="zh-CN"/>
              </w:rPr>
              <w:t>GB/T31962-2015</w:t>
            </w:r>
            <w:r>
              <w:rPr>
                <w:rFonts w:hint="eastAsia" w:eastAsia="宋体"/>
                <w:color w:val="auto"/>
                <w:highlight w:val="none"/>
                <w:lang w:val="en-US" w:eastAsia="zh-CN"/>
              </w:rPr>
              <w:t>）表</w:t>
            </w:r>
            <w:r>
              <w:rPr>
                <w:rFonts w:hint="default" w:eastAsia="宋体"/>
                <w:color w:val="auto"/>
                <w:highlight w:val="none"/>
                <w:lang w:val="en-US" w:eastAsia="zh-CN"/>
              </w:rPr>
              <w:t>1</w:t>
            </w:r>
            <w:r>
              <w:rPr>
                <w:rFonts w:hint="eastAsia" w:eastAsia="宋体"/>
                <w:color w:val="auto"/>
                <w:highlight w:val="none"/>
                <w:lang w:val="en-US" w:eastAsia="zh-CN"/>
              </w:rPr>
              <w:t>中</w:t>
            </w:r>
            <w:r>
              <w:rPr>
                <w:rFonts w:hint="default" w:eastAsia="宋体"/>
                <w:color w:val="auto"/>
                <w:highlight w:val="none"/>
                <w:lang w:val="en-US" w:eastAsia="zh-CN"/>
              </w:rPr>
              <w:t>B</w:t>
            </w:r>
            <w:r>
              <w:rPr>
                <w:rFonts w:hint="eastAsia" w:eastAsia="宋体"/>
                <w:color w:val="auto"/>
                <w:highlight w:val="none"/>
                <w:lang w:val="en-US" w:eastAsia="zh-CN"/>
              </w:rPr>
              <w:t>等级标准）。</w:t>
            </w:r>
          </w:p>
          <w:p>
            <w:pPr>
              <w:pStyle w:val="72"/>
              <w:ind w:firstLine="480"/>
              <w:rPr>
                <w:rFonts w:hint="eastAsia" w:eastAsia="宋体"/>
                <w:color w:val="auto"/>
                <w:highlight w:val="none"/>
                <w:lang w:val="en-US" w:eastAsia="zh-CN"/>
              </w:rPr>
            </w:pPr>
            <w:r>
              <w:rPr>
                <w:rFonts w:hint="eastAsia" w:eastAsia="宋体"/>
                <w:color w:val="auto"/>
                <w:highlight w:val="none"/>
                <w:lang w:val="en-US" w:eastAsia="zh-CN"/>
              </w:rPr>
              <w:t>项目生产废水处理后外排的废水主要污染物浓度监测结果两日均值分别为：</w:t>
            </w:r>
            <w:r>
              <w:rPr>
                <w:rFonts w:hint="default" w:eastAsia="宋体"/>
                <w:color w:val="auto"/>
                <w:highlight w:val="none"/>
                <w:lang w:val="en-US" w:eastAsia="zh-CN"/>
              </w:rPr>
              <w:t>COD40.5mg/L</w:t>
            </w:r>
            <w:r>
              <w:rPr>
                <w:rFonts w:hint="eastAsia" w:eastAsia="宋体"/>
                <w:color w:val="auto"/>
                <w:highlight w:val="none"/>
                <w:lang w:val="en-US" w:eastAsia="zh-CN"/>
              </w:rPr>
              <w:t>、石油类</w:t>
            </w:r>
            <w:r>
              <w:rPr>
                <w:rFonts w:hint="default" w:eastAsia="宋体"/>
                <w:color w:val="auto"/>
                <w:highlight w:val="none"/>
                <w:lang w:val="en-US" w:eastAsia="zh-CN"/>
              </w:rPr>
              <w:t>1.16mg/L</w:t>
            </w:r>
            <w:r>
              <w:rPr>
                <w:rFonts w:hint="eastAsia" w:eastAsia="宋体"/>
                <w:color w:val="auto"/>
                <w:highlight w:val="none"/>
                <w:lang w:val="en-US" w:eastAsia="zh-CN"/>
              </w:rPr>
              <w:t>、</w:t>
            </w:r>
            <w:r>
              <w:rPr>
                <w:rFonts w:hint="default" w:eastAsia="宋体"/>
                <w:color w:val="auto"/>
                <w:highlight w:val="none"/>
                <w:lang w:val="en-US" w:eastAsia="zh-CN"/>
              </w:rPr>
              <w:t>SS36mg/L</w:t>
            </w:r>
            <w:r>
              <w:rPr>
                <w:rFonts w:hint="eastAsia" w:eastAsia="宋体"/>
                <w:color w:val="auto"/>
                <w:highlight w:val="none"/>
                <w:lang w:val="en-US" w:eastAsia="zh-CN"/>
              </w:rPr>
              <w:t>，均能达到《污水综合排放标准》</w:t>
            </w:r>
            <w:r>
              <w:rPr>
                <w:rFonts w:hint="eastAsia"/>
                <w:color w:val="auto"/>
                <w:highlight w:val="none"/>
                <w:lang w:val="en-US" w:eastAsia="zh-CN"/>
              </w:rPr>
              <w:t>（</w:t>
            </w:r>
            <w:r>
              <w:rPr>
                <w:rFonts w:hint="default" w:eastAsia="宋体"/>
                <w:color w:val="auto"/>
                <w:highlight w:val="none"/>
                <w:lang w:val="en-US" w:eastAsia="zh-CN"/>
              </w:rPr>
              <w:t>GB8978-1996</w:t>
            </w:r>
            <w:r>
              <w:rPr>
                <w:rFonts w:hint="eastAsia"/>
                <w:color w:val="auto"/>
                <w:highlight w:val="none"/>
                <w:lang w:val="en-US" w:eastAsia="zh-CN"/>
              </w:rPr>
              <w:t>）</w:t>
            </w:r>
            <w:r>
              <w:rPr>
                <w:rFonts w:hint="eastAsia" w:eastAsia="宋体"/>
                <w:color w:val="auto"/>
                <w:highlight w:val="none"/>
                <w:lang w:val="en-US" w:eastAsia="zh-CN"/>
              </w:rPr>
              <w:t>表</w:t>
            </w:r>
            <w:r>
              <w:rPr>
                <w:rFonts w:hint="default" w:eastAsia="宋体"/>
                <w:color w:val="auto"/>
                <w:highlight w:val="none"/>
                <w:lang w:val="en-US" w:eastAsia="zh-CN"/>
              </w:rPr>
              <w:t>4</w:t>
            </w:r>
            <w:r>
              <w:rPr>
                <w:rFonts w:hint="eastAsia" w:eastAsia="宋体"/>
                <w:color w:val="auto"/>
                <w:highlight w:val="none"/>
                <w:lang w:val="en-US" w:eastAsia="zh-CN"/>
              </w:rPr>
              <w:t>三级标准。</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②废气</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有组织废气污染物排放监测结果：粉尘废气主要污染物颗粒物排放浓度最大值两日分别为</w:t>
            </w:r>
            <w:r>
              <w:rPr>
                <w:rFonts w:hint="default" w:ascii="宋体" w:hAnsi="宋体" w:eastAsia="宋体" w:cs="宋体"/>
                <w:color w:val="auto"/>
                <w:highlight w:val="none"/>
                <w:lang w:val="en-US" w:eastAsia="zh-CN"/>
              </w:rPr>
              <w:t>9.4mg/m</w:t>
            </w:r>
            <w:r>
              <w:rPr>
                <w:rFonts w:hint="default"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8.8mg/m</w:t>
            </w:r>
            <w:r>
              <w:rPr>
                <w:rFonts w:hint="default"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，排放速率最大值两日分别为</w:t>
            </w:r>
            <w:r>
              <w:rPr>
                <w:rFonts w:hint="default" w:ascii="宋体" w:hAnsi="宋体" w:eastAsia="宋体" w:cs="宋体"/>
                <w:color w:val="auto"/>
                <w:highlight w:val="none"/>
                <w:lang w:val="en-US" w:eastAsia="zh-CN"/>
              </w:rPr>
              <w:t>0.21</w:t>
            </w:r>
            <w:r>
              <w:rPr>
                <w:rFonts w:hint="eastAsia" w:ascii="宋体" w:hAnsi="宋体" w:eastAsia="宋体" w:cs="宋体"/>
                <w:color w:val="auto"/>
                <w:highlight w:val="none"/>
                <w:lang w:val="en-US" w:eastAsia="zh-CN"/>
              </w:rPr>
              <w:t>kg/h、</w:t>
            </w:r>
            <w:r>
              <w:rPr>
                <w:rFonts w:hint="default" w:ascii="宋体" w:hAnsi="宋体" w:eastAsia="宋体" w:cs="宋体"/>
                <w:color w:val="auto"/>
                <w:highlight w:val="none"/>
                <w:lang w:val="en-US" w:eastAsia="zh-CN"/>
              </w:rPr>
              <w:t>0.19</w:t>
            </w:r>
            <w:r>
              <w:rPr>
                <w:rFonts w:hint="eastAsia" w:ascii="宋体" w:hAnsi="宋体" w:eastAsia="宋体" w:cs="宋体"/>
                <w:color w:val="auto"/>
                <w:highlight w:val="none"/>
                <w:lang w:val="en-US" w:eastAsia="zh-CN"/>
              </w:rPr>
              <w:t>kg</w:t>
            </w:r>
            <w:r>
              <w:rPr>
                <w:rFonts w:hint="default" w:ascii="宋体" w:hAnsi="宋体" w:eastAsia="宋体" w:cs="宋体"/>
                <w:color w:val="auto"/>
                <w:highlight w:val="none"/>
                <w:lang w:val="en-US" w:eastAsia="zh-CN"/>
              </w:rPr>
              <w:t>/</w:t>
            </w:r>
            <w:r>
              <w:rPr>
                <w:rFonts w:hint="eastAsia" w:ascii="宋体" w:hAnsi="宋体" w:eastAsia="宋体" w:cs="宋体"/>
                <w:color w:val="auto"/>
                <w:highlight w:val="none"/>
                <w:lang w:val="en-US" w:eastAsia="zh-CN"/>
              </w:rPr>
              <w:t>h，均能够达到《大气污染物综合排放标准》</w:t>
            </w:r>
            <w:r>
              <w:rPr>
                <w:rFonts w:hint="eastAsia" w:ascii="宋体" w:hAnsi="宋体" w:cs="宋体"/>
                <w:color w:val="auto"/>
                <w:highlight w:val="none"/>
                <w:lang w:val="en-US" w:eastAsia="zh-CN"/>
              </w:rPr>
              <w:t>（</w:t>
            </w:r>
            <w:r>
              <w:rPr>
                <w:rFonts w:hint="default" w:ascii="宋体" w:hAnsi="宋体" w:eastAsia="宋体" w:cs="宋体"/>
                <w:color w:val="auto"/>
                <w:highlight w:val="none"/>
                <w:lang w:val="en-US" w:eastAsia="zh-CN"/>
              </w:rPr>
              <w:t>GB16297-1996</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表</w:t>
            </w:r>
            <w:r>
              <w:rPr>
                <w:rFonts w:hint="default" w:ascii="宋体" w:hAnsi="宋体" w:eastAsia="宋体" w:cs="宋体"/>
                <w:color w:val="auto"/>
                <w:highlight w:val="none"/>
                <w:lang w:val="en-US" w:eastAsia="zh-CN"/>
              </w:rPr>
              <w:t>2</w:t>
            </w:r>
            <w:r>
              <w:rPr>
                <w:rFonts w:hint="eastAsia" w:ascii="宋体" w:hAnsi="宋体" w:eastAsia="宋体" w:cs="宋体"/>
                <w:color w:val="auto"/>
                <w:highlight w:val="none"/>
                <w:lang w:val="en-US" w:eastAsia="zh-CN"/>
              </w:rPr>
              <w:t>中二级排放限值要求；食堂油烟排气筒废气主要污染物油烟排放浓度最大值两日分别为</w:t>
            </w:r>
            <w:r>
              <w:rPr>
                <w:rFonts w:hint="default" w:ascii="宋体" w:hAnsi="宋体" w:eastAsia="宋体" w:cs="宋体"/>
                <w:color w:val="auto"/>
                <w:highlight w:val="none"/>
                <w:lang w:val="en-US" w:eastAsia="zh-CN"/>
              </w:rPr>
              <w:t>0.89mg/m</w:t>
            </w:r>
            <w:r>
              <w:rPr>
                <w:rFonts w:hint="default"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0.92mg/m</w:t>
            </w:r>
            <w:r>
              <w:rPr>
                <w:rFonts w:hint="default"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，均能达到《饮食业油烟排放标准（试行）》（</w:t>
            </w:r>
            <w:r>
              <w:rPr>
                <w:rFonts w:hint="default" w:ascii="宋体" w:hAnsi="宋体" w:eastAsia="宋体" w:cs="宋体"/>
                <w:color w:val="auto"/>
                <w:highlight w:val="none"/>
                <w:lang w:val="en-US" w:eastAsia="zh-CN"/>
              </w:rPr>
              <w:t>GB18483-2001</w:t>
            </w:r>
            <w:r>
              <w:rPr>
                <w:rFonts w:hint="eastAsia" w:ascii="宋体" w:hAnsi="宋体" w:eastAsia="宋体" w:cs="宋体"/>
                <w:color w:val="auto"/>
                <w:highlight w:val="none"/>
                <w:lang w:val="en-US" w:eastAsia="zh-CN"/>
              </w:rPr>
              <w:t>）表</w:t>
            </w:r>
            <w:r>
              <w:rPr>
                <w:rFonts w:hint="default" w:ascii="宋体" w:hAnsi="宋体" w:eastAsia="宋体" w:cs="宋体"/>
                <w:color w:val="auto"/>
                <w:highlight w:val="none"/>
                <w:lang w:val="en-US" w:eastAsia="zh-CN"/>
              </w:rPr>
              <w:t>2</w:t>
            </w:r>
            <w:r>
              <w:rPr>
                <w:rFonts w:hint="eastAsia" w:ascii="宋体" w:hAnsi="宋体" w:eastAsia="宋体" w:cs="宋体"/>
                <w:color w:val="auto"/>
                <w:highlight w:val="none"/>
                <w:lang w:val="en-US" w:eastAsia="zh-CN"/>
              </w:rPr>
              <w:t>最高允许排放浓度标准要求。</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无组织废气污染物排放监测结果：项目厂界上、下风向</w:t>
            </w:r>
            <w:r>
              <w:rPr>
                <w:rFonts w:hint="default" w:ascii="宋体" w:hAnsi="宋体" w:eastAsia="宋体" w:cs="宋体"/>
                <w:color w:val="auto"/>
                <w:highlight w:val="none"/>
                <w:lang w:val="en-US" w:eastAsia="zh-CN"/>
              </w:rPr>
              <w:t>Q1</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Q4</w:t>
            </w:r>
            <w:r>
              <w:rPr>
                <w:rFonts w:hint="eastAsia" w:ascii="宋体" w:hAnsi="宋体" w:eastAsia="宋体" w:cs="宋体"/>
                <w:color w:val="auto"/>
                <w:highlight w:val="none"/>
                <w:lang w:val="en-US" w:eastAsia="zh-CN"/>
              </w:rPr>
              <w:t>监控点颗粒物浓度两日最大浓度值分别为</w:t>
            </w:r>
            <w:r>
              <w:rPr>
                <w:rFonts w:hint="default" w:ascii="宋体" w:hAnsi="宋体" w:eastAsia="宋体" w:cs="宋体"/>
                <w:color w:val="auto"/>
                <w:highlight w:val="none"/>
                <w:lang w:val="en-US" w:eastAsia="zh-CN"/>
              </w:rPr>
              <w:t>0.265mg/m</w:t>
            </w:r>
            <w:r>
              <w:rPr>
                <w:rFonts w:hint="default"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0.287mg/m</w:t>
            </w:r>
            <w:r>
              <w:rPr>
                <w:rFonts w:hint="default"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val="en-US" w:eastAsia="zh-CN"/>
              </w:rPr>
              <w:t>，均能够达到《大气污染物综合排放标准》</w:t>
            </w:r>
            <w:r>
              <w:rPr>
                <w:rFonts w:hint="eastAsia" w:ascii="宋体" w:hAnsi="宋体" w:cs="宋体"/>
                <w:color w:val="auto"/>
                <w:highlight w:val="none"/>
                <w:lang w:val="en-US" w:eastAsia="zh-CN"/>
              </w:rPr>
              <w:t>（</w:t>
            </w:r>
            <w:r>
              <w:rPr>
                <w:rFonts w:hint="default" w:ascii="宋体" w:hAnsi="宋体" w:eastAsia="宋体" w:cs="宋体"/>
                <w:color w:val="auto"/>
                <w:highlight w:val="none"/>
                <w:lang w:val="en-US" w:eastAsia="zh-CN"/>
              </w:rPr>
              <w:t>GB16297-1996</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表</w:t>
            </w:r>
            <w:r>
              <w:rPr>
                <w:rFonts w:hint="default" w:ascii="宋体" w:hAnsi="宋体" w:eastAsia="宋体" w:cs="宋体"/>
                <w:color w:val="auto"/>
                <w:highlight w:val="none"/>
                <w:lang w:val="en-US" w:eastAsia="zh-CN"/>
              </w:rPr>
              <w:t>2</w:t>
            </w:r>
            <w:r>
              <w:rPr>
                <w:rFonts w:hint="eastAsia" w:ascii="宋体" w:hAnsi="宋体" w:eastAsia="宋体" w:cs="宋体"/>
                <w:color w:val="auto"/>
                <w:highlight w:val="none"/>
                <w:lang w:val="en-US" w:eastAsia="zh-CN"/>
              </w:rPr>
              <w:t>中无组织排放限值要求。</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③噪声</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验收监测期间：厂界南侧昼间噪声值为</w:t>
            </w:r>
            <w:r>
              <w:rPr>
                <w:rFonts w:hint="default" w:ascii="宋体" w:hAnsi="宋体" w:eastAsia="宋体" w:cs="宋体"/>
                <w:color w:val="auto"/>
                <w:highlight w:val="none"/>
                <w:lang w:val="en-US" w:eastAsia="zh-CN"/>
              </w:rPr>
              <w:t>57.4dB(A)~58.4dB(A</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，夜间噪声值为</w:t>
            </w:r>
            <w:r>
              <w:rPr>
                <w:rFonts w:hint="default" w:ascii="宋体" w:hAnsi="宋体" w:eastAsia="宋体" w:cs="宋体"/>
                <w:color w:val="auto"/>
                <w:highlight w:val="none"/>
                <w:lang w:val="en-US" w:eastAsia="zh-CN"/>
              </w:rPr>
              <w:t>48.0dB(A)~48.5dB(A</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，能达到《工业企业厂界环境噪声排放标准》（</w:t>
            </w:r>
            <w:r>
              <w:rPr>
                <w:rFonts w:hint="default" w:ascii="宋体" w:hAnsi="宋体" w:eastAsia="宋体" w:cs="宋体"/>
                <w:color w:val="auto"/>
                <w:highlight w:val="none"/>
                <w:lang w:val="en-US" w:eastAsia="zh-CN"/>
              </w:rPr>
              <w:t>GB12348-2008</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4</w:t>
            </w:r>
            <w:r>
              <w:rPr>
                <w:rFonts w:hint="eastAsia" w:ascii="宋体" w:hAnsi="宋体" w:eastAsia="宋体" w:cs="宋体"/>
                <w:color w:val="auto"/>
                <w:highlight w:val="none"/>
                <w:lang w:val="en-US" w:eastAsia="zh-CN"/>
              </w:rPr>
              <w:t>类标准要求，其余厂界昼间噪声值为</w:t>
            </w:r>
            <w:r>
              <w:rPr>
                <w:rFonts w:hint="default" w:ascii="宋体" w:hAnsi="宋体" w:eastAsia="宋体" w:cs="宋体"/>
                <w:color w:val="auto"/>
                <w:highlight w:val="none"/>
                <w:lang w:val="en-US" w:eastAsia="zh-CN"/>
              </w:rPr>
              <w:t>57.2dB(A)~58.5dB(A</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，夜间噪声值为</w:t>
            </w:r>
            <w:r>
              <w:rPr>
                <w:rFonts w:hint="default" w:ascii="宋体" w:hAnsi="宋体" w:eastAsia="宋体" w:cs="宋体"/>
                <w:color w:val="auto"/>
                <w:highlight w:val="none"/>
                <w:lang w:val="en-US" w:eastAsia="zh-CN"/>
              </w:rPr>
              <w:t>47.1.0dB(A)~48.3dB(A</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，均能达到《工业企业厂界环境噪声排放标准》（</w:t>
            </w:r>
            <w:r>
              <w:rPr>
                <w:rFonts w:hint="default" w:ascii="宋体" w:hAnsi="宋体" w:eastAsia="宋体" w:cs="宋体"/>
                <w:color w:val="auto"/>
                <w:highlight w:val="none"/>
                <w:lang w:val="en-US" w:eastAsia="zh-CN"/>
              </w:rPr>
              <w:t>GB12348-2008</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3</w:t>
            </w:r>
            <w:r>
              <w:rPr>
                <w:rFonts w:hint="eastAsia" w:ascii="宋体" w:hAnsi="宋体" w:eastAsia="宋体" w:cs="宋体"/>
                <w:color w:val="auto"/>
                <w:highlight w:val="none"/>
                <w:lang w:val="en-US" w:eastAsia="zh-CN"/>
              </w:rPr>
              <w:t>类环境功能区厂界噪声标准限值要求。</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④固体废物</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验收监测期间，项目生活垃圾由环卫部门统一清运处理；金属</w:t>
            </w:r>
            <w:r>
              <w:rPr>
                <w:rFonts w:hint="eastAsia" w:ascii="宋体" w:hAnsi="宋体" w:cs="宋体"/>
                <w:color w:val="auto"/>
                <w:highlight w:val="none"/>
                <w:lang w:val="en-US" w:eastAsia="zh-CN"/>
              </w:rPr>
              <w:t>下脚料</w:t>
            </w:r>
            <w:r>
              <w:rPr>
                <w:rFonts w:hint="eastAsia" w:ascii="宋体" w:hAnsi="宋体" w:eastAsia="宋体" w:cs="宋体"/>
                <w:color w:val="auto"/>
                <w:highlight w:val="none"/>
                <w:lang w:val="en-US" w:eastAsia="zh-CN"/>
              </w:rPr>
              <w:t>、不合格靶材集中收集后外售泉州美福金属有限公司进行回收；除尘系统粉尘集中收集后外售泉州美福金属有限公司进行回收，一般固废暂存场所设置符合《一般工业固体废物贮存和填埋污染控制标准》（</w:t>
            </w:r>
            <w:r>
              <w:rPr>
                <w:rFonts w:hint="default" w:ascii="宋体" w:hAnsi="宋体" w:eastAsia="宋体" w:cs="宋体"/>
                <w:color w:val="auto"/>
                <w:highlight w:val="none"/>
                <w:lang w:val="en-US" w:eastAsia="zh-CN"/>
              </w:rPr>
              <w:t>GB18599-2020</w:t>
            </w:r>
            <w:r>
              <w:rPr>
                <w:rFonts w:hint="eastAsia" w:ascii="宋体" w:hAnsi="宋体" w:eastAsia="宋体" w:cs="宋体"/>
                <w:color w:val="auto"/>
                <w:highlight w:val="none"/>
                <w:lang w:val="en-US" w:eastAsia="zh-CN"/>
              </w:rPr>
              <w:t>）要求。危险废物暂存于危废间，</w:t>
            </w:r>
            <w:r>
              <w:rPr>
                <w:rFonts w:hint="eastAsia" w:ascii="宋体" w:hAnsi="宋体" w:cs="宋体"/>
                <w:color w:val="auto"/>
                <w:highlight w:val="none"/>
                <w:lang w:val="en-US" w:eastAsia="zh-CN"/>
              </w:rPr>
              <w:t>定期</w:t>
            </w:r>
            <w:r>
              <w:rPr>
                <w:rFonts w:hint="eastAsia" w:ascii="宋体" w:hAnsi="宋体" w:eastAsia="宋体" w:cs="宋体"/>
                <w:color w:val="auto"/>
                <w:highlight w:val="none"/>
                <w:lang w:val="en-US" w:eastAsia="zh-CN"/>
              </w:rPr>
              <w:t>委托</w:t>
            </w:r>
            <w:r>
              <w:rPr>
                <w:rFonts w:hint="eastAsia" w:ascii="宋体" w:hAnsi="宋体" w:cs="宋体"/>
                <w:color w:val="auto"/>
                <w:highlight w:val="none"/>
                <w:lang w:val="en-US" w:eastAsia="zh-CN"/>
              </w:rPr>
              <w:t>有资质的危废处置单位安全</w:t>
            </w:r>
            <w:r>
              <w:rPr>
                <w:rFonts w:hint="eastAsia" w:ascii="宋体" w:hAnsi="宋体" w:eastAsia="宋体" w:cs="宋体"/>
                <w:color w:val="auto"/>
                <w:highlight w:val="none"/>
                <w:lang w:val="en-US" w:eastAsia="zh-CN"/>
              </w:rPr>
              <w:t>处置，危废暂存场所设置符合《危险废物贮存污染控制标准》</w:t>
            </w:r>
            <w:r>
              <w:rPr>
                <w:rFonts w:hint="eastAsia" w:ascii="宋体" w:hAnsi="宋体" w:cs="宋体"/>
                <w:color w:val="auto"/>
                <w:highlight w:val="none"/>
                <w:lang w:val="en-US" w:eastAsia="zh-CN"/>
              </w:rPr>
              <w:t>（</w:t>
            </w:r>
            <w:r>
              <w:rPr>
                <w:rFonts w:hint="default" w:ascii="宋体" w:hAnsi="宋体" w:eastAsia="宋体" w:cs="宋体"/>
                <w:color w:val="auto"/>
                <w:highlight w:val="none"/>
                <w:lang w:val="en-US" w:eastAsia="zh-CN"/>
              </w:rPr>
              <w:t>GB18597-2001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及其</w:t>
            </w:r>
            <w:r>
              <w:rPr>
                <w:rFonts w:hint="default" w:ascii="宋体" w:hAnsi="宋体" w:eastAsia="宋体" w:cs="宋体"/>
                <w:color w:val="auto"/>
                <w:highlight w:val="none"/>
                <w:lang w:val="en-US" w:eastAsia="zh-CN"/>
              </w:rPr>
              <w:t>2013</w:t>
            </w:r>
            <w:r>
              <w:rPr>
                <w:rFonts w:hint="eastAsia" w:ascii="宋体" w:hAnsi="宋体" w:eastAsia="宋体" w:cs="宋体"/>
                <w:color w:val="auto"/>
                <w:highlight w:val="none"/>
                <w:lang w:val="en-US" w:eastAsia="zh-CN"/>
              </w:rPr>
              <w:t>年修改单的相关规定要求。</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）污染物排放总量</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项目工程生产废水排放量为</w:t>
            </w:r>
            <w:r>
              <w:rPr>
                <w:rFonts w:hint="default" w:ascii="宋体" w:hAnsi="宋体" w:eastAsia="宋体" w:cs="宋体"/>
                <w:color w:val="auto"/>
                <w:highlight w:val="none"/>
                <w:lang w:val="en-US" w:eastAsia="zh-CN"/>
              </w:rPr>
              <w:t>1440t/a</w:t>
            </w:r>
            <w:r>
              <w:rPr>
                <w:rFonts w:hint="eastAsia" w:ascii="宋体" w:hAnsi="宋体" w:eastAsia="宋体" w:cs="宋体"/>
                <w:color w:val="auto"/>
                <w:highlight w:val="none"/>
                <w:lang w:val="en-US" w:eastAsia="zh-CN"/>
              </w:rPr>
              <w:t>，</w:t>
            </w:r>
            <w:r>
              <w:rPr>
                <w:rFonts w:hint="default" w:ascii="宋体" w:hAnsi="宋体" w:eastAsia="宋体" w:cs="宋体"/>
                <w:color w:val="auto"/>
                <w:highlight w:val="none"/>
                <w:lang w:val="en-US" w:eastAsia="zh-CN"/>
              </w:rPr>
              <w:t>COD0.072t/a</w:t>
            </w:r>
            <w:r>
              <w:rPr>
                <w:rFonts w:hint="eastAsia" w:ascii="宋体" w:hAnsi="宋体" w:eastAsia="宋体" w:cs="宋体"/>
                <w:color w:val="auto"/>
                <w:highlight w:val="none"/>
                <w:lang w:val="en-US" w:eastAsia="zh-CN"/>
              </w:rPr>
              <w:t>，低于排污权指标（生产废水排放量</w:t>
            </w:r>
            <w:r>
              <w:rPr>
                <w:rFonts w:hint="default" w:ascii="宋体" w:hAnsi="宋体" w:eastAsia="宋体" w:cs="宋体"/>
                <w:color w:val="auto"/>
                <w:highlight w:val="none"/>
                <w:lang w:val="en-US" w:eastAsia="zh-CN"/>
              </w:rPr>
              <w:t>≤1550</w:t>
            </w:r>
            <w:r>
              <w:rPr>
                <w:rFonts w:hint="eastAsia" w:ascii="宋体" w:hAnsi="宋体" w:eastAsia="宋体" w:cs="宋体"/>
                <w:color w:val="auto"/>
                <w:highlight w:val="none"/>
                <w:lang w:val="en-US" w:eastAsia="zh-CN"/>
              </w:rPr>
              <w:t>吨</w:t>
            </w:r>
            <w:r>
              <w:rPr>
                <w:rFonts w:hint="default" w:ascii="宋体" w:hAnsi="宋体" w:eastAsia="宋体" w:cs="宋体"/>
                <w:color w:val="auto"/>
                <w:highlight w:val="none"/>
                <w:lang w:val="en-US" w:eastAsia="zh-CN"/>
              </w:rPr>
              <w:t>/</w:t>
            </w:r>
            <w:r>
              <w:rPr>
                <w:rFonts w:hint="eastAsia" w:ascii="宋体" w:hAnsi="宋体" w:eastAsia="宋体" w:cs="宋体"/>
                <w:color w:val="auto"/>
                <w:highlight w:val="none"/>
                <w:lang w:val="en-US" w:eastAsia="zh-CN"/>
              </w:rPr>
              <w:t>年，</w:t>
            </w:r>
            <w:r>
              <w:rPr>
                <w:rFonts w:hint="default" w:ascii="宋体" w:hAnsi="宋体" w:eastAsia="宋体" w:cs="宋体"/>
                <w:color w:val="auto"/>
                <w:highlight w:val="none"/>
                <w:lang w:val="en-US" w:eastAsia="zh-CN"/>
              </w:rPr>
              <w:t>COD≤0.0775</w:t>
            </w:r>
            <w:r>
              <w:rPr>
                <w:rFonts w:hint="eastAsia" w:ascii="宋体" w:hAnsi="宋体" w:eastAsia="宋体" w:cs="宋体"/>
                <w:color w:val="auto"/>
                <w:highlight w:val="none"/>
                <w:lang w:val="en-US" w:eastAsia="zh-CN"/>
              </w:rPr>
              <w:t>吨</w:t>
            </w:r>
            <w:r>
              <w:rPr>
                <w:rFonts w:hint="default" w:ascii="宋体" w:hAnsi="宋体" w:eastAsia="宋体" w:cs="宋体"/>
                <w:color w:val="auto"/>
                <w:highlight w:val="none"/>
                <w:lang w:val="en-US" w:eastAsia="zh-CN"/>
              </w:rPr>
              <w:t>/</w:t>
            </w:r>
            <w:r>
              <w:rPr>
                <w:rFonts w:hint="eastAsia" w:ascii="宋体" w:hAnsi="宋体" w:eastAsia="宋体" w:cs="宋体"/>
                <w:color w:val="auto"/>
                <w:highlight w:val="none"/>
                <w:lang w:val="en-US" w:eastAsia="zh-CN"/>
              </w:rPr>
              <w:t>年）。</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w:t>
            </w:r>
            <w:r>
              <w:rPr>
                <w:rFonts w:hint="default" w:ascii="宋体" w:hAnsi="宋体" w:eastAsia="宋体" w:cs="宋体"/>
                <w:color w:val="auto"/>
                <w:highlight w:val="none"/>
                <w:lang w:val="en-US" w:eastAsia="zh-CN"/>
              </w:rPr>
              <w:t>COD</w:t>
            </w:r>
            <w:r>
              <w:rPr>
                <w:rFonts w:hint="eastAsia" w:ascii="宋体" w:hAnsi="宋体" w:eastAsia="宋体" w:cs="宋体"/>
                <w:color w:val="auto"/>
                <w:highlight w:val="none"/>
                <w:lang w:val="en-US" w:eastAsia="zh-CN"/>
              </w:rPr>
              <w:t>污染物相应的排污权指标已于</w:t>
            </w:r>
            <w:r>
              <w:rPr>
                <w:rFonts w:hint="default" w:ascii="宋体" w:hAnsi="宋体" w:eastAsia="宋体" w:cs="宋体"/>
                <w:color w:val="auto"/>
                <w:highlight w:val="none"/>
                <w:lang w:val="en-US" w:eastAsia="zh-CN"/>
              </w:rPr>
              <w:t>2020</w:t>
            </w:r>
            <w:r>
              <w:rPr>
                <w:rFonts w:hint="eastAsia" w:ascii="宋体" w:hAnsi="宋体" w:eastAsia="宋体" w:cs="宋体"/>
                <w:color w:val="auto"/>
                <w:highlight w:val="none"/>
                <w:lang w:val="en-US" w:eastAsia="zh-CN"/>
              </w:rPr>
              <w:t>年</w:t>
            </w:r>
            <w:r>
              <w:rPr>
                <w:rFonts w:hint="default" w:ascii="宋体" w:hAnsi="宋体" w:eastAsia="宋体" w:cs="宋体"/>
                <w:color w:val="auto"/>
                <w:highlight w:val="none"/>
                <w:lang w:val="en-US" w:eastAsia="zh-CN"/>
              </w:rPr>
              <w:t>8</w:t>
            </w:r>
            <w:r>
              <w:rPr>
                <w:rFonts w:hint="eastAsia" w:ascii="宋体" w:hAnsi="宋体" w:eastAsia="宋体" w:cs="宋体"/>
                <w:color w:val="auto"/>
                <w:highlight w:val="none"/>
                <w:lang w:val="en-US" w:eastAsia="zh-CN"/>
              </w:rPr>
              <w:t>月</w:t>
            </w:r>
            <w:r>
              <w:rPr>
                <w:rFonts w:hint="default" w:ascii="宋体" w:hAnsi="宋体" w:eastAsia="宋体" w:cs="宋体"/>
                <w:color w:val="auto"/>
                <w:highlight w:val="none"/>
                <w:lang w:val="en-US" w:eastAsia="zh-CN"/>
              </w:rPr>
              <w:t>14</w:t>
            </w:r>
            <w:r>
              <w:rPr>
                <w:rFonts w:hint="eastAsia" w:ascii="宋体" w:hAnsi="宋体" w:eastAsia="宋体" w:cs="宋体"/>
                <w:color w:val="auto"/>
                <w:highlight w:val="none"/>
                <w:lang w:val="en-US" w:eastAsia="zh-CN"/>
              </w:rPr>
              <w:t>日在海峡股权交易中心购买成功。</w:t>
            </w:r>
          </w:p>
          <w:p>
            <w:pPr>
              <w:pStyle w:val="72"/>
              <w:ind w:firstLine="480"/>
              <w:rPr>
                <w:rFonts w:hint="default" w:ascii="Times New Roman" w:hAnsi="Times New Roman" w:eastAsia="宋体" w:cs="Times New Roman"/>
                <w:color w:val="auto"/>
                <w:sz w:val="24"/>
                <w:szCs w:val="24"/>
                <w:highlight w:val="none"/>
                <w:lang w:val="en-US" w:eastAsia="zh-CN"/>
              </w:rPr>
            </w:pPr>
            <w:r>
              <w:rPr>
                <w:rFonts w:hint="eastAsia"/>
                <w:b/>
                <w:bCs/>
                <w:color w:val="auto"/>
                <w:highlight w:val="none"/>
                <w:lang w:val="en-US" w:eastAsia="zh-CN"/>
              </w:rPr>
              <w:t>2、已批已建超高清铜显示靶材</w:t>
            </w:r>
            <w:r>
              <w:rPr>
                <w:rFonts w:hint="eastAsia"/>
                <w:b/>
                <w:bCs/>
                <w:color w:val="auto"/>
                <w:highlight w:val="none"/>
              </w:rPr>
              <w:t>建设项目</w:t>
            </w:r>
            <w:r>
              <w:rPr>
                <w:rFonts w:hint="eastAsia"/>
                <w:b/>
                <w:bCs/>
                <w:color w:val="auto"/>
                <w:highlight w:val="none"/>
                <w:lang w:val="en-US" w:eastAsia="zh-CN"/>
              </w:rPr>
              <w:t>验收情况</w:t>
            </w:r>
          </w:p>
          <w:p>
            <w:pPr>
              <w:pStyle w:val="82"/>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本次</w:t>
            </w:r>
            <w:r>
              <w:rPr>
                <w:rFonts w:hint="eastAsia" w:ascii="Times New Roman" w:hAnsi="Times New Roman" w:cs="Times New Roman"/>
                <w:color w:val="auto"/>
                <w:sz w:val="24"/>
                <w:szCs w:val="24"/>
                <w:highlight w:val="none"/>
                <w:lang w:val="en-US" w:eastAsia="zh-CN"/>
              </w:rPr>
              <w:t>验收</w:t>
            </w:r>
            <w:r>
              <w:rPr>
                <w:rFonts w:hint="default" w:ascii="Times New Roman" w:hAnsi="Times New Roman" w:eastAsia="宋体" w:cs="Times New Roman"/>
                <w:color w:val="auto"/>
                <w:sz w:val="24"/>
                <w:szCs w:val="24"/>
                <w:highlight w:val="none"/>
              </w:rPr>
              <w:t>监测时间20</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项目环评阶段设计产能为2000t/a超高清铜靶材，实际建设产能规模为900t/a。</w:t>
            </w:r>
          </w:p>
          <w:p>
            <w:pPr>
              <w:pStyle w:val="5"/>
              <w:pageBreakBefore w:val="0"/>
              <w:widowControl w:val="0"/>
              <w:numPr>
                <w:ilvl w:val="1"/>
                <w:numId w:val="0"/>
              </w:numPr>
              <w:kinsoku/>
              <w:wordWrap/>
              <w:overflowPunct/>
              <w:topLinePunct w:val="0"/>
              <w:autoSpaceDE/>
              <w:autoSpaceDN/>
              <w:bidi w:val="0"/>
              <w:adjustRightInd w:val="0"/>
              <w:snapToGrid w:val="0"/>
              <w:spacing w:before="0" w:after="0" w:line="360" w:lineRule="auto"/>
              <w:ind w:leftChars="0"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环保设施处理效率、达标排放监测结果</w:t>
            </w:r>
          </w:p>
          <w:p>
            <w:pPr>
              <w:widowControl w:val="0"/>
              <w:spacing w:after="0" w:line="360" w:lineRule="auto"/>
              <w:ind w:firstLine="480" w:firstLineChars="200"/>
              <w:jc w:val="both"/>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①废水治理设施</w:t>
            </w:r>
          </w:p>
          <w:p>
            <w:pPr>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项目生产废水主要为纯水制备工序产生的浓水，依托现有10t/d污水处理站处理，废水处理工艺为混凝沉淀+PH调节和A/O生化的处理工艺，生产废水经处理后pH范围7.4～7.6，化学需氧量（COD</w:t>
            </w:r>
            <w:r>
              <w:rPr>
                <w:rFonts w:hint="eastAsia" w:ascii="宋体" w:hAnsi="宋体" w:eastAsia="宋体" w:cs="宋体"/>
                <w:color w:val="auto"/>
                <w:sz w:val="24"/>
                <w:szCs w:val="24"/>
                <w:highlight w:val="none"/>
                <w:vertAlign w:val="subscript"/>
                <w:lang w:val="en-US" w:eastAsia="zh-CN"/>
              </w:rPr>
              <w:t>Cr</w:t>
            </w:r>
            <w:r>
              <w:rPr>
                <w:rFonts w:hint="eastAsia" w:ascii="宋体" w:hAnsi="宋体" w:eastAsia="宋体" w:cs="宋体"/>
                <w:color w:val="auto"/>
                <w:sz w:val="24"/>
                <w:szCs w:val="24"/>
                <w:highlight w:val="none"/>
                <w:lang w:val="en-US" w:eastAsia="zh-CN"/>
              </w:rPr>
              <w:t>）排放浓度范围为95～102mg/L，悬浮物（SS）排放浓度范围为30～40mg/L，石油类</w:t>
            </w:r>
            <w:r>
              <w:rPr>
                <w:rFonts w:hint="eastAsia" w:ascii="宋体" w:hAnsi="宋体" w:cs="宋体"/>
                <w:color w:val="auto"/>
                <w:sz w:val="24"/>
                <w:szCs w:val="24"/>
                <w:highlight w:val="none"/>
                <w:lang w:val="en-US" w:eastAsia="zh-CN"/>
              </w:rPr>
              <w:t>均</w:t>
            </w:r>
            <w:r>
              <w:rPr>
                <w:rFonts w:hint="eastAsia" w:ascii="宋体" w:hAnsi="宋体" w:eastAsia="宋体" w:cs="宋体"/>
                <w:color w:val="auto"/>
                <w:sz w:val="24"/>
                <w:szCs w:val="24"/>
                <w:highlight w:val="none"/>
                <w:lang w:val="en-US" w:eastAsia="zh-CN"/>
              </w:rPr>
              <w:t>未检出，生产废水排放符合《电子工业水污染物排放标准》（</w:t>
            </w:r>
            <w:r>
              <w:rPr>
                <w:rFonts w:hint="eastAsia" w:ascii="宋体" w:hAnsi="宋体" w:eastAsia="宋体" w:cs="宋体"/>
                <w:color w:val="auto"/>
                <w:sz w:val="24"/>
                <w:szCs w:val="24"/>
                <w:highlight w:val="none"/>
              </w:rPr>
              <w:t>GB 39731-2020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表1间接排放标准</w:t>
            </w:r>
            <w:r>
              <w:rPr>
                <w:rFonts w:hint="eastAsia" w:ascii="宋体" w:hAnsi="宋体" w:cs="宋体"/>
                <w:color w:val="auto"/>
                <w:sz w:val="24"/>
                <w:szCs w:val="24"/>
                <w:highlight w:val="none"/>
                <w:lang w:val="en-US" w:eastAsia="zh-CN"/>
              </w:rPr>
              <w:t>，废水排放量小于标准规定的基准排水量</w:t>
            </w:r>
            <w:r>
              <w:rPr>
                <w:rFonts w:hint="eastAsia" w:ascii="宋体" w:hAnsi="宋体" w:eastAsia="宋体" w:cs="宋体"/>
                <w:color w:val="auto"/>
                <w:sz w:val="24"/>
                <w:szCs w:val="24"/>
                <w:highlight w:val="none"/>
                <w:lang w:val="en-US" w:eastAsia="zh-CN"/>
              </w:rPr>
              <w:t>。</w:t>
            </w:r>
          </w:p>
          <w:p>
            <w:pPr>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生活污水经隔油池、化粪池消化处理后，排放口pH浓度范围7.1～7.3，化学需氧量（COD</w:t>
            </w:r>
            <w:r>
              <w:rPr>
                <w:rFonts w:hint="eastAsia" w:ascii="宋体" w:hAnsi="宋体" w:eastAsia="宋体" w:cs="宋体"/>
                <w:color w:val="auto"/>
                <w:sz w:val="24"/>
                <w:szCs w:val="24"/>
                <w:highlight w:val="none"/>
                <w:vertAlign w:val="subscript"/>
                <w:lang w:val="en-US" w:eastAsia="zh-CN"/>
              </w:rPr>
              <w:t>Cr</w:t>
            </w:r>
            <w:r>
              <w:rPr>
                <w:rFonts w:hint="eastAsia" w:ascii="宋体" w:hAnsi="宋体" w:eastAsia="宋体" w:cs="宋体"/>
                <w:color w:val="auto"/>
                <w:sz w:val="24"/>
                <w:szCs w:val="24"/>
                <w:highlight w:val="none"/>
                <w:lang w:val="en-US" w:eastAsia="zh-CN"/>
              </w:rPr>
              <w:t>）排放浓度范围为179～192mg/L，悬浮物（SS）排放浓度范围为56～70mg/L，五日生化需氧量排放浓度范围为76.6～87.1mg/L，</w:t>
            </w:r>
            <w:r>
              <w:rPr>
                <w:rFonts w:hint="eastAsia" w:ascii="宋体" w:hAnsi="宋体" w:cs="宋体"/>
                <w:color w:val="auto"/>
                <w:sz w:val="24"/>
                <w:szCs w:val="24"/>
                <w:highlight w:val="none"/>
                <w:lang w:val="en-US" w:eastAsia="zh-CN"/>
              </w:rPr>
              <w:t>氨氮</w:t>
            </w:r>
            <w:r>
              <w:rPr>
                <w:rFonts w:hint="eastAsia" w:ascii="宋体" w:hAnsi="宋体" w:eastAsia="宋体" w:cs="宋体"/>
                <w:color w:val="auto"/>
                <w:sz w:val="24"/>
                <w:szCs w:val="24"/>
                <w:highlight w:val="none"/>
                <w:lang w:val="en-US" w:eastAsia="zh-CN"/>
              </w:rPr>
              <w:t>排放浓度范围为16.2～18.5mg/L，生活污水排放符合</w:t>
            </w:r>
            <w:r>
              <w:rPr>
                <w:rFonts w:hint="eastAsia" w:ascii="宋体" w:hAnsi="宋体" w:eastAsia="宋体" w:cs="宋体"/>
                <w:color w:val="auto"/>
                <w:sz w:val="24"/>
                <w:szCs w:val="24"/>
                <w:highlight w:val="none"/>
              </w:rPr>
              <w:t>《污水综合排放标准》(GB8978-1996)表4中的三级</w:t>
            </w:r>
            <w:r>
              <w:rPr>
                <w:rFonts w:hint="eastAsia" w:ascii="宋体" w:hAnsi="宋体" w:eastAsia="宋体" w:cs="宋体"/>
                <w:color w:val="auto"/>
                <w:sz w:val="24"/>
                <w:szCs w:val="24"/>
                <w:highlight w:val="none"/>
                <w:lang w:val="en-US" w:eastAsia="zh-CN"/>
              </w:rPr>
              <w:t>标准和</w:t>
            </w:r>
            <w:r>
              <w:rPr>
                <w:rFonts w:hint="eastAsia" w:ascii="宋体" w:hAnsi="宋体" w:eastAsia="宋体" w:cs="宋体"/>
                <w:color w:val="auto"/>
                <w:sz w:val="24"/>
                <w:szCs w:val="24"/>
                <w:highlight w:val="none"/>
              </w:rPr>
              <w:t>《污水排入城镇下水道水质标准》(GB/T31962-2015)表1中的B级标准</w:t>
            </w:r>
            <w:r>
              <w:rPr>
                <w:rFonts w:hint="eastAsia" w:ascii="宋体" w:hAnsi="宋体" w:eastAsia="宋体" w:cs="宋体"/>
                <w:color w:val="auto"/>
                <w:sz w:val="24"/>
                <w:szCs w:val="24"/>
                <w:highlight w:val="none"/>
                <w:lang w:eastAsia="zh-CN"/>
              </w:rPr>
              <w:t>。</w:t>
            </w:r>
          </w:p>
          <w:p>
            <w:pPr>
              <w:pStyle w:val="82"/>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bCs/>
                <w:color w:val="auto"/>
                <w:kern w:val="2"/>
                <w:sz w:val="24"/>
                <w:szCs w:val="24"/>
                <w:highlight w:val="none"/>
                <w:lang w:val="en-US" w:eastAsia="zh-CN" w:bidi="ar-SA"/>
              </w:rPr>
              <w:t>②</w:t>
            </w:r>
            <w:r>
              <w:rPr>
                <w:rFonts w:hint="default" w:ascii="Times New Roman" w:hAnsi="Times New Roman" w:eastAsia="宋体" w:cs="Times New Roman"/>
                <w:color w:val="auto"/>
                <w:sz w:val="24"/>
                <w:szCs w:val="24"/>
                <w:highlight w:val="none"/>
                <w:lang w:val="en-US" w:eastAsia="zh-CN"/>
              </w:rPr>
              <w:t>废气治理设施</w:t>
            </w:r>
          </w:p>
          <w:p>
            <w:pPr>
              <w:pStyle w:val="19"/>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宋体" w:hAnsi="宋体" w:eastAsia="宋体" w:cs="宋体"/>
                <w:bCs/>
                <w:color w:val="auto"/>
                <w:sz w:val="24"/>
                <w:szCs w:val="24"/>
                <w:highlight w:val="none"/>
                <w:lang w:val="en-US" w:eastAsia="zh-CN"/>
              </w:rPr>
            </w:pPr>
            <w:r>
              <w:rPr>
                <w:rFonts w:hint="eastAsia" w:hAnsi="宋体" w:cs="宋体"/>
                <w:bCs/>
                <w:color w:val="auto"/>
                <w:sz w:val="24"/>
                <w:szCs w:val="24"/>
                <w:highlight w:val="none"/>
                <w:lang w:val="en-US" w:eastAsia="zh-CN"/>
              </w:rPr>
              <w:t>抛光、喷砂工序粉尘采用水喷淋除尘处理，处理效率在97~98%之间。</w:t>
            </w:r>
          </w:p>
          <w:p>
            <w:pPr>
              <w:pStyle w:val="19"/>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抛光研磨工序</w:t>
            </w:r>
            <w:r>
              <w:rPr>
                <w:rFonts w:hint="eastAsia" w:ascii="宋体" w:hAnsi="宋体" w:eastAsia="宋体" w:cs="宋体"/>
                <w:bCs/>
                <w:color w:val="auto"/>
                <w:sz w:val="24"/>
                <w:szCs w:val="24"/>
                <w:highlight w:val="none"/>
              </w:rPr>
              <w:t>排放口</w:t>
            </w:r>
            <w:r>
              <w:rPr>
                <w:rFonts w:hint="eastAsia" w:ascii="宋体" w:hAnsi="宋体" w:eastAsia="宋体" w:cs="宋体"/>
                <w:bCs/>
                <w:color w:val="auto"/>
                <w:sz w:val="24"/>
                <w:szCs w:val="24"/>
                <w:highlight w:val="none"/>
                <w:lang w:val="en-US" w:eastAsia="zh-CN"/>
              </w:rPr>
              <w:t>颗粒物</w:t>
            </w:r>
            <w:r>
              <w:rPr>
                <w:rFonts w:hint="eastAsia" w:ascii="宋体" w:hAnsi="宋体" w:eastAsia="宋体" w:cs="宋体"/>
                <w:bCs/>
                <w:color w:val="auto"/>
                <w:sz w:val="24"/>
                <w:szCs w:val="24"/>
                <w:highlight w:val="none"/>
              </w:rPr>
              <w:t>出口</w:t>
            </w:r>
            <w:r>
              <w:rPr>
                <w:rFonts w:hint="eastAsia" w:ascii="宋体" w:hAnsi="宋体" w:eastAsia="宋体" w:cs="宋体"/>
                <w:bCs/>
                <w:color w:val="auto"/>
                <w:sz w:val="24"/>
                <w:szCs w:val="24"/>
                <w:highlight w:val="none"/>
                <w:lang w:eastAsia="zh-CN"/>
              </w:rPr>
              <w:t>实测</w:t>
            </w:r>
            <w:r>
              <w:rPr>
                <w:rFonts w:hint="eastAsia" w:ascii="宋体" w:hAnsi="宋体" w:eastAsia="宋体" w:cs="宋体"/>
                <w:bCs/>
                <w:color w:val="auto"/>
                <w:sz w:val="24"/>
                <w:szCs w:val="24"/>
                <w:highlight w:val="none"/>
              </w:rPr>
              <w:t>浓度为</w:t>
            </w:r>
            <w:r>
              <w:rPr>
                <w:rFonts w:hint="eastAsia" w:ascii="宋体" w:hAnsi="宋体" w:eastAsia="宋体" w:cs="宋体"/>
                <w:bCs/>
                <w:color w:val="auto"/>
                <w:sz w:val="24"/>
                <w:szCs w:val="24"/>
                <w:highlight w:val="none"/>
                <w:lang w:val="en-US" w:eastAsia="zh-CN"/>
              </w:rPr>
              <w:t>19.2</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27.1</w:t>
            </w:r>
            <w:r>
              <w:rPr>
                <w:rFonts w:hint="eastAsia" w:ascii="宋体" w:hAnsi="宋体" w:eastAsia="宋体" w:cs="宋体"/>
                <w:bCs/>
                <w:color w:val="auto"/>
                <w:sz w:val="24"/>
                <w:szCs w:val="24"/>
                <w:highlight w:val="none"/>
              </w:rPr>
              <w:t>mg/m</w:t>
            </w:r>
            <w:r>
              <w:rPr>
                <w:rFonts w:hint="eastAsia" w:ascii="宋体" w:hAnsi="宋体" w:eastAsia="宋体" w:cs="宋体"/>
                <w:bCs/>
                <w:color w:val="auto"/>
                <w:sz w:val="24"/>
                <w:szCs w:val="24"/>
                <w:highlight w:val="none"/>
                <w:vertAlign w:val="superscript"/>
              </w:rPr>
              <w:t>3</w:t>
            </w:r>
            <w:r>
              <w:rPr>
                <w:rFonts w:hint="eastAsia" w:ascii="宋体" w:hAnsi="宋体" w:eastAsia="宋体" w:cs="宋体"/>
                <w:bCs/>
                <w:color w:val="auto"/>
                <w:sz w:val="24"/>
                <w:szCs w:val="24"/>
                <w:highlight w:val="none"/>
                <w:vertAlign w:val="baseline"/>
                <w:lang w:eastAsia="zh-CN"/>
              </w:rPr>
              <w:t>，</w:t>
            </w:r>
            <w:r>
              <w:rPr>
                <w:rFonts w:hint="eastAsia" w:ascii="宋体" w:hAnsi="宋体" w:eastAsia="宋体" w:cs="宋体"/>
                <w:bCs/>
                <w:color w:val="auto"/>
                <w:sz w:val="24"/>
                <w:szCs w:val="24"/>
                <w:highlight w:val="none"/>
                <w:vertAlign w:val="baseline"/>
                <w:lang w:val="en-US" w:eastAsia="zh-CN"/>
              </w:rPr>
              <w:t>速率为0.101~0.143</w:t>
            </w:r>
            <w:r>
              <w:rPr>
                <w:rFonts w:hint="eastAsia" w:ascii="宋体" w:hAnsi="宋体" w:eastAsia="宋体" w:cs="宋体"/>
                <w:b w:val="0"/>
                <w:bCs/>
                <w:color w:val="auto"/>
                <w:sz w:val="24"/>
                <w:szCs w:val="24"/>
                <w:highlight w:val="none"/>
                <w:lang w:val="en-US" w:eastAsia="zh-CN"/>
              </w:rPr>
              <w:t>kg/h，</w:t>
            </w:r>
            <w:r>
              <w:rPr>
                <w:rFonts w:hint="eastAsia" w:ascii="宋体" w:hAnsi="宋体" w:eastAsia="宋体" w:cs="宋体"/>
                <w:b w:val="0"/>
                <w:bCs/>
                <w:color w:val="auto"/>
                <w:sz w:val="24"/>
                <w:szCs w:val="24"/>
                <w:highlight w:val="none"/>
              </w:rPr>
              <w:t>达到</w:t>
            </w:r>
            <w:r>
              <w:rPr>
                <w:rFonts w:hint="eastAsia" w:ascii="宋体" w:hAnsi="宋体" w:eastAsia="宋体" w:cs="宋体"/>
                <w:b w:val="0"/>
                <w:bCs/>
                <w:color w:val="auto"/>
                <w:sz w:val="24"/>
                <w:szCs w:val="24"/>
                <w:highlight w:val="none"/>
                <w:lang w:val="en-US" w:eastAsia="zh-CN"/>
              </w:rPr>
              <w:t>《大气污染物综合排放标准》（GB 16297-1996）表2中的排放限值要求，</w:t>
            </w:r>
            <w:r>
              <w:rPr>
                <w:rFonts w:hint="default" w:ascii="Times New Roman" w:hAnsi="Times New Roman" w:eastAsia="宋体" w:cs="Times New Roman"/>
                <w:b w:val="0"/>
                <w:bCs/>
                <w:color w:val="auto"/>
                <w:sz w:val="24"/>
                <w:szCs w:val="24"/>
                <w:highlight w:val="none"/>
                <w:lang w:val="en-US" w:eastAsia="zh-CN"/>
              </w:rPr>
              <w:t>即</w:t>
            </w:r>
            <w:r>
              <w:rPr>
                <w:rFonts w:hint="eastAsia" w:ascii="Times New Roman" w:hAnsi="Times New Roman" w:eastAsia="宋体" w:cs="Times New Roman"/>
                <w:b w:val="0"/>
                <w:bCs/>
                <w:color w:val="auto"/>
                <w:sz w:val="24"/>
                <w:szCs w:val="24"/>
                <w:highlight w:val="none"/>
                <w:lang w:val="en-US" w:eastAsia="zh-CN"/>
              </w:rPr>
              <w:t>最高允许排放浓度为120</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最高允许排放速率14.45kg/h（排气筒高度25m）</w:t>
            </w:r>
            <w:r>
              <w:rPr>
                <w:rFonts w:hint="eastAsia" w:ascii="宋体" w:hAnsi="宋体" w:eastAsia="宋体" w:cs="宋体"/>
                <w:bCs/>
                <w:color w:val="auto"/>
                <w:sz w:val="24"/>
                <w:szCs w:val="24"/>
                <w:highlight w:val="none"/>
              </w:rPr>
              <w:t>。</w:t>
            </w:r>
          </w:p>
          <w:p>
            <w:pPr>
              <w:pStyle w:val="19"/>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lang w:val="en-US" w:eastAsia="zh-CN"/>
              </w:rPr>
              <w:t>喷砂工序排放口</w:t>
            </w:r>
            <w:r>
              <w:rPr>
                <w:rFonts w:hint="default" w:ascii="Times New Roman" w:hAnsi="Times New Roman" w:eastAsia="宋体" w:cs="Times New Roman"/>
                <w:b w:val="0"/>
                <w:bCs/>
                <w:color w:val="auto"/>
                <w:sz w:val="24"/>
                <w:szCs w:val="24"/>
                <w:highlight w:val="none"/>
                <w:lang w:val="en-US" w:eastAsia="zh-CN"/>
              </w:rPr>
              <w:t>颗粒物浓度范围为</w:t>
            </w:r>
            <w:r>
              <w:rPr>
                <w:rFonts w:hint="eastAsia" w:ascii="Times New Roman" w:hAnsi="Times New Roman" w:eastAsia="宋体" w:cs="Times New Roman"/>
                <w:b w:val="0"/>
                <w:bCs/>
                <w:color w:val="auto"/>
                <w:sz w:val="24"/>
                <w:szCs w:val="24"/>
                <w:highlight w:val="none"/>
                <w:lang w:val="en-US" w:eastAsia="zh-CN"/>
              </w:rPr>
              <w:t>20.5</w:t>
            </w:r>
            <w:r>
              <w:rPr>
                <w:rFonts w:hint="default" w:ascii="Times New Roman" w:hAnsi="Times New Roman" w:eastAsia="宋体" w:cs="Times New Roman"/>
                <w:b w:val="0"/>
                <w:bCs/>
                <w:color w:val="auto"/>
                <w:sz w:val="24"/>
                <w:szCs w:val="24"/>
                <w:highlight w:val="none"/>
                <w:lang w:val="en-US" w:eastAsia="zh-CN"/>
              </w:rPr>
              <w:t>~2</w:t>
            </w:r>
            <w:r>
              <w:rPr>
                <w:rFonts w:hint="eastAsia" w:ascii="Times New Roman" w:hAnsi="Times New Roman" w:eastAsia="宋体" w:cs="Times New Roman"/>
                <w:b w:val="0"/>
                <w:bCs/>
                <w:color w:val="auto"/>
                <w:sz w:val="24"/>
                <w:szCs w:val="24"/>
                <w:highlight w:val="none"/>
                <w:lang w:val="en-US" w:eastAsia="zh-CN"/>
              </w:rPr>
              <w:t>4.1</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w:t>
            </w:r>
            <w:r>
              <w:rPr>
                <w:rFonts w:hint="eastAsia" w:ascii="Times New Roman" w:hAnsi="Times New Roman" w:eastAsia="宋体" w:cs="Times New Roman"/>
                <w:b w:val="0"/>
                <w:bCs/>
                <w:color w:val="auto"/>
                <w:sz w:val="24"/>
                <w:szCs w:val="24"/>
                <w:highlight w:val="none"/>
                <w:lang w:eastAsia="zh-CN"/>
              </w:rPr>
              <w:t>排放速率为</w:t>
            </w:r>
            <w:r>
              <w:rPr>
                <w:rFonts w:hint="eastAsia" w:ascii="Times New Roman" w:hAnsi="Times New Roman" w:eastAsia="宋体" w:cs="Times New Roman"/>
                <w:b w:val="0"/>
                <w:bCs/>
                <w:color w:val="auto"/>
                <w:sz w:val="24"/>
                <w:szCs w:val="24"/>
                <w:highlight w:val="none"/>
                <w:lang w:val="en-US" w:eastAsia="zh-CN"/>
              </w:rPr>
              <w:t>0.504~0.590kg/h，</w:t>
            </w:r>
            <w:r>
              <w:rPr>
                <w:rFonts w:hint="default" w:ascii="Times New Roman" w:hAnsi="Times New Roman" w:eastAsia="宋体" w:cs="Times New Roman"/>
                <w:b w:val="0"/>
                <w:bCs/>
                <w:color w:val="auto"/>
                <w:sz w:val="24"/>
                <w:szCs w:val="24"/>
                <w:highlight w:val="none"/>
              </w:rPr>
              <w:t>达到</w:t>
            </w:r>
            <w:r>
              <w:rPr>
                <w:rFonts w:hint="eastAsia" w:ascii="宋体" w:hAnsi="宋体" w:eastAsia="宋体" w:cs="宋体"/>
                <w:b w:val="0"/>
                <w:bCs/>
                <w:color w:val="auto"/>
                <w:sz w:val="24"/>
                <w:szCs w:val="24"/>
                <w:highlight w:val="none"/>
                <w:lang w:val="en-US" w:eastAsia="zh-CN"/>
              </w:rPr>
              <w:t>《大气污染物综合排放标准》（GB 16297-1996）表2中的排放限值要求</w:t>
            </w:r>
            <w:r>
              <w:rPr>
                <w:rFonts w:hint="default" w:ascii="Times New Roman" w:hAnsi="Times New Roman" w:eastAsia="宋体" w:cs="Times New Roman"/>
                <w:b w:val="0"/>
                <w:bCs/>
                <w:color w:val="auto"/>
                <w:sz w:val="24"/>
                <w:szCs w:val="24"/>
                <w:highlight w:val="none"/>
                <w:lang w:val="en-US" w:eastAsia="zh-CN"/>
              </w:rPr>
              <w:t>，即</w:t>
            </w:r>
            <w:r>
              <w:rPr>
                <w:rFonts w:hint="eastAsia" w:ascii="Times New Roman" w:hAnsi="Times New Roman" w:eastAsia="宋体" w:cs="Times New Roman"/>
                <w:b w:val="0"/>
                <w:bCs/>
                <w:color w:val="auto"/>
                <w:sz w:val="24"/>
                <w:szCs w:val="24"/>
                <w:highlight w:val="none"/>
                <w:lang w:val="en-US" w:eastAsia="zh-CN"/>
              </w:rPr>
              <w:t>最高允许排放浓度为120</w:t>
            </w:r>
            <w:r>
              <w:rPr>
                <w:rFonts w:hint="default" w:ascii="Times New Roman" w:hAnsi="Times New Roman" w:eastAsia="宋体" w:cs="Times New Roman"/>
                <w:b w:val="0"/>
                <w:bCs/>
                <w:color w:val="auto"/>
                <w:sz w:val="24"/>
                <w:szCs w:val="24"/>
                <w:highlight w:val="none"/>
              </w:rPr>
              <w:t>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lang w:val="en-US" w:eastAsia="zh-CN"/>
              </w:rPr>
              <w:t>，</w:t>
            </w:r>
            <w:r>
              <w:rPr>
                <w:rFonts w:hint="eastAsia" w:ascii="Times New Roman" w:hAnsi="Times New Roman" w:eastAsia="宋体" w:cs="Times New Roman"/>
                <w:b w:val="0"/>
                <w:bCs/>
                <w:color w:val="auto"/>
                <w:sz w:val="24"/>
                <w:szCs w:val="24"/>
                <w:highlight w:val="none"/>
                <w:lang w:val="en-US" w:eastAsia="zh-CN"/>
              </w:rPr>
              <w:t>最高允许排放速率14.45kg/h（排气筒高度25m）</w:t>
            </w:r>
            <w:r>
              <w:rPr>
                <w:rFonts w:hint="default" w:ascii="Times New Roman" w:hAnsi="Times New Roman" w:eastAsia="宋体" w:cs="Times New Roman"/>
                <w:b w:val="0"/>
                <w:bCs/>
                <w:color w:val="auto"/>
                <w:sz w:val="24"/>
                <w:szCs w:val="24"/>
                <w:highlight w:val="none"/>
              </w:rPr>
              <w:t>。</w:t>
            </w:r>
          </w:p>
          <w:p>
            <w:pPr>
              <w:pStyle w:val="7"/>
              <w:pageBreakBefore w:val="0"/>
              <w:widowControl w:val="0"/>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rPr>
              <w:t>厂界下风向</w:t>
            </w:r>
            <w:r>
              <w:rPr>
                <w:rFonts w:hint="default" w:ascii="Times New Roman" w:hAnsi="Times New Roman" w:eastAsia="宋体" w:cs="Times New Roman"/>
                <w:bCs/>
                <w:color w:val="auto"/>
                <w:sz w:val="24"/>
                <w:szCs w:val="24"/>
                <w:highlight w:val="none"/>
                <w:lang w:val="en-US" w:eastAsia="zh-CN"/>
              </w:rPr>
              <w:t>颗粒物</w:t>
            </w:r>
            <w:r>
              <w:rPr>
                <w:rFonts w:hint="default" w:ascii="Times New Roman" w:hAnsi="Times New Roman" w:eastAsia="宋体" w:cs="Times New Roman"/>
                <w:bCs/>
                <w:color w:val="auto"/>
                <w:sz w:val="24"/>
                <w:szCs w:val="24"/>
                <w:highlight w:val="none"/>
              </w:rPr>
              <w:t>浓度最大值</w:t>
            </w:r>
            <w:r>
              <w:rPr>
                <w:rFonts w:hint="default" w:ascii="Times New Roman" w:hAnsi="Times New Roman" w:eastAsia="宋体" w:cs="Times New Roman"/>
                <w:bCs/>
                <w:color w:val="auto"/>
                <w:sz w:val="24"/>
                <w:szCs w:val="24"/>
                <w:highlight w:val="none"/>
                <w:lang w:val="en-US" w:eastAsia="zh-CN"/>
              </w:rPr>
              <w:t>为0.</w:t>
            </w:r>
            <w:r>
              <w:rPr>
                <w:rFonts w:hint="eastAsia" w:ascii="Times New Roman" w:hAnsi="Times New Roman" w:eastAsia="宋体" w:cs="Times New Roman"/>
                <w:bCs/>
                <w:color w:val="auto"/>
                <w:sz w:val="24"/>
                <w:szCs w:val="24"/>
                <w:highlight w:val="none"/>
                <w:lang w:val="en-US" w:eastAsia="zh-CN"/>
              </w:rPr>
              <w:t>220</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rPr>
              <w:t>小于标准值</w:t>
            </w:r>
            <w:r>
              <w:rPr>
                <w:rFonts w:hint="default" w:ascii="Times New Roman" w:hAnsi="Times New Roman" w:eastAsia="宋体" w:cs="Times New Roman"/>
                <w:bCs/>
                <w:color w:val="auto"/>
                <w:sz w:val="24"/>
                <w:szCs w:val="24"/>
                <w:highlight w:val="none"/>
                <w:lang w:val="en-US" w:eastAsia="zh-CN"/>
              </w:rPr>
              <w:t>1.0</w:t>
            </w:r>
            <w:r>
              <w:rPr>
                <w:rFonts w:hint="default" w:ascii="Times New Roman" w:hAnsi="Times New Roman" w:eastAsia="宋体" w:cs="Times New Roman"/>
                <w:bCs/>
                <w:color w:val="auto"/>
                <w:sz w:val="24"/>
                <w:szCs w:val="24"/>
                <w:highlight w:val="none"/>
              </w:rPr>
              <w:t>mg/m</w:t>
            </w:r>
            <w:r>
              <w:rPr>
                <w:rFonts w:hint="default" w:ascii="Times New Roman" w:hAnsi="Times New Roman" w:eastAsia="宋体" w:cs="Times New Roman"/>
                <w:bCs/>
                <w:color w:val="auto"/>
                <w:sz w:val="24"/>
                <w:szCs w:val="24"/>
                <w:highlight w:val="none"/>
                <w:vertAlign w:val="superscript"/>
              </w:rPr>
              <w:t>3</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说明厂界无组织排放浓度</w:t>
            </w:r>
            <w:r>
              <w:rPr>
                <w:rFonts w:hint="default" w:ascii="Times New Roman" w:hAnsi="Times New Roman" w:eastAsia="宋体" w:cs="Times New Roman"/>
                <w:bCs/>
                <w:color w:val="auto"/>
                <w:sz w:val="24"/>
                <w:szCs w:val="24"/>
                <w:highlight w:val="none"/>
              </w:rPr>
              <w:t>符合《大气污染物综合排放标准》</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GB16297-1996</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表2标准。</w:t>
            </w:r>
          </w:p>
          <w:p>
            <w:pPr>
              <w:pStyle w:val="82"/>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bCs/>
                <w:color w:val="auto"/>
                <w:kern w:val="2"/>
                <w:sz w:val="24"/>
                <w:szCs w:val="24"/>
                <w:highlight w:val="none"/>
                <w:lang w:val="en-US" w:eastAsia="zh-CN" w:bidi="ar-SA"/>
              </w:rPr>
              <w:t>③</w:t>
            </w:r>
            <w:r>
              <w:rPr>
                <w:rFonts w:hint="default" w:ascii="Times New Roman" w:hAnsi="Times New Roman" w:eastAsia="宋体" w:cs="Times New Roman"/>
                <w:color w:val="auto"/>
                <w:sz w:val="24"/>
                <w:szCs w:val="24"/>
                <w:highlight w:val="none"/>
                <w:lang w:val="en-US" w:eastAsia="zh-CN"/>
              </w:rPr>
              <w:t>厂界噪声</w:t>
            </w:r>
          </w:p>
          <w:p>
            <w:pPr>
              <w:pStyle w:val="82"/>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厂界外布设4个监测点位。</w:t>
            </w:r>
            <w:r>
              <w:rPr>
                <w:rFonts w:hint="eastAsia" w:ascii="宋体" w:hAnsi="宋体" w:eastAsia="宋体" w:cs="宋体"/>
                <w:color w:val="auto"/>
                <w:sz w:val="24"/>
                <w:szCs w:val="24"/>
                <w:highlight w:val="none"/>
                <w:lang w:val="en-US" w:eastAsia="zh-CN"/>
              </w:rPr>
              <w:t>厂界噪声昼间等效声级在56.3～58.7dB（A</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之间，厂界夜间噪声等效声级在46.3～47.6dB（A</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之间，本项目厂界噪声均符合GB12348-2008《工业企业厂界环境噪声排放标准》3类、4类标准限值要求</w:t>
            </w:r>
            <w:r>
              <w:rPr>
                <w:rFonts w:hint="default" w:ascii="Times New Roman" w:hAnsi="Times New Roman" w:eastAsia="宋体" w:cs="Times New Roman"/>
                <w:b w:val="0"/>
                <w:bCs/>
                <w:color w:val="auto"/>
                <w:sz w:val="24"/>
                <w:szCs w:val="24"/>
                <w:highlight w:val="none"/>
                <w:lang w:val="en-US" w:eastAsia="zh-CN"/>
              </w:rPr>
              <w:t>。</w:t>
            </w:r>
          </w:p>
          <w:p>
            <w:pPr>
              <w:pStyle w:val="82"/>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固体废物</w:t>
            </w:r>
          </w:p>
          <w:p>
            <w:pPr>
              <w:pStyle w:val="82"/>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固废</w:t>
            </w:r>
            <w:r>
              <w:rPr>
                <w:rFonts w:hint="eastAsia" w:ascii="Times New Roman" w:hAnsi="Times New Roman" w:cs="Times New Roman"/>
                <w:color w:val="auto"/>
                <w:sz w:val="24"/>
                <w:szCs w:val="24"/>
                <w:highlight w:val="none"/>
                <w:lang w:val="en-US" w:eastAsia="zh-CN"/>
              </w:rPr>
              <w:t>在厂内分类、分区贮存，可回收的金属屑、边角料等回收工艺回收利用，其它一般工业固废委托有资质的单位处置，危险固废委托有资质的单位安全处置，</w:t>
            </w:r>
            <w:r>
              <w:rPr>
                <w:rFonts w:hint="default" w:ascii="Times New Roman" w:hAnsi="Times New Roman" w:eastAsia="宋体" w:cs="Times New Roman"/>
                <w:color w:val="auto"/>
                <w:sz w:val="24"/>
                <w:szCs w:val="24"/>
                <w:highlight w:val="none"/>
                <w:lang w:val="en-US" w:eastAsia="zh-CN"/>
              </w:rPr>
              <w:t>生活垃圾由环卫部门清运处置</w:t>
            </w:r>
            <w:r>
              <w:rPr>
                <w:rFonts w:hint="eastAsia" w:ascii="Times New Roman" w:hAnsi="Times New Roman" w:cs="Times New Roman"/>
                <w:color w:val="auto"/>
                <w:sz w:val="24"/>
                <w:szCs w:val="24"/>
                <w:highlight w:val="none"/>
                <w:lang w:val="en-US" w:eastAsia="zh-CN"/>
              </w:rPr>
              <w:t>，固废暂存依托厂内已有的</w:t>
            </w:r>
            <w:r>
              <w:rPr>
                <w:rFonts w:hint="default" w:ascii="Times New Roman" w:hAnsi="Times New Roman" w:eastAsia="宋体" w:cs="Times New Roman"/>
                <w:color w:val="auto"/>
                <w:sz w:val="24"/>
                <w:szCs w:val="24"/>
                <w:highlight w:val="none"/>
                <w:lang w:val="en-US" w:eastAsia="zh-CN"/>
              </w:rPr>
              <w:t>一般工业固废仓库</w:t>
            </w:r>
            <w:r>
              <w:rPr>
                <w:rFonts w:hint="eastAsia" w:ascii="Times New Roman" w:hAnsi="Times New Roman" w:cs="Times New Roman"/>
                <w:color w:val="auto"/>
                <w:sz w:val="24"/>
                <w:szCs w:val="24"/>
                <w:highlight w:val="none"/>
                <w:lang w:val="en-US" w:eastAsia="zh-CN"/>
              </w:rPr>
              <w:t>、危废仓库。</w:t>
            </w:r>
            <w:r>
              <w:rPr>
                <w:rFonts w:hint="default" w:ascii="Times New Roman" w:hAnsi="Times New Roman" w:eastAsia="宋体" w:cs="Times New Roman"/>
                <w:color w:val="auto"/>
                <w:sz w:val="24"/>
                <w:szCs w:val="24"/>
                <w:highlight w:val="none"/>
                <w:lang w:val="en-US" w:eastAsia="zh-CN"/>
              </w:rPr>
              <w:t>一般工业固废</w:t>
            </w:r>
            <w:r>
              <w:rPr>
                <w:rFonts w:hint="eastAsia" w:ascii="Times New Roman" w:hAnsi="Times New Roman" w:cs="Times New Roman"/>
                <w:color w:val="auto"/>
                <w:sz w:val="24"/>
                <w:szCs w:val="24"/>
                <w:highlight w:val="none"/>
                <w:lang w:val="en-US" w:eastAsia="zh-CN"/>
              </w:rPr>
              <w:t>仓库、危废仓库的防渗等符</w:t>
            </w:r>
            <w:r>
              <w:rPr>
                <w:rFonts w:hint="eastAsia" w:ascii="Times New Roman" w:hAnsi="Times New Roman" w:eastAsia="宋体" w:cs="Times New Roman"/>
                <w:color w:val="auto"/>
                <w:sz w:val="24"/>
                <w:szCs w:val="24"/>
                <w:highlight w:val="none"/>
                <w:lang w:val="en-US" w:eastAsia="zh-CN"/>
              </w:rPr>
              <w:t>合</w:t>
            </w:r>
            <w:r>
              <w:rPr>
                <w:rFonts w:hint="default" w:ascii="Times New Roman" w:hAnsi="Times New Roman" w:eastAsia="宋体" w:cs="Times New Roman"/>
                <w:color w:val="auto"/>
                <w:sz w:val="24"/>
                <w:szCs w:val="24"/>
                <w:highlight w:val="none"/>
                <w:lang w:val="en-US" w:eastAsia="zh-CN"/>
              </w:rPr>
              <w:t>《一般工业固体废物贮存和填埋污染控制标准》（GB18599-2020）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《危险废物贮存污染控制标准》（GB18597-20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lang w:val="en-US" w:eastAsia="zh-CN"/>
              </w:rPr>
              <w:t>。</w:t>
            </w:r>
          </w:p>
          <w:p>
            <w:pPr>
              <w:pStyle w:val="82"/>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val="en-US" w:eastAsia="zh-CN"/>
              </w:rPr>
              <w:t>总量排放情况</w:t>
            </w:r>
          </w:p>
          <w:p>
            <w:pPr>
              <w:pStyle w:val="82"/>
              <w:keepNext w:val="0"/>
              <w:keepLines w:val="0"/>
              <w:pageBreakBefore w:val="0"/>
              <w:widowControl/>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COD</w:t>
            </w:r>
            <w:r>
              <w:rPr>
                <w:rFonts w:hint="default" w:ascii="Times New Roman" w:hAnsi="Times New Roman" w:eastAsia="宋体" w:cs="Times New Roman"/>
                <w:color w:val="auto"/>
                <w:sz w:val="24"/>
                <w:szCs w:val="24"/>
                <w:highlight w:val="none"/>
                <w:lang w:val="en-US" w:eastAsia="zh-CN"/>
              </w:rPr>
              <w:t>排放总量为</w:t>
            </w:r>
            <w:r>
              <w:rPr>
                <w:rFonts w:hint="eastAsia" w:ascii="Times New Roman" w:hAnsi="Times New Roman" w:eastAsia="宋体" w:cs="Times New Roman"/>
                <w:color w:val="auto"/>
                <w:sz w:val="24"/>
                <w:szCs w:val="24"/>
                <w:highlight w:val="none"/>
                <w:lang w:val="en-US" w:eastAsia="zh-CN"/>
              </w:rPr>
              <w:t>0.0015</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（按长乐滨海污水处理厂尾水排放标准折算）</w:t>
            </w:r>
            <w:r>
              <w:rPr>
                <w:rFonts w:hint="default" w:ascii="Times New Roman" w:hAnsi="Times New Roman" w:eastAsia="宋体" w:cs="Times New Roman"/>
                <w:color w:val="auto"/>
                <w:sz w:val="24"/>
                <w:szCs w:val="24"/>
                <w:highlight w:val="none"/>
                <w:lang w:val="en-US" w:eastAsia="zh-CN"/>
              </w:rPr>
              <w:t>，小于环评报告表批复和排污权交易获得</w:t>
            </w:r>
            <w:r>
              <w:rPr>
                <w:rFonts w:hint="eastAsia" w:ascii="Times New Roman" w:hAnsi="Times New Roman" w:cs="Times New Roman"/>
                <w:color w:val="auto"/>
                <w:sz w:val="24"/>
                <w:szCs w:val="24"/>
                <w:highlight w:val="none"/>
                <w:lang w:val="en-US" w:eastAsia="zh-CN"/>
              </w:rPr>
              <w:t>的</w:t>
            </w:r>
            <w:r>
              <w:rPr>
                <w:rFonts w:hint="eastAsia" w:ascii="Times New Roman" w:hAnsi="Times New Roman" w:eastAsia="宋体" w:cs="Times New Roman"/>
                <w:color w:val="auto"/>
                <w:sz w:val="24"/>
                <w:szCs w:val="24"/>
                <w:highlight w:val="none"/>
                <w:lang w:val="en-US" w:eastAsia="zh-CN"/>
              </w:rPr>
              <w:t>COD</w:t>
            </w:r>
            <w:r>
              <w:rPr>
                <w:rFonts w:hint="default" w:ascii="Times New Roman" w:hAnsi="Times New Roman" w:eastAsia="宋体" w:cs="Times New Roman"/>
                <w:color w:val="auto"/>
                <w:sz w:val="24"/>
                <w:szCs w:val="24"/>
                <w:highlight w:val="none"/>
                <w:lang w:val="en-US" w:eastAsia="zh-CN"/>
              </w:rPr>
              <w:t>排放量，即</w:t>
            </w:r>
            <w:r>
              <w:rPr>
                <w:rFonts w:hint="eastAsia" w:ascii="Times New Roman" w:hAnsi="Times New Roman" w:eastAsia="宋体" w:cs="Times New Roman"/>
                <w:color w:val="auto"/>
                <w:sz w:val="24"/>
                <w:szCs w:val="24"/>
                <w:highlight w:val="none"/>
                <w:lang w:val="en-US" w:eastAsia="zh-CN"/>
              </w:rPr>
              <w:t>COD0.045</w:t>
            </w:r>
            <w:r>
              <w:rPr>
                <w:rFonts w:hint="default" w:ascii="Times New Roman" w:hAnsi="Times New Roman" w:eastAsia="宋体" w:cs="Times New Roman"/>
                <w:color w:val="auto"/>
                <w:sz w:val="24"/>
                <w:szCs w:val="24"/>
                <w:highlight w:val="none"/>
                <w:lang w:val="en-US" w:eastAsia="zh-CN"/>
              </w:rPr>
              <w:t>t/a。</w:t>
            </w:r>
          </w:p>
          <w:p>
            <w:pPr>
              <w:pStyle w:val="72"/>
              <w:ind w:firstLine="48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自行监测达标排放情况</w:t>
            </w:r>
          </w:p>
          <w:p>
            <w:pPr>
              <w:pStyle w:val="72"/>
              <w:ind w:firstLine="480"/>
              <w:rPr>
                <w:rFonts w:hint="default" w:eastAsia="宋体"/>
                <w:color w:val="auto"/>
                <w:highlight w:val="none"/>
                <w:lang w:val="en-US" w:eastAsia="zh-CN"/>
              </w:rPr>
            </w:pPr>
            <w:r>
              <w:rPr>
                <w:rFonts w:hint="eastAsia"/>
                <w:color w:val="auto"/>
                <w:highlight w:val="none"/>
                <w:lang w:val="en-US" w:eastAsia="zh-CN"/>
              </w:rPr>
              <w:t>现有项目污染物达标排放情况参考福建拓普检测技术有限公司出具的自行监测报告《福建阿石创新材料股份有限公司（二厂）环境检测》，报告编号：TA25HJ0394。</w:t>
            </w:r>
          </w:p>
          <w:p>
            <w:pPr>
              <w:pStyle w:val="82"/>
              <w:keepNext w:val="0"/>
              <w:keepLines w:val="0"/>
              <w:pageBreakBefore w:val="0"/>
              <w:widowControl/>
              <w:kinsoku/>
              <w:wordWrap/>
              <w:overflowPunct/>
              <w:topLinePunct w:val="0"/>
              <w:autoSpaceDE/>
              <w:autoSpaceDN/>
              <w:bidi w:val="0"/>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①废水</w:t>
            </w:r>
          </w:p>
          <w:p>
            <w:pPr>
              <w:pStyle w:val="82"/>
              <w:keepNext w:val="0"/>
              <w:keepLines w:val="0"/>
              <w:pageBreakBefore w:val="0"/>
              <w:widowControl/>
              <w:kinsoku/>
              <w:wordWrap/>
              <w:overflowPunct/>
              <w:topLinePunct w:val="0"/>
              <w:autoSpaceDE/>
              <w:autoSpaceDN/>
              <w:bidi w:val="0"/>
              <w:spacing w:line="360" w:lineRule="auto"/>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企业废水达标排放情况见表2.5.3。</w:t>
            </w:r>
          </w:p>
          <w:p>
            <w:pPr>
              <w:pStyle w:val="68"/>
              <w:rPr>
                <w:color w:val="auto"/>
                <w:highlight w:val="none"/>
              </w:rPr>
            </w:pPr>
            <w:r>
              <w:rPr>
                <w:rFonts w:hint="eastAsia"/>
                <w:color w:val="auto"/>
                <w:highlight w:val="none"/>
              </w:rPr>
              <w:t>表2.5.3企业废水达标排放情况表</w:t>
            </w:r>
          </w:p>
          <w:tbl>
            <w:tblPr>
              <w:tblStyle w:val="29"/>
              <w:tblW w:w="4997" w:type="pct"/>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44"/>
              <w:gridCol w:w="1013"/>
              <w:gridCol w:w="1086"/>
              <w:gridCol w:w="857"/>
              <w:gridCol w:w="736"/>
              <w:gridCol w:w="841"/>
              <w:gridCol w:w="1337"/>
              <w:gridCol w:w="1087"/>
              <w:gridCol w:w="7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1" w:type="pct"/>
                  <w:vMerge w:val="restart"/>
                  <w:tcBorders>
                    <w:tl2br w:val="nil"/>
                    <w:tr2bl w:val="nil"/>
                  </w:tcBorders>
                  <w:vAlign w:val="center"/>
                </w:tcPr>
                <w:p>
                  <w:pPr>
                    <w:pStyle w:val="70"/>
                    <w:rPr>
                      <w:color w:val="auto"/>
                      <w:highlight w:val="none"/>
                    </w:rPr>
                  </w:pPr>
                  <w:r>
                    <w:rPr>
                      <w:rFonts w:hint="eastAsia"/>
                      <w:color w:val="auto"/>
                      <w:highlight w:val="none"/>
                    </w:rPr>
                    <w:t>监测日期</w:t>
                  </w:r>
                </w:p>
              </w:tc>
              <w:tc>
                <w:tcPr>
                  <w:tcW w:w="600" w:type="pct"/>
                  <w:vMerge w:val="restart"/>
                  <w:tcBorders>
                    <w:tl2br w:val="nil"/>
                    <w:tr2bl w:val="nil"/>
                  </w:tcBorders>
                  <w:vAlign w:val="center"/>
                </w:tcPr>
                <w:p>
                  <w:pPr>
                    <w:pStyle w:val="70"/>
                    <w:rPr>
                      <w:color w:val="auto"/>
                      <w:highlight w:val="none"/>
                    </w:rPr>
                  </w:pPr>
                  <w:r>
                    <w:rPr>
                      <w:rFonts w:hint="eastAsia"/>
                      <w:color w:val="auto"/>
                      <w:highlight w:val="none"/>
                    </w:rPr>
                    <w:t>监测点位</w:t>
                  </w:r>
                </w:p>
              </w:tc>
              <w:tc>
                <w:tcPr>
                  <w:tcW w:w="643" w:type="pct"/>
                  <w:vMerge w:val="restart"/>
                  <w:tcBorders>
                    <w:tl2br w:val="nil"/>
                    <w:tr2bl w:val="nil"/>
                  </w:tcBorders>
                  <w:shd w:val="clear" w:color="auto" w:fill="auto"/>
                  <w:vAlign w:val="center"/>
                </w:tcPr>
                <w:p>
                  <w:pPr>
                    <w:pStyle w:val="70"/>
                    <w:rPr>
                      <w:color w:val="auto"/>
                      <w:highlight w:val="none"/>
                    </w:rPr>
                  </w:pPr>
                  <w:r>
                    <w:rPr>
                      <w:rFonts w:hint="eastAsia"/>
                      <w:color w:val="auto"/>
                      <w:highlight w:val="none"/>
                    </w:rPr>
                    <w:t>监测项目</w:t>
                  </w:r>
                </w:p>
              </w:tc>
              <w:tc>
                <w:tcPr>
                  <w:tcW w:w="2880" w:type="pct"/>
                  <w:gridSpan w:val="5"/>
                  <w:tcBorders>
                    <w:tl2br w:val="nil"/>
                    <w:tr2bl w:val="nil"/>
                  </w:tcBorders>
                  <w:vAlign w:val="center"/>
                </w:tcPr>
                <w:p>
                  <w:pPr>
                    <w:pStyle w:val="70"/>
                    <w:rPr>
                      <w:color w:val="auto"/>
                      <w:highlight w:val="none"/>
                    </w:rPr>
                  </w:pPr>
                  <w:r>
                    <w:rPr>
                      <w:rFonts w:hint="eastAsia"/>
                      <w:color w:val="auto"/>
                      <w:highlight w:val="none"/>
                    </w:rPr>
                    <w:t>监测结果（单位：mg/L；pH无量纲）</w:t>
                  </w:r>
                </w:p>
              </w:tc>
              <w:tc>
                <w:tcPr>
                  <w:tcW w:w="434" w:type="pct"/>
                  <w:vMerge w:val="restart"/>
                  <w:tcBorders>
                    <w:tl2br w:val="nil"/>
                    <w:tr2bl w:val="nil"/>
                  </w:tcBorders>
                  <w:vAlign w:val="center"/>
                </w:tcPr>
                <w:p>
                  <w:pPr>
                    <w:pStyle w:val="70"/>
                    <w:rPr>
                      <w:color w:val="auto"/>
                      <w:highlight w:val="none"/>
                    </w:rPr>
                  </w:pPr>
                  <w:r>
                    <w:rPr>
                      <w:rFonts w:hint="eastAsia"/>
                      <w:color w:val="auto"/>
                      <w:highlight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1" w:type="pct"/>
                  <w:vMerge w:val="continue"/>
                  <w:tcBorders>
                    <w:tl2br w:val="nil"/>
                    <w:tr2bl w:val="nil"/>
                  </w:tcBorders>
                  <w:vAlign w:val="center"/>
                </w:tcPr>
                <w:p>
                  <w:pPr>
                    <w:pStyle w:val="70"/>
                    <w:rPr>
                      <w:color w:val="auto"/>
                      <w:highlight w:val="none"/>
                    </w:rPr>
                  </w:pPr>
                </w:p>
              </w:tc>
              <w:tc>
                <w:tcPr>
                  <w:tcW w:w="600" w:type="pct"/>
                  <w:vMerge w:val="continue"/>
                  <w:tcBorders>
                    <w:tl2br w:val="nil"/>
                    <w:tr2bl w:val="nil"/>
                  </w:tcBorders>
                  <w:vAlign w:val="center"/>
                </w:tcPr>
                <w:p>
                  <w:pPr>
                    <w:pStyle w:val="70"/>
                    <w:rPr>
                      <w:color w:val="auto"/>
                      <w:highlight w:val="none"/>
                    </w:rPr>
                  </w:pPr>
                </w:p>
              </w:tc>
              <w:tc>
                <w:tcPr>
                  <w:tcW w:w="643" w:type="pct"/>
                  <w:vMerge w:val="continue"/>
                  <w:tcBorders>
                    <w:tl2br w:val="nil"/>
                    <w:tr2bl w:val="nil"/>
                  </w:tcBorders>
                  <w:shd w:val="clear" w:color="auto" w:fill="auto"/>
                  <w:vAlign w:val="center"/>
                </w:tcPr>
                <w:p>
                  <w:pPr>
                    <w:pStyle w:val="70"/>
                    <w:rPr>
                      <w:color w:val="auto"/>
                      <w:highlight w:val="none"/>
                    </w:rPr>
                  </w:pPr>
                </w:p>
              </w:tc>
              <w:tc>
                <w:tcPr>
                  <w:tcW w:w="508" w:type="pct"/>
                  <w:tcBorders>
                    <w:tl2br w:val="nil"/>
                    <w:tr2bl w:val="nil"/>
                  </w:tcBorders>
                  <w:vAlign w:val="center"/>
                </w:tcPr>
                <w:p>
                  <w:pPr>
                    <w:pStyle w:val="70"/>
                    <w:rPr>
                      <w:color w:val="auto"/>
                      <w:highlight w:val="none"/>
                    </w:rPr>
                  </w:pPr>
                  <w:r>
                    <w:rPr>
                      <w:rFonts w:hint="eastAsia"/>
                      <w:color w:val="auto"/>
                      <w:highlight w:val="none"/>
                    </w:rPr>
                    <w:t>1</w:t>
                  </w:r>
                </w:p>
              </w:tc>
              <w:tc>
                <w:tcPr>
                  <w:tcW w:w="436" w:type="pct"/>
                  <w:tcBorders>
                    <w:tl2br w:val="nil"/>
                    <w:tr2bl w:val="nil"/>
                  </w:tcBorders>
                  <w:vAlign w:val="center"/>
                </w:tcPr>
                <w:p>
                  <w:pPr>
                    <w:pStyle w:val="70"/>
                    <w:rPr>
                      <w:color w:val="auto"/>
                      <w:highlight w:val="none"/>
                    </w:rPr>
                  </w:pPr>
                  <w:r>
                    <w:rPr>
                      <w:rFonts w:hint="eastAsia"/>
                      <w:color w:val="auto"/>
                      <w:highlight w:val="none"/>
                    </w:rPr>
                    <w:t>2</w:t>
                  </w:r>
                </w:p>
              </w:tc>
              <w:tc>
                <w:tcPr>
                  <w:tcW w:w="498" w:type="pct"/>
                  <w:tcBorders>
                    <w:tl2br w:val="nil"/>
                    <w:tr2bl w:val="nil"/>
                  </w:tcBorders>
                  <w:vAlign w:val="center"/>
                </w:tcPr>
                <w:p>
                  <w:pPr>
                    <w:pStyle w:val="70"/>
                    <w:rPr>
                      <w:color w:val="auto"/>
                      <w:highlight w:val="none"/>
                    </w:rPr>
                  </w:pPr>
                  <w:r>
                    <w:rPr>
                      <w:rFonts w:hint="eastAsia"/>
                      <w:color w:val="auto"/>
                      <w:highlight w:val="none"/>
                    </w:rPr>
                    <w:t>3</w:t>
                  </w:r>
                </w:p>
              </w:tc>
              <w:tc>
                <w:tcPr>
                  <w:tcW w:w="792" w:type="pct"/>
                  <w:tcBorders>
                    <w:tl2br w:val="nil"/>
                    <w:tr2bl w:val="nil"/>
                  </w:tcBorders>
                  <w:vAlign w:val="center"/>
                </w:tcPr>
                <w:p>
                  <w:pPr>
                    <w:pStyle w:val="70"/>
                    <w:rPr>
                      <w:color w:val="auto"/>
                      <w:highlight w:val="none"/>
                    </w:rPr>
                  </w:pPr>
                  <w:r>
                    <w:rPr>
                      <w:rFonts w:hint="eastAsia"/>
                      <w:color w:val="auto"/>
                      <w:highlight w:val="none"/>
                    </w:rPr>
                    <w:t>平均值/范围</w:t>
                  </w:r>
                </w:p>
              </w:tc>
              <w:tc>
                <w:tcPr>
                  <w:tcW w:w="644" w:type="pct"/>
                  <w:tcBorders>
                    <w:tl2br w:val="nil"/>
                    <w:tr2bl w:val="nil"/>
                  </w:tcBorders>
                  <w:vAlign w:val="center"/>
                </w:tcPr>
                <w:p>
                  <w:pPr>
                    <w:pStyle w:val="70"/>
                    <w:rPr>
                      <w:color w:val="auto"/>
                      <w:highlight w:val="none"/>
                    </w:rPr>
                  </w:pPr>
                  <w:r>
                    <w:rPr>
                      <w:rFonts w:hint="eastAsia"/>
                      <w:color w:val="auto"/>
                      <w:highlight w:val="none"/>
                    </w:rPr>
                    <w:t>标准限值</w:t>
                  </w:r>
                </w:p>
              </w:tc>
              <w:tc>
                <w:tcPr>
                  <w:tcW w:w="434" w:type="pct"/>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1" w:type="pct"/>
                  <w:vMerge w:val="restar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202</w:t>
                  </w: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12.24</w:t>
                  </w:r>
                </w:p>
              </w:tc>
              <w:tc>
                <w:tcPr>
                  <w:tcW w:w="600" w:type="pct"/>
                  <w:vMerge w:val="restart"/>
                  <w:tcBorders>
                    <w:tl2br w:val="nil"/>
                    <w:tr2bl w:val="nil"/>
                  </w:tcBorders>
                  <w:vAlign w:val="center"/>
                </w:tcPr>
                <w:p>
                  <w:pPr>
                    <w:pStyle w:val="70"/>
                    <w:rPr>
                      <w:color w:val="auto"/>
                      <w:highlight w:val="none"/>
                    </w:rPr>
                  </w:pPr>
                  <w:r>
                    <w:rPr>
                      <w:rFonts w:hint="eastAsia"/>
                      <w:color w:val="auto"/>
                      <w:highlight w:val="none"/>
                      <w:lang w:val="en-US" w:eastAsia="zh-CN"/>
                    </w:rPr>
                    <w:t>生产废水</w:t>
                  </w:r>
                  <w:r>
                    <w:rPr>
                      <w:rFonts w:hint="eastAsia"/>
                      <w:color w:val="auto"/>
                      <w:highlight w:val="none"/>
                    </w:rPr>
                    <w:t>排放口</w:t>
                  </w:r>
                </w:p>
              </w:tc>
              <w:tc>
                <w:tcPr>
                  <w:tcW w:w="643"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SS</w:t>
                  </w:r>
                </w:p>
              </w:tc>
              <w:tc>
                <w:tcPr>
                  <w:tcW w:w="508" w:type="pc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32</w:t>
                  </w:r>
                </w:p>
              </w:tc>
              <w:tc>
                <w:tcPr>
                  <w:tcW w:w="436" w:type="pc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25</w:t>
                  </w:r>
                </w:p>
              </w:tc>
              <w:tc>
                <w:tcPr>
                  <w:tcW w:w="498" w:type="pc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27</w:t>
                  </w:r>
                </w:p>
              </w:tc>
              <w:tc>
                <w:tcPr>
                  <w:tcW w:w="792" w:type="pct"/>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2</w:t>
                  </w:r>
                  <w:r>
                    <w:rPr>
                      <w:rFonts w:hint="eastAsia"/>
                      <w:color w:val="auto"/>
                      <w:highlight w:val="none"/>
                      <w:lang w:val="en-US" w:eastAsia="zh-CN"/>
                    </w:rPr>
                    <w:t>8</w:t>
                  </w:r>
                </w:p>
              </w:tc>
              <w:tc>
                <w:tcPr>
                  <w:tcW w:w="644"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≤400</w:t>
                  </w:r>
                </w:p>
              </w:tc>
              <w:tc>
                <w:tcPr>
                  <w:tcW w:w="434"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1" w:type="pct"/>
                  <w:vMerge w:val="continue"/>
                  <w:tcBorders>
                    <w:tl2br w:val="nil"/>
                    <w:tr2bl w:val="nil"/>
                  </w:tcBorders>
                  <w:vAlign w:val="center"/>
                </w:tcPr>
                <w:p>
                  <w:pPr>
                    <w:pStyle w:val="70"/>
                    <w:rPr>
                      <w:color w:val="auto"/>
                      <w:highlight w:val="none"/>
                    </w:rPr>
                  </w:pPr>
                </w:p>
              </w:tc>
              <w:tc>
                <w:tcPr>
                  <w:tcW w:w="600" w:type="pct"/>
                  <w:vMerge w:val="continue"/>
                  <w:tcBorders>
                    <w:tl2br w:val="nil"/>
                    <w:tr2bl w:val="nil"/>
                  </w:tcBorders>
                  <w:vAlign w:val="center"/>
                </w:tcPr>
                <w:p>
                  <w:pPr>
                    <w:pStyle w:val="70"/>
                    <w:rPr>
                      <w:color w:val="auto"/>
                      <w:highlight w:val="none"/>
                    </w:rPr>
                  </w:pPr>
                </w:p>
              </w:tc>
              <w:tc>
                <w:tcPr>
                  <w:tcW w:w="643"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vertAlign w:val="subscript"/>
                      <w:lang w:val="en-US" w:eastAsia="zh-CN" w:bidi="ar-SA"/>
                    </w:rPr>
                  </w:pPr>
                  <w:r>
                    <w:rPr>
                      <w:rFonts w:hint="eastAsia"/>
                      <w:color w:val="auto"/>
                      <w:highlight w:val="none"/>
                    </w:rPr>
                    <w:t>COD</w:t>
                  </w:r>
                  <w:r>
                    <w:rPr>
                      <w:rFonts w:hint="eastAsia"/>
                      <w:color w:val="auto"/>
                      <w:highlight w:val="none"/>
                      <w:vertAlign w:val="subscript"/>
                    </w:rPr>
                    <w:t>Cr</w:t>
                  </w:r>
                </w:p>
              </w:tc>
              <w:tc>
                <w:tcPr>
                  <w:tcW w:w="508" w:type="pc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380</w:t>
                  </w:r>
                </w:p>
              </w:tc>
              <w:tc>
                <w:tcPr>
                  <w:tcW w:w="436" w:type="pc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442</w:t>
                  </w:r>
                </w:p>
              </w:tc>
              <w:tc>
                <w:tcPr>
                  <w:tcW w:w="498" w:type="pc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408</w:t>
                  </w:r>
                </w:p>
              </w:tc>
              <w:tc>
                <w:tcPr>
                  <w:tcW w:w="792" w:type="pc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410</w:t>
                  </w:r>
                </w:p>
              </w:tc>
              <w:tc>
                <w:tcPr>
                  <w:tcW w:w="644"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≤500</w:t>
                  </w:r>
                </w:p>
              </w:tc>
              <w:tc>
                <w:tcPr>
                  <w:tcW w:w="434"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1" w:type="pct"/>
                  <w:vMerge w:val="continue"/>
                  <w:tcBorders>
                    <w:tl2br w:val="nil"/>
                    <w:tr2bl w:val="nil"/>
                  </w:tcBorders>
                  <w:vAlign w:val="center"/>
                </w:tcPr>
                <w:p>
                  <w:pPr>
                    <w:pStyle w:val="70"/>
                    <w:rPr>
                      <w:color w:val="auto"/>
                      <w:highlight w:val="none"/>
                    </w:rPr>
                  </w:pPr>
                </w:p>
              </w:tc>
              <w:tc>
                <w:tcPr>
                  <w:tcW w:w="600" w:type="pct"/>
                  <w:vMerge w:val="continue"/>
                  <w:tcBorders>
                    <w:tl2br w:val="nil"/>
                    <w:tr2bl w:val="nil"/>
                  </w:tcBorders>
                  <w:vAlign w:val="center"/>
                </w:tcPr>
                <w:p>
                  <w:pPr>
                    <w:pStyle w:val="70"/>
                    <w:rPr>
                      <w:color w:val="auto"/>
                      <w:highlight w:val="none"/>
                    </w:rPr>
                  </w:pPr>
                </w:p>
              </w:tc>
              <w:tc>
                <w:tcPr>
                  <w:tcW w:w="643"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石油类</w:t>
                  </w:r>
                </w:p>
              </w:tc>
              <w:tc>
                <w:tcPr>
                  <w:tcW w:w="508" w:type="pc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s="Times New Roman"/>
                      <w:snapToGrid w:val="0"/>
                      <w:color w:val="auto"/>
                      <w:kern w:val="2"/>
                      <w:sz w:val="21"/>
                      <w:szCs w:val="22"/>
                      <w:highlight w:val="none"/>
                      <w:lang w:val="en-US" w:eastAsia="zh-CN" w:bidi="ar-SA"/>
                    </w:rPr>
                    <w:t>0.06L</w:t>
                  </w:r>
                </w:p>
              </w:tc>
              <w:tc>
                <w:tcPr>
                  <w:tcW w:w="436"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s="Times New Roman"/>
                      <w:snapToGrid w:val="0"/>
                      <w:color w:val="auto"/>
                      <w:kern w:val="2"/>
                      <w:sz w:val="21"/>
                      <w:szCs w:val="22"/>
                      <w:highlight w:val="none"/>
                      <w:lang w:val="en-US" w:eastAsia="zh-CN" w:bidi="ar-SA"/>
                    </w:rPr>
                    <w:t>0.06L</w:t>
                  </w:r>
                </w:p>
              </w:tc>
              <w:tc>
                <w:tcPr>
                  <w:tcW w:w="498"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s="Times New Roman"/>
                      <w:snapToGrid w:val="0"/>
                      <w:color w:val="auto"/>
                      <w:kern w:val="2"/>
                      <w:sz w:val="21"/>
                      <w:szCs w:val="22"/>
                      <w:highlight w:val="none"/>
                      <w:lang w:val="en-US" w:eastAsia="zh-CN" w:bidi="ar-SA"/>
                    </w:rPr>
                    <w:t>0.06L</w:t>
                  </w:r>
                </w:p>
              </w:tc>
              <w:tc>
                <w:tcPr>
                  <w:tcW w:w="792" w:type="pc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s="Times New Roman"/>
                      <w:snapToGrid w:val="0"/>
                      <w:color w:val="auto"/>
                      <w:kern w:val="2"/>
                      <w:sz w:val="21"/>
                      <w:szCs w:val="22"/>
                      <w:highlight w:val="none"/>
                      <w:lang w:val="en-US" w:eastAsia="zh-CN" w:bidi="ar-SA"/>
                    </w:rPr>
                    <w:t>0.06L</w:t>
                  </w:r>
                </w:p>
              </w:tc>
              <w:tc>
                <w:tcPr>
                  <w:tcW w:w="644"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≤20</w:t>
                  </w:r>
                </w:p>
              </w:tc>
              <w:tc>
                <w:tcPr>
                  <w:tcW w:w="434" w:type="pct"/>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1" w:type="pct"/>
                  <w:vMerge w:val="continue"/>
                  <w:tcBorders>
                    <w:tl2br w:val="nil"/>
                    <w:tr2bl w:val="nil"/>
                  </w:tcBorders>
                  <w:vAlign w:val="center"/>
                </w:tcPr>
                <w:p>
                  <w:pPr>
                    <w:pStyle w:val="70"/>
                    <w:rPr>
                      <w:color w:val="auto"/>
                      <w:highlight w:val="none"/>
                    </w:rPr>
                  </w:pPr>
                </w:p>
              </w:tc>
              <w:tc>
                <w:tcPr>
                  <w:tcW w:w="600" w:type="pct"/>
                  <w:vMerge w:val="restar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生活</w:t>
                  </w:r>
                  <w:r>
                    <w:rPr>
                      <w:rFonts w:hint="eastAsia"/>
                      <w:color w:val="auto"/>
                      <w:highlight w:val="none"/>
                    </w:rPr>
                    <w:t>污水</w:t>
                  </w:r>
                  <w:r>
                    <w:rPr>
                      <w:rFonts w:hint="eastAsia"/>
                      <w:color w:val="auto"/>
                      <w:highlight w:val="none"/>
                      <w:lang w:val="en-US" w:eastAsia="zh-CN"/>
                    </w:rPr>
                    <w:t>排放口</w:t>
                  </w:r>
                </w:p>
              </w:tc>
              <w:tc>
                <w:tcPr>
                  <w:tcW w:w="643" w:type="pct"/>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pH</w:t>
                  </w:r>
                </w:p>
              </w:tc>
              <w:tc>
                <w:tcPr>
                  <w:tcW w:w="508"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7.6</w:t>
                  </w:r>
                </w:p>
              </w:tc>
              <w:tc>
                <w:tcPr>
                  <w:tcW w:w="436"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7.5</w:t>
                  </w:r>
                </w:p>
              </w:tc>
              <w:tc>
                <w:tcPr>
                  <w:tcW w:w="498"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7.6</w:t>
                  </w:r>
                </w:p>
              </w:tc>
              <w:tc>
                <w:tcPr>
                  <w:tcW w:w="792"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7.5~7.6</w:t>
                  </w:r>
                </w:p>
              </w:tc>
              <w:tc>
                <w:tcPr>
                  <w:tcW w:w="644" w:type="pct"/>
                  <w:tcBorders>
                    <w:tl2br w:val="nil"/>
                    <w:tr2bl w:val="nil"/>
                  </w:tcBorders>
                  <w:vAlign w:val="center"/>
                </w:tcPr>
                <w:p>
                  <w:pPr>
                    <w:pStyle w:val="70"/>
                    <w:rPr>
                      <w:rFonts w:hint="eastAsia"/>
                      <w:color w:val="auto"/>
                      <w:highlight w:val="none"/>
                    </w:rPr>
                  </w:pPr>
                  <w:r>
                    <w:rPr>
                      <w:rFonts w:hint="eastAsia"/>
                      <w:color w:val="auto"/>
                      <w:highlight w:val="none"/>
                    </w:rPr>
                    <w:t>6~9</w:t>
                  </w:r>
                </w:p>
              </w:tc>
              <w:tc>
                <w:tcPr>
                  <w:tcW w:w="434" w:type="pct"/>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1" w:type="pct"/>
                  <w:vMerge w:val="continue"/>
                  <w:tcBorders>
                    <w:tl2br w:val="nil"/>
                    <w:tr2bl w:val="nil"/>
                  </w:tcBorders>
                  <w:vAlign w:val="center"/>
                </w:tcPr>
                <w:p>
                  <w:pPr>
                    <w:pStyle w:val="70"/>
                    <w:rPr>
                      <w:color w:val="auto"/>
                      <w:highlight w:val="none"/>
                    </w:rPr>
                  </w:pPr>
                </w:p>
              </w:tc>
              <w:tc>
                <w:tcPr>
                  <w:tcW w:w="600" w:type="pct"/>
                  <w:vMerge w:val="continue"/>
                  <w:tcBorders>
                    <w:tl2br w:val="nil"/>
                    <w:tr2bl w:val="nil"/>
                  </w:tcBorders>
                  <w:vAlign w:val="center"/>
                </w:tcPr>
                <w:p>
                  <w:pPr>
                    <w:pStyle w:val="70"/>
                    <w:rPr>
                      <w:color w:val="auto"/>
                      <w:highlight w:val="none"/>
                    </w:rPr>
                  </w:pPr>
                </w:p>
              </w:tc>
              <w:tc>
                <w:tcPr>
                  <w:tcW w:w="643" w:type="pct"/>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SS</w:t>
                  </w:r>
                </w:p>
              </w:tc>
              <w:tc>
                <w:tcPr>
                  <w:tcW w:w="508"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318</w:t>
                  </w:r>
                </w:p>
              </w:tc>
              <w:tc>
                <w:tcPr>
                  <w:tcW w:w="436"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352</w:t>
                  </w:r>
                </w:p>
              </w:tc>
              <w:tc>
                <w:tcPr>
                  <w:tcW w:w="498"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329</w:t>
                  </w:r>
                </w:p>
              </w:tc>
              <w:tc>
                <w:tcPr>
                  <w:tcW w:w="792"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333</w:t>
                  </w:r>
                </w:p>
              </w:tc>
              <w:tc>
                <w:tcPr>
                  <w:tcW w:w="644" w:type="pct"/>
                  <w:tcBorders>
                    <w:tl2br w:val="nil"/>
                    <w:tr2bl w:val="nil"/>
                  </w:tcBorders>
                  <w:vAlign w:val="center"/>
                </w:tcPr>
                <w:p>
                  <w:pPr>
                    <w:pStyle w:val="70"/>
                    <w:rPr>
                      <w:rFonts w:hint="eastAsia"/>
                      <w:color w:val="auto"/>
                      <w:highlight w:val="none"/>
                    </w:rPr>
                  </w:pPr>
                  <w:r>
                    <w:rPr>
                      <w:rFonts w:hint="eastAsia"/>
                      <w:color w:val="auto"/>
                      <w:highlight w:val="none"/>
                    </w:rPr>
                    <w:t>≤400</w:t>
                  </w:r>
                </w:p>
              </w:tc>
              <w:tc>
                <w:tcPr>
                  <w:tcW w:w="434" w:type="pct"/>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1" w:type="pct"/>
                  <w:vMerge w:val="continue"/>
                  <w:tcBorders>
                    <w:tl2br w:val="nil"/>
                    <w:tr2bl w:val="nil"/>
                  </w:tcBorders>
                  <w:vAlign w:val="center"/>
                </w:tcPr>
                <w:p>
                  <w:pPr>
                    <w:pStyle w:val="70"/>
                    <w:rPr>
                      <w:color w:val="auto"/>
                      <w:highlight w:val="none"/>
                    </w:rPr>
                  </w:pPr>
                </w:p>
              </w:tc>
              <w:tc>
                <w:tcPr>
                  <w:tcW w:w="600" w:type="pct"/>
                  <w:vMerge w:val="continue"/>
                  <w:tcBorders>
                    <w:tl2br w:val="nil"/>
                    <w:tr2bl w:val="nil"/>
                  </w:tcBorders>
                  <w:vAlign w:val="center"/>
                </w:tcPr>
                <w:p>
                  <w:pPr>
                    <w:pStyle w:val="70"/>
                    <w:rPr>
                      <w:color w:val="auto"/>
                      <w:highlight w:val="none"/>
                    </w:rPr>
                  </w:pPr>
                </w:p>
              </w:tc>
              <w:tc>
                <w:tcPr>
                  <w:tcW w:w="643" w:type="pct"/>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vertAlign w:val="subscript"/>
                      <w:lang w:val="en-US" w:eastAsia="zh-CN" w:bidi="ar-SA"/>
                    </w:rPr>
                  </w:pPr>
                  <w:r>
                    <w:rPr>
                      <w:rFonts w:hint="eastAsia"/>
                      <w:color w:val="auto"/>
                      <w:highlight w:val="none"/>
                    </w:rPr>
                    <w:t>COD</w:t>
                  </w:r>
                  <w:r>
                    <w:rPr>
                      <w:rFonts w:hint="eastAsia"/>
                      <w:color w:val="auto"/>
                      <w:highlight w:val="none"/>
                      <w:vertAlign w:val="subscript"/>
                    </w:rPr>
                    <w:t>Cr</w:t>
                  </w:r>
                </w:p>
              </w:tc>
              <w:tc>
                <w:tcPr>
                  <w:tcW w:w="508"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32</w:t>
                  </w:r>
                </w:p>
              </w:tc>
              <w:tc>
                <w:tcPr>
                  <w:tcW w:w="436"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35</w:t>
                  </w:r>
                </w:p>
              </w:tc>
              <w:tc>
                <w:tcPr>
                  <w:tcW w:w="498"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42</w:t>
                  </w:r>
                </w:p>
              </w:tc>
              <w:tc>
                <w:tcPr>
                  <w:tcW w:w="792"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36</w:t>
                  </w:r>
                </w:p>
              </w:tc>
              <w:tc>
                <w:tcPr>
                  <w:tcW w:w="644" w:type="pct"/>
                  <w:tcBorders>
                    <w:tl2br w:val="nil"/>
                    <w:tr2bl w:val="nil"/>
                  </w:tcBorders>
                  <w:vAlign w:val="center"/>
                </w:tcPr>
                <w:p>
                  <w:pPr>
                    <w:pStyle w:val="70"/>
                    <w:rPr>
                      <w:rFonts w:hint="eastAsia"/>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00</w:t>
                  </w:r>
                </w:p>
              </w:tc>
              <w:tc>
                <w:tcPr>
                  <w:tcW w:w="434" w:type="pct"/>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1" w:type="pct"/>
                  <w:vMerge w:val="continue"/>
                  <w:tcBorders>
                    <w:tl2br w:val="nil"/>
                    <w:tr2bl w:val="nil"/>
                  </w:tcBorders>
                  <w:vAlign w:val="center"/>
                </w:tcPr>
                <w:p>
                  <w:pPr>
                    <w:pStyle w:val="70"/>
                    <w:rPr>
                      <w:color w:val="auto"/>
                      <w:highlight w:val="none"/>
                    </w:rPr>
                  </w:pPr>
                </w:p>
              </w:tc>
              <w:tc>
                <w:tcPr>
                  <w:tcW w:w="600" w:type="pct"/>
                  <w:vMerge w:val="continue"/>
                  <w:tcBorders>
                    <w:tl2br w:val="nil"/>
                    <w:tr2bl w:val="nil"/>
                  </w:tcBorders>
                  <w:vAlign w:val="center"/>
                </w:tcPr>
                <w:p>
                  <w:pPr>
                    <w:pStyle w:val="70"/>
                    <w:rPr>
                      <w:color w:val="auto"/>
                      <w:highlight w:val="none"/>
                    </w:rPr>
                  </w:pPr>
                </w:p>
              </w:tc>
              <w:tc>
                <w:tcPr>
                  <w:tcW w:w="643" w:type="pct"/>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vertAlign w:val="subscript"/>
                      <w:lang w:val="en-US" w:eastAsia="zh-CN" w:bidi="ar-SA"/>
                    </w:rPr>
                  </w:pPr>
                  <w:r>
                    <w:rPr>
                      <w:rFonts w:hint="eastAsia"/>
                      <w:color w:val="auto"/>
                      <w:highlight w:val="none"/>
                    </w:rPr>
                    <w:t>BOD</w:t>
                  </w:r>
                  <w:r>
                    <w:rPr>
                      <w:rFonts w:hint="eastAsia"/>
                      <w:color w:val="auto"/>
                      <w:highlight w:val="none"/>
                      <w:vertAlign w:val="subscript"/>
                    </w:rPr>
                    <w:t>5</w:t>
                  </w:r>
                </w:p>
              </w:tc>
              <w:tc>
                <w:tcPr>
                  <w:tcW w:w="508"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10.0</w:t>
                  </w:r>
                </w:p>
              </w:tc>
              <w:tc>
                <w:tcPr>
                  <w:tcW w:w="436"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8.7</w:t>
                  </w:r>
                </w:p>
              </w:tc>
              <w:tc>
                <w:tcPr>
                  <w:tcW w:w="498"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11.3</w:t>
                  </w:r>
                </w:p>
              </w:tc>
              <w:tc>
                <w:tcPr>
                  <w:tcW w:w="792"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10.0</w:t>
                  </w:r>
                </w:p>
              </w:tc>
              <w:tc>
                <w:tcPr>
                  <w:tcW w:w="644" w:type="pct"/>
                  <w:tcBorders>
                    <w:tl2br w:val="nil"/>
                    <w:tr2bl w:val="nil"/>
                  </w:tcBorders>
                  <w:vAlign w:val="center"/>
                </w:tcPr>
                <w:p>
                  <w:pPr>
                    <w:pStyle w:val="70"/>
                    <w:rPr>
                      <w:rFonts w:hint="eastAsia"/>
                      <w:color w:val="auto"/>
                      <w:highlight w:val="none"/>
                    </w:rPr>
                  </w:pPr>
                  <w:r>
                    <w:rPr>
                      <w:rFonts w:hint="eastAsia"/>
                      <w:color w:val="auto"/>
                      <w:highlight w:val="none"/>
                    </w:rPr>
                    <w:t>≤</w:t>
                  </w:r>
                  <w:r>
                    <w:rPr>
                      <w:rFonts w:hint="eastAsia"/>
                      <w:color w:val="auto"/>
                      <w:highlight w:val="none"/>
                      <w:lang w:val="en-US" w:eastAsia="zh-CN"/>
                    </w:rPr>
                    <w:t>30</w:t>
                  </w:r>
                  <w:r>
                    <w:rPr>
                      <w:rFonts w:hint="eastAsia"/>
                      <w:color w:val="auto"/>
                      <w:highlight w:val="none"/>
                    </w:rPr>
                    <w:t>0</w:t>
                  </w:r>
                </w:p>
              </w:tc>
              <w:tc>
                <w:tcPr>
                  <w:tcW w:w="434" w:type="pct"/>
                  <w:tcBorders>
                    <w:tl2br w:val="nil"/>
                    <w:tr2bl w:val="nil"/>
                  </w:tcBorders>
                  <w:vAlign w:val="center"/>
                </w:tcPr>
                <w:p>
                  <w:pPr>
                    <w:pStyle w:val="70"/>
                    <w:rPr>
                      <w:rFonts w:hint="eastAsia"/>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41" w:type="pct"/>
                  <w:vMerge w:val="continue"/>
                  <w:tcBorders>
                    <w:tl2br w:val="nil"/>
                    <w:tr2bl w:val="nil"/>
                  </w:tcBorders>
                  <w:vAlign w:val="center"/>
                </w:tcPr>
                <w:p>
                  <w:pPr>
                    <w:pStyle w:val="70"/>
                    <w:rPr>
                      <w:color w:val="auto"/>
                      <w:highlight w:val="none"/>
                    </w:rPr>
                  </w:pPr>
                </w:p>
              </w:tc>
              <w:tc>
                <w:tcPr>
                  <w:tcW w:w="600" w:type="pct"/>
                  <w:vMerge w:val="continue"/>
                  <w:tcBorders>
                    <w:tl2br w:val="nil"/>
                    <w:tr2bl w:val="nil"/>
                  </w:tcBorders>
                  <w:vAlign w:val="center"/>
                </w:tcPr>
                <w:p>
                  <w:pPr>
                    <w:pStyle w:val="70"/>
                    <w:rPr>
                      <w:color w:val="auto"/>
                      <w:highlight w:val="none"/>
                    </w:rPr>
                  </w:pPr>
                </w:p>
              </w:tc>
              <w:tc>
                <w:tcPr>
                  <w:tcW w:w="643" w:type="pct"/>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氨氮</w:t>
                  </w:r>
                </w:p>
              </w:tc>
              <w:tc>
                <w:tcPr>
                  <w:tcW w:w="508"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41.9</w:t>
                  </w:r>
                </w:p>
              </w:tc>
              <w:tc>
                <w:tcPr>
                  <w:tcW w:w="436"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41.6</w:t>
                  </w:r>
                </w:p>
              </w:tc>
              <w:tc>
                <w:tcPr>
                  <w:tcW w:w="498"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39.0</w:t>
                  </w:r>
                </w:p>
              </w:tc>
              <w:tc>
                <w:tcPr>
                  <w:tcW w:w="792"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40.8</w:t>
                  </w:r>
                </w:p>
              </w:tc>
              <w:tc>
                <w:tcPr>
                  <w:tcW w:w="644" w:type="pct"/>
                  <w:tcBorders>
                    <w:tl2br w:val="nil"/>
                    <w:tr2bl w:val="nil"/>
                  </w:tcBorders>
                  <w:vAlign w:val="center"/>
                </w:tcPr>
                <w:p>
                  <w:pPr>
                    <w:pStyle w:val="70"/>
                    <w:rPr>
                      <w:rFonts w:hint="default"/>
                      <w:color w:val="auto"/>
                      <w:highlight w:val="none"/>
                      <w:lang w:val="en-US"/>
                    </w:rPr>
                  </w:pPr>
                  <w:r>
                    <w:rPr>
                      <w:rFonts w:hint="eastAsia"/>
                      <w:color w:val="auto"/>
                      <w:highlight w:val="none"/>
                    </w:rPr>
                    <w:t>≤</w:t>
                  </w:r>
                  <w:r>
                    <w:rPr>
                      <w:rFonts w:hint="eastAsia"/>
                      <w:color w:val="auto"/>
                      <w:highlight w:val="none"/>
                      <w:lang w:val="en-US" w:eastAsia="zh-CN"/>
                    </w:rPr>
                    <w:t>45</w:t>
                  </w:r>
                </w:p>
              </w:tc>
              <w:tc>
                <w:tcPr>
                  <w:tcW w:w="434" w:type="pct"/>
                  <w:tcBorders>
                    <w:tl2br w:val="nil"/>
                    <w:tr2bl w:val="nil"/>
                  </w:tcBorders>
                  <w:vAlign w:val="center"/>
                </w:tcPr>
                <w:p>
                  <w:pPr>
                    <w:pStyle w:val="70"/>
                    <w:rPr>
                      <w:rFonts w:hint="eastAsia"/>
                      <w:color w:val="auto"/>
                      <w:highlight w:val="none"/>
                    </w:rPr>
                  </w:pPr>
                  <w:r>
                    <w:rPr>
                      <w:rFonts w:hint="eastAsia"/>
                      <w:color w:val="auto"/>
                      <w:highlight w:val="none"/>
                    </w:rPr>
                    <w:t>达标</w:t>
                  </w:r>
                </w:p>
              </w:tc>
            </w:tr>
          </w:tbl>
          <w:p>
            <w:pPr>
              <w:pStyle w:val="72"/>
              <w:ind w:firstLine="480"/>
              <w:rPr>
                <w:rFonts w:hint="eastAsia"/>
                <w:color w:val="auto"/>
                <w:highlight w:val="none"/>
              </w:rPr>
            </w:pPr>
          </w:p>
          <w:p>
            <w:pPr>
              <w:pStyle w:val="72"/>
              <w:ind w:firstLine="480"/>
              <w:rPr>
                <w:rFonts w:hint="eastAsia"/>
                <w:color w:val="auto"/>
                <w:highlight w:val="none"/>
                <w:lang w:val="en-US" w:eastAsia="zh-CN"/>
              </w:rPr>
            </w:pPr>
            <w:r>
              <w:rPr>
                <w:rFonts w:hint="eastAsia"/>
                <w:color w:val="auto"/>
                <w:highlight w:val="none"/>
                <w:lang w:val="en-US" w:eastAsia="zh-CN"/>
              </w:rPr>
              <w:t>由表2.5.3可知，企业生产废水经厂内</w:t>
            </w:r>
            <w:r>
              <w:rPr>
                <w:rFonts w:hint="eastAsia"/>
                <w:color w:val="auto"/>
                <w:highlight w:val="none"/>
              </w:rPr>
              <w:t>污水处理站</w:t>
            </w:r>
            <w:r>
              <w:rPr>
                <w:rFonts w:hint="eastAsia"/>
                <w:color w:val="auto"/>
                <w:highlight w:val="none"/>
                <w:lang w:val="en-US" w:eastAsia="zh-CN"/>
              </w:rPr>
              <w:t>处理后可</w:t>
            </w:r>
            <w:r>
              <w:rPr>
                <w:rFonts w:hint="eastAsia"/>
                <w:color w:val="auto"/>
                <w:highlight w:val="none"/>
              </w:rPr>
              <w:t>达到《</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）表</w:t>
            </w:r>
            <w:r>
              <w:rPr>
                <w:rFonts w:hint="eastAsia"/>
                <w:color w:val="auto"/>
                <w:highlight w:val="none"/>
                <w:lang w:val="en-US" w:eastAsia="zh-CN"/>
              </w:rPr>
              <w:t>1</w:t>
            </w:r>
            <w:r>
              <w:rPr>
                <w:rFonts w:hint="eastAsia"/>
                <w:color w:val="auto"/>
                <w:highlight w:val="none"/>
              </w:rPr>
              <w:t>中的</w:t>
            </w:r>
            <w:r>
              <w:rPr>
                <w:rFonts w:hint="eastAsia"/>
                <w:color w:val="auto"/>
                <w:highlight w:val="none"/>
                <w:lang w:val="en-US" w:eastAsia="zh-CN"/>
              </w:rPr>
              <w:t>间接</w:t>
            </w:r>
            <w:r>
              <w:rPr>
                <w:rFonts w:hint="eastAsia"/>
                <w:color w:val="auto"/>
                <w:highlight w:val="none"/>
              </w:rPr>
              <w:t>排放</w:t>
            </w:r>
            <w:r>
              <w:rPr>
                <w:rFonts w:hint="eastAsia"/>
                <w:color w:val="auto"/>
                <w:highlight w:val="none"/>
                <w:lang w:val="en-US" w:eastAsia="zh-CN"/>
              </w:rPr>
              <w:t>限值</w:t>
            </w:r>
            <w:r>
              <w:rPr>
                <w:rFonts w:hint="eastAsia"/>
                <w:color w:val="auto"/>
                <w:highlight w:val="none"/>
              </w:rPr>
              <w:t>。生活污水经</w:t>
            </w:r>
            <w:r>
              <w:rPr>
                <w:rFonts w:hint="eastAsia"/>
                <w:color w:val="auto"/>
                <w:highlight w:val="none"/>
                <w:lang w:val="en-US" w:eastAsia="zh-CN"/>
              </w:rPr>
              <w:t>隔油池、</w:t>
            </w:r>
            <w:r>
              <w:rPr>
                <w:rFonts w:hint="eastAsia"/>
                <w:color w:val="auto"/>
                <w:highlight w:val="none"/>
              </w:rPr>
              <w:t>化粪池预处理后</w:t>
            </w:r>
            <w:r>
              <w:rPr>
                <w:rFonts w:hint="eastAsia"/>
                <w:color w:val="auto"/>
                <w:highlight w:val="none"/>
                <w:lang w:val="en-US" w:eastAsia="zh-CN"/>
              </w:rPr>
              <w:t>可以</w:t>
            </w:r>
            <w:r>
              <w:rPr>
                <w:rFonts w:hint="eastAsia"/>
                <w:color w:val="auto"/>
                <w:highlight w:val="none"/>
              </w:rPr>
              <w:t>达到《污水综合排放标准》（GB8978-1996）表4中的三级排放标准</w:t>
            </w:r>
            <w:r>
              <w:rPr>
                <w:rFonts w:hint="eastAsia"/>
                <w:color w:val="auto"/>
                <w:highlight w:val="none"/>
                <w:lang w:val="en-US" w:eastAsia="zh-CN"/>
              </w:rPr>
              <w:t>和</w:t>
            </w:r>
            <w:r>
              <w:rPr>
                <w:rFonts w:hint="eastAsia"/>
                <w:color w:val="auto"/>
                <w:highlight w:val="none"/>
              </w:rPr>
              <w:t>《污水排入城镇下水道水质标准》（GB/T31962-2015）表1中的B级标准</w:t>
            </w:r>
            <w:r>
              <w:rPr>
                <w:rFonts w:hint="eastAsia"/>
                <w:color w:val="auto"/>
                <w:highlight w:val="none"/>
                <w:lang w:val="en-US" w:eastAsia="zh-CN"/>
              </w:rPr>
              <w:t>要求。</w:t>
            </w:r>
          </w:p>
          <w:p>
            <w:pPr>
              <w:pStyle w:val="72"/>
              <w:ind w:firstLine="48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②</w:t>
            </w:r>
            <w:r>
              <w:rPr>
                <w:rFonts w:hint="eastAsia" w:ascii="宋体" w:hAnsi="宋体" w:eastAsia="宋体" w:cs="宋体"/>
                <w:color w:val="auto"/>
                <w:highlight w:val="none"/>
                <w:lang w:val="en-US" w:eastAsia="zh-CN"/>
              </w:rPr>
              <w:t>废气</w:t>
            </w:r>
          </w:p>
          <w:p>
            <w:pPr>
              <w:pStyle w:val="72"/>
              <w:ind w:firstLine="480"/>
              <w:rPr>
                <w:color w:val="auto"/>
                <w:highlight w:val="none"/>
              </w:rPr>
            </w:pPr>
            <w:r>
              <w:rPr>
                <w:rFonts w:hint="eastAsia"/>
                <w:color w:val="auto"/>
                <w:highlight w:val="none"/>
                <w:lang w:val="en-US" w:eastAsia="zh-CN"/>
              </w:rPr>
              <w:t>根</w:t>
            </w:r>
            <w:r>
              <w:rPr>
                <w:rFonts w:hint="eastAsia"/>
                <w:color w:val="auto"/>
                <w:highlight w:val="none"/>
              </w:rPr>
              <w:t>据202</w:t>
            </w:r>
            <w:r>
              <w:rPr>
                <w:rFonts w:hint="eastAsia"/>
                <w:color w:val="auto"/>
                <w:highlight w:val="none"/>
                <w:lang w:val="en-US" w:eastAsia="zh-CN"/>
              </w:rPr>
              <w:t>5</w:t>
            </w:r>
            <w:r>
              <w:rPr>
                <w:rFonts w:hint="eastAsia"/>
                <w:color w:val="auto"/>
                <w:highlight w:val="none"/>
              </w:rPr>
              <w:t>年1</w:t>
            </w:r>
            <w:r>
              <w:rPr>
                <w:rFonts w:hint="eastAsia"/>
                <w:color w:val="auto"/>
                <w:highlight w:val="none"/>
                <w:lang w:val="en-US" w:eastAsia="zh-CN"/>
              </w:rPr>
              <w:t>2</w:t>
            </w:r>
            <w:r>
              <w:rPr>
                <w:rFonts w:hint="eastAsia"/>
                <w:color w:val="auto"/>
                <w:highlight w:val="none"/>
              </w:rPr>
              <w:t>月</w:t>
            </w:r>
            <w:r>
              <w:rPr>
                <w:rFonts w:hint="eastAsia"/>
                <w:color w:val="auto"/>
                <w:highlight w:val="none"/>
                <w:lang w:val="en-US" w:eastAsia="zh-CN"/>
              </w:rPr>
              <w:t>23</w:t>
            </w:r>
            <w:r>
              <w:rPr>
                <w:rFonts w:hint="eastAsia"/>
                <w:color w:val="auto"/>
                <w:highlight w:val="none"/>
              </w:rPr>
              <w:t>日阿石创新材料股份有限公司</w:t>
            </w:r>
            <w:r>
              <w:rPr>
                <w:rFonts w:hint="eastAsia"/>
                <w:color w:val="auto"/>
                <w:highlight w:val="none"/>
                <w:lang w:val="en-US" w:eastAsia="zh-CN"/>
              </w:rPr>
              <w:t>二厂的</w:t>
            </w:r>
            <w:r>
              <w:rPr>
                <w:rFonts w:hint="eastAsia"/>
                <w:color w:val="auto"/>
                <w:highlight w:val="none"/>
              </w:rPr>
              <w:t>自行监测结果，现有工程废气排放情况详见表2.5.4。根据自行监测结果可知，Q6喷砂废气、Q13抛光废气、Q14</w:t>
            </w:r>
            <w:r>
              <w:rPr>
                <w:rFonts w:hint="eastAsia"/>
                <w:color w:val="auto"/>
                <w:highlight w:val="none"/>
                <w:lang w:val="en-US" w:eastAsia="zh-CN"/>
              </w:rPr>
              <w:t>抛光</w:t>
            </w:r>
            <w:r>
              <w:rPr>
                <w:rFonts w:hint="eastAsia"/>
                <w:color w:val="auto"/>
                <w:highlight w:val="none"/>
              </w:rPr>
              <w:t>废气</w:t>
            </w:r>
            <w:r>
              <w:rPr>
                <w:rFonts w:hint="eastAsia"/>
                <w:color w:val="auto"/>
                <w:highlight w:val="none"/>
                <w:lang w:eastAsia="zh-CN"/>
              </w:rPr>
              <w:t>、</w:t>
            </w:r>
            <w:r>
              <w:rPr>
                <w:rFonts w:hint="eastAsia"/>
                <w:color w:val="auto"/>
                <w:highlight w:val="none"/>
              </w:rPr>
              <w:t>Q15喷砂废气</w:t>
            </w:r>
            <w:r>
              <w:rPr>
                <w:rFonts w:hint="eastAsia"/>
                <w:color w:val="auto"/>
                <w:highlight w:val="none"/>
                <w:lang w:eastAsia="zh-CN"/>
              </w:rPr>
              <w:t>、</w:t>
            </w:r>
            <w:r>
              <w:rPr>
                <w:rFonts w:hint="eastAsia"/>
                <w:color w:val="auto"/>
                <w:highlight w:val="none"/>
                <w:lang w:val="en-US" w:eastAsia="zh-CN"/>
              </w:rPr>
              <w:t>Q16喷砂废气</w:t>
            </w:r>
            <w:r>
              <w:rPr>
                <w:rFonts w:hint="eastAsia"/>
                <w:color w:val="auto"/>
                <w:highlight w:val="none"/>
              </w:rPr>
              <w:t>经水喷淋净化</w:t>
            </w:r>
            <w:r>
              <w:rPr>
                <w:rFonts w:hint="eastAsia"/>
                <w:color w:val="auto"/>
                <w:highlight w:val="none"/>
                <w:lang w:eastAsia="zh-CN"/>
              </w:rPr>
              <w:t>，</w:t>
            </w:r>
            <w:r>
              <w:rPr>
                <w:rFonts w:hint="eastAsia"/>
                <w:color w:val="auto"/>
                <w:highlight w:val="none"/>
                <w:lang w:val="en-US" w:eastAsia="zh-CN"/>
              </w:rPr>
              <w:t>Q11喷涂废气（含旋转靶喷砂废气）、</w:t>
            </w:r>
            <w:r>
              <w:rPr>
                <w:rFonts w:hint="eastAsia"/>
                <w:color w:val="auto"/>
                <w:highlight w:val="none"/>
              </w:rPr>
              <w:t>Q</w:t>
            </w:r>
            <w:r>
              <w:rPr>
                <w:rFonts w:hint="eastAsia"/>
                <w:color w:val="auto"/>
                <w:highlight w:val="none"/>
                <w:lang w:val="en-US" w:eastAsia="zh-CN"/>
              </w:rPr>
              <w:t>17~Q20旋转靶</w:t>
            </w:r>
            <w:r>
              <w:rPr>
                <w:rFonts w:hint="eastAsia"/>
                <w:color w:val="auto"/>
                <w:highlight w:val="none"/>
              </w:rPr>
              <w:t>喷涂废气</w:t>
            </w:r>
            <w:r>
              <w:rPr>
                <w:rFonts w:hint="eastAsia"/>
                <w:color w:val="auto"/>
                <w:highlight w:val="none"/>
                <w:lang w:val="en-US" w:eastAsia="zh-CN"/>
              </w:rPr>
              <w:t>经滤筒</w:t>
            </w:r>
            <w:r>
              <w:rPr>
                <w:rFonts w:hint="eastAsia"/>
                <w:color w:val="auto"/>
                <w:highlight w:val="none"/>
              </w:rPr>
              <w:t>除尘器</w:t>
            </w:r>
            <w:r>
              <w:rPr>
                <w:rFonts w:hint="eastAsia"/>
                <w:color w:val="auto"/>
                <w:highlight w:val="none"/>
                <w:lang w:val="en-US" w:eastAsia="zh-CN"/>
              </w:rPr>
              <w:t>净化</w:t>
            </w:r>
            <w:r>
              <w:rPr>
                <w:rFonts w:hint="eastAsia"/>
                <w:color w:val="auto"/>
                <w:highlight w:val="none"/>
              </w:rPr>
              <w:t>，外排废气颗粒物排放浓度分别为</w:t>
            </w:r>
            <w:r>
              <w:rPr>
                <w:rFonts w:hint="eastAsia"/>
                <w:color w:val="auto"/>
                <w:highlight w:val="none"/>
                <w:lang w:val="en-US" w:eastAsia="zh-CN"/>
              </w:rPr>
              <w:t>3.2~8.5</w:t>
            </w:r>
            <w:r>
              <w:rPr>
                <w:rFonts w:hint="eastAsia"/>
                <w:color w:val="auto"/>
                <w:highlight w:val="none"/>
              </w:rPr>
              <w:t>mg/m</w:t>
            </w:r>
            <w:r>
              <w:rPr>
                <w:rFonts w:hint="eastAsia"/>
                <w:color w:val="auto"/>
                <w:highlight w:val="none"/>
                <w:vertAlign w:val="superscript"/>
              </w:rPr>
              <w:t>3</w:t>
            </w:r>
            <w:r>
              <w:rPr>
                <w:rFonts w:hint="eastAsia"/>
                <w:color w:val="auto"/>
                <w:highlight w:val="none"/>
              </w:rPr>
              <w:t>，排放速率为</w:t>
            </w:r>
            <w:r>
              <w:rPr>
                <w:rFonts w:hint="eastAsia"/>
                <w:color w:val="auto"/>
                <w:highlight w:val="none"/>
                <w:lang w:val="en-US" w:eastAsia="zh-CN"/>
              </w:rPr>
              <w:t>0.00798~</w:t>
            </w:r>
            <w:r>
              <w:rPr>
                <w:rFonts w:hint="eastAsia"/>
                <w:color w:val="auto"/>
                <w:highlight w:val="none"/>
              </w:rPr>
              <w:t>0.</w:t>
            </w:r>
            <w:r>
              <w:rPr>
                <w:rFonts w:hint="eastAsia"/>
                <w:color w:val="auto"/>
                <w:highlight w:val="none"/>
                <w:lang w:val="en-US" w:eastAsia="zh-CN"/>
              </w:rPr>
              <w:t>140</w:t>
            </w:r>
            <w:r>
              <w:rPr>
                <w:rFonts w:hint="eastAsia"/>
                <w:color w:val="auto"/>
                <w:highlight w:val="none"/>
              </w:rPr>
              <w:t>kg/h，符合《大气污染物综合排放标准》（GB16297-1996）表2中的相应标准限值。</w:t>
            </w:r>
          </w:p>
          <w:p>
            <w:pPr>
              <w:pStyle w:val="68"/>
              <w:rPr>
                <w:color w:val="auto"/>
                <w:highlight w:val="none"/>
              </w:rPr>
            </w:pPr>
            <w:r>
              <w:rPr>
                <w:rFonts w:hint="eastAsia"/>
                <w:color w:val="auto"/>
                <w:highlight w:val="none"/>
              </w:rPr>
              <w:t>表2.5.4有组织废气监测结果一览表</w:t>
            </w:r>
          </w:p>
          <w:tbl>
            <w:tblPr>
              <w:tblStyle w:val="29"/>
              <w:tblpPr w:leftFromText="180" w:rightFromText="180" w:vertAnchor="text" w:horzAnchor="page" w:tblpX="58" w:tblpY="56"/>
              <w:tblOverlap w:val="never"/>
              <w:tblW w:w="4998" w:type="pct"/>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26"/>
              <w:gridCol w:w="1975"/>
              <w:gridCol w:w="953"/>
              <w:gridCol w:w="953"/>
              <w:gridCol w:w="953"/>
              <w:gridCol w:w="986"/>
              <w:gridCol w:w="776"/>
              <w:gridCol w:w="7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7" w:type="pct"/>
                  <w:vMerge w:val="restart"/>
                  <w:tcBorders>
                    <w:tl2br w:val="nil"/>
                    <w:tr2bl w:val="nil"/>
                  </w:tcBorders>
                </w:tcPr>
                <w:p>
                  <w:pPr>
                    <w:pStyle w:val="70"/>
                    <w:rPr>
                      <w:color w:val="auto"/>
                      <w:highlight w:val="none"/>
                    </w:rPr>
                  </w:pPr>
                  <w:r>
                    <w:rPr>
                      <w:rFonts w:hint="eastAsia"/>
                      <w:color w:val="auto"/>
                      <w:highlight w:val="none"/>
                    </w:rPr>
                    <w:t>监测点位</w:t>
                  </w:r>
                </w:p>
              </w:tc>
              <w:tc>
                <w:tcPr>
                  <w:tcW w:w="1170" w:type="pct"/>
                  <w:vMerge w:val="restart"/>
                  <w:tcBorders>
                    <w:tl2br w:val="nil"/>
                    <w:tr2bl w:val="nil"/>
                  </w:tcBorders>
                </w:tcPr>
                <w:p>
                  <w:pPr>
                    <w:pStyle w:val="70"/>
                    <w:rPr>
                      <w:color w:val="auto"/>
                      <w:highlight w:val="none"/>
                    </w:rPr>
                  </w:pPr>
                  <w:r>
                    <w:rPr>
                      <w:rFonts w:hint="eastAsia"/>
                      <w:color w:val="auto"/>
                      <w:highlight w:val="none"/>
                    </w:rPr>
                    <w:t>监测内容</w:t>
                  </w:r>
                </w:p>
              </w:tc>
              <w:tc>
                <w:tcPr>
                  <w:tcW w:w="2278" w:type="pct"/>
                  <w:gridSpan w:val="4"/>
                  <w:tcBorders>
                    <w:tl2br w:val="nil"/>
                    <w:tr2bl w:val="nil"/>
                  </w:tcBorders>
                </w:tcPr>
                <w:p>
                  <w:pPr>
                    <w:pStyle w:val="70"/>
                    <w:rPr>
                      <w:color w:val="auto"/>
                      <w:highlight w:val="none"/>
                    </w:rPr>
                  </w:pPr>
                  <w:r>
                    <w:rPr>
                      <w:rFonts w:hint="eastAsia"/>
                      <w:color w:val="auto"/>
                      <w:highlight w:val="none"/>
                    </w:rPr>
                    <w:t>监测结果</w:t>
                  </w:r>
                </w:p>
              </w:tc>
              <w:tc>
                <w:tcPr>
                  <w:tcW w:w="460" w:type="pct"/>
                  <w:vMerge w:val="restart"/>
                  <w:tcBorders>
                    <w:tl2br w:val="nil"/>
                    <w:tr2bl w:val="nil"/>
                  </w:tcBorders>
                </w:tcPr>
                <w:p>
                  <w:pPr>
                    <w:pStyle w:val="70"/>
                    <w:rPr>
                      <w:color w:val="auto"/>
                      <w:highlight w:val="none"/>
                    </w:rPr>
                  </w:pPr>
                  <w:r>
                    <w:rPr>
                      <w:rFonts w:hint="eastAsia"/>
                      <w:color w:val="auto"/>
                      <w:highlight w:val="none"/>
                    </w:rPr>
                    <w:t>标准限值</w:t>
                  </w:r>
                </w:p>
              </w:tc>
              <w:tc>
                <w:tcPr>
                  <w:tcW w:w="423" w:type="pct"/>
                  <w:vMerge w:val="restart"/>
                  <w:tcBorders>
                    <w:tl2br w:val="nil"/>
                    <w:tr2bl w:val="nil"/>
                  </w:tcBorders>
                </w:tcPr>
                <w:p>
                  <w:pPr>
                    <w:pStyle w:val="70"/>
                    <w:rPr>
                      <w:color w:val="auto"/>
                      <w:highlight w:val="none"/>
                    </w:rPr>
                  </w:pPr>
                  <w:r>
                    <w:rPr>
                      <w:rFonts w:hint="eastAsia"/>
                      <w:color w:val="auto"/>
                      <w:highlight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vMerge w:val="continue"/>
                  <w:tcBorders>
                    <w:tl2br w:val="nil"/>
                    <w:tr2bl w:val="nil"/>
                  </w:tcBorders>
                </w:tcPr>
                <w:p>
                  <w:pPr>
                    <w:pStyle w:val="70"/>
                    <w:rPr>
                      <w:color w:val="auto"/>
                      <w:highlight w:val="none"/>
                    </w:rPr>
                  </w:pPr>
                </w:p>
              </w:tc>
              <w:tc>
                <w:tcPr>
                  <w:tcW w:w="564" w:type="pct"/>
                  <w:tcBorders>
                    <w:tl2br w:val="nil"/>
                    <w:tr2bl w:val="nil"/>
                  </w:tcBorders>
                </w:tcPr>
                <w:p>
                  <w:pPr>
                    <w:pStyle w:val="70"/>
                    <w:rPr>
                      <w:color w:val="auto"/>
                      <w:highlight w:val="none"/>
                    </w:rPr>
                  </w:pPr>
                  <w:r>
                    <w:rPr>
                      <w:rFonts w:hint="eastAsia"/>
                      <w:color w:val="auto"/>
                      <w:highlight w:val="none"/>
                    </w:rPr>
                    <w:t>1</w:t>
                  </w:r>
                </w:p>
              </w:tc>
              <w:tc>
                <w:tcPr>
                  <w:tcW w:w="564" w:type="pct"/>
                  <w:tcBorders>
                    <w:tl2br w:val="nil"/>
                    <w:tr2bl w:val="nil"/>
                  </w:tcBorders>
                </w:tcPr>
                <w:p>
                  <w:pPr>
                    <w:pStyle w:val="70"/>
                    <w:rPr>
                      <w:color w:val="auto"/>
                      <w:highlight w:val="none"/>
                    </w:rPr>
                  </w:pPr>
                  <w:r>
                    <w:rPr>
                      <w:rFonts w:hint="eastAsia"/>
                      <w:color w:val="auto"/>
                      <w:highlight w:val="none"/>
                    </w:rPr>
                    <w:t>2</w:t>
                  </w:r>
                </w:p>
              </w:tc>
              <w:tc>
                <w:tcPr>
                  <w:tcW w:w="564" w:type="pct"/>
                  <w:tcBorders>
                    <w:tl2br w:val="nil"/>
                    <w:tr2bl w:val="nil"/>
                  </w:tcBorders>
                </w:tcPr>
                <w:p>
                  <w:pPr>
                    <w:pStyle w:val="70"/>
                    <w:rPr>
                      <w:color w:val="auto"/>
                      <w:highlight w:val="none"/>
                    </w:rPr>
                  </w:pPr>
                  <w:r>
                    <w:rPr>
                      <w:rFonts w:hint="eastAsia"/>
                      <w:color w:val="auto"/>
                      <w:highlight w:val="none"/>
                    </w:rPr>
                    <w:t>3</w:t>
                  </w:r>
                </w:p>
              </w:tc>
              <w:tc>
                <w:tcPr>
                  <w:tcW w:w="584" w:type="pct"/>
                  <w:tcBorders>
                    <w:tl2br w:val="nil"/>
                    <w:tr2bl w:val="nil"/>
                  </w:tcBorders>
                </w:tcPr>
                <w:p>
                  <w:pPr>
                    <w:pStyle w:val="70"/>
                    <w:rPr>
                      <w:color w:val="auto"/>
                      <w:highlight w:val="none"/>
                    </w:rPr>
                  </w:pPr>
                  <w:r>
                    <w:rPr>
                      <w:rFonts w:hint="eastAsia"/>
                      <w:color w:val="auto"/>
                      <w:highlight w:val="none"/>
                    </w:rPr>
                    <w:t>平均值</w:t>
                  </w:r>
                </w:p>
              </w:tc>
              <w:tc>
                <w:tcPr>
                  <w:tcW w:w="460" w:type="pct"/>
                  <w:vMerge w:val="continue"/>
                  <w:tcBorders>
                    <w:tl2br w:val="nil"/>
                    <w:tr2bl w:val="nil"/>
                  </w:tcBorders>
                </w:tcPr>
                <w:p>
                  <w:pPr>
                    <w:pStyle w:val="70"/>
                    <w:rPr>
                      <w:color w:val="auto"/>
                      <w:highlight w:val="none"/>
                    </w:rPr>
                  </w:pPr>
                </w:p>
              </w:tc>
              <w:tc>
                <w:tcPr>
                  <w:tcW w:w="423" w:type="pct"/>
                  <w:vMerge w:val="continue"/>
                  <w:tcBorders>
                    <w:tl2br w:val="nil"/>
                    <w:tr2bl w:val="nil"/>
                  </w:tcBorders>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restart"/>
                  <w:tcBorders>
                    <w:tl2br w:val="nil"/>
                    <w:tr2bl w:val="nil"/>
                  </w:tcBorders>
                </w:tcPr>
                <w:p>
                  <w:pPr>
                    <w:pStyle w:val="70"/>
                    <w:rPr>
                      <w:color w:val="auto"/>
                      <w:highlight w:val="none"/>
                    </w:rPr>
                  </w:pPr>
                  <w:r>
                    <w:rPr>
                      <w:rFonts w:hint="eastAsia"/>
                      <w:color w:val="auto"/>
                      <w:highlight w:val="none"/>
                    </w:rPr>
                    <w:t>Q6喷砂废气排气筒出口</w:t>
                  </w:r>
                </w:p>
              </w:tc>
              <w:tc>
                <w:tcPr>
                  <w:tcW w:w="1170" w:type="pct"/>
                  <w:tcBorders>
                    <w:tl2br w:val="nil"/>
                    <w:tr2bl w:val="nil"/>
                  </w:tcBorders>
                </w:tcPr>
                <w:p>
                  <w:pPr>
                    <w:pStyle w:val="70"/>
                    <w:rPr>
                      <w:color w:val="auto"/>
                      <w:highlight w:val="none"/>
                    </w:rPr>
                  </w:pPr>
                  <w:r>
                    <w:rPr>
                      <w:rFonts w:hint="eastAsia"/>
                      <w:color w:val="auto"/>
                      <w:highlight w:val="none"/>
                    </w:rPr>
                    <w:t>标</w:t>
                  </w:r>
                  <w:r>
                    <w:rPr>
                      <w:rFonts w:hint="eastAsia"/>
                      <w:color w:val="auto"/>
                      <w:highlight w:val="none"/>
                      <w:lang w:val="en-US" w:eastAsia="zh-CN"/>
                    </w:rPr>
                    <w:t>干</w:t>
                  </w:r>
                  <w:r>
                    <w:rPr>
                      <w:rFonts w:hint="eastAsia"/>
                      <w:color w:val="auto"/>
                      <w:highlight w:val="none"/>
                    </w:rPr>
                    <w:t>流量（m</w:t>
                  </w:r>
                  <w:r>
                    <w:rPr>
                      <w:rFonts w:hint="eastAsia"/>
                      <w:color w:val="auto"/>
                      <w:highlight w:val="none"/>
                      <w:vertAlign w:val="superscript"/>
                    </w:rPr>
                    <w:t>3</w:t>
                  </w:r>
                  <w:r>
                    <w:rPr>
                      <w:rFonts w:hint="eastAsia"/>
                      <w:color w:val="auto"/>
                      <w:highlight w:val="none"/>
                    </w:rPr>
                    <w:t>/h）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7435</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7703</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5883</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7008</w:t>
                  </w:r>
                </w:p>
              </w:tc>
              <w:tc>
                <w:tcPr>
                  <w:tcW w:w="460" w:type="pct"/>
                  <w:tcBorders>
                    <w:tl2br w:val="nil"/>
                    <w:tr2bl w:val="nil"/>
                  </w:tcBorders>
                </w:tcPr>
                <w:p>
                  <w:pPr>
                    <w:pStyle w:val="70"/>
                    <w:rPr>
                      <w:color w:val="auto"/>
                      <w:highlight w:val="none"/>
                    </w:rPr>
                  </w:pPr>
                  <w:r>
                    <w:rPr>
                      <w:rFonts w:hint="eastAsia"/>
                      <w:color w:val="auto"/>
                      <w:highlight w:val="none"/>
                    </w:rPr>
                    <w:t>/</w:t>
                  </w:r>
                </w:p>
              </w:tc>
              <w:tc>
                <w:tcPr>
                  <w:tcW w:w="423" w:type="pct"/>
                  <w:tcBorders>
                    <w:tl2br w:val="nil"/>
                    <w:tr2bl w:val="nil"/>
                  </w:tcBorders>
                </w:tcPr>
                <w:p>
                  <w:pPr>
                    <w:pStyle w:val="70"/>
                    <w:rPr>
                      <w:color w:val="auto"/>
                      <w:highlight w:val="none"/>
                    </w:rPr>
                  </w:pPr>
                  <w:r>
                    <w:rPr>
                      <w:rFonts w:hint="eastAsia"/>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tcPr>
                <w:p>
                  <w:pPr>
                    <w:pStyle w:val="70"/>
                    <w:rPr>
                      <w:color w:val="auto"/>
                      <w:highlight w:val="none"/>
                    </w:rPr>
                  </w:pPr>
                  <w:r>
                    <w:rPr>
                      <w:rFonts w:hint="eastAsia"/>
                      <w:color w:val="auto"/>
                      <w:highlight w:val="none"/>
                    </w:rPr>
                    <w:t>实测浓度（mg/m</w:t>
                  </w:r>
                  <w:r>
                    <w:rPr>
                      <w:rFonts w:hint="eastAsia"/>
                      <w:color w:val="auto"/>
                      <w:highlight w:val="none"/>
                      <w:vertAlign w:val="superscript"/>
                    </w:rPr>
                    <w:t>3</w:t>
                  </w:r>
                  <w:r>
                    <w:rPr>
                      <w:rFonts w:hint="eastAsia"/>
                      <w:color w:val="auto"/>
                      <w:highlight w:val="none"/>
                    </w:rPr>
                    <w:t>）</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6.1</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6.7</w:t>
                  </w:r>
                </w:p>
              </w:tc>
              <w:tc>
                <w:tcPr>
                  <w:tcW w:w="564" w:type="pct"/>
                  <w:tcBorders>
                    <w:tl2br w:val="nil"/>
                    <w:tr2bl w:val="nil"/>
                  </w:tcBorders>
                </w:tcPr>
                <w:p>
                  <w:pPr>
                    <w:pStyle w:val="70"/>
                    <w:rPr>
                      <w:rFonts w:hint="eastAsia" w:eastAsia="宋体"/>
                      <w:color w:val="auto"/>
                      <w:highlight w:val="none"/>
                      <w:lang w:eastAsia="zh-CN"/>
                    </w:rPr>
                  </w:pPr>
                  <w:r>
                    <w:rPr>
                      <w:rFonts w:hint="eastAsia"/>
                      <w:color w:val="auto"/>
                      <w:highlight w:val="none"/>
                    </w:rPr>
                    <w:t>5.</w:t>
                  </w:r>
                  <w:r>
                    <w:rPr>
                      <w:rFonts w:hint="eastAsia"/>
                      <w:color w:val="auto"/>
                      <w:highlight w:val="none"/>
                      <w:lang w:val="en-US" w:eastAsia="zh-CN"/>
                    </w:rPr>
                    <w:t>7</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6.2</w:t>
                  </w:r>
                </w:p>
              </w:tc>
              <w:tc>
                <w:tcPr>
                  <w:tcW w:w="460" w:type="pct"/>
                  <w:tcBorders>
                    <w:tl2br w:val="nil"/>
                    <w:tr2bl w:val="nil"/>
                  </w:tcBorders>
                </w:tcPr>
                <w:p>
                  <w:pPr>
                    <w:pStyle w:val="70"/>
                    <w:rPr>
                      <w:color w:val="auto"/>
                      <w:highlight w:val="none"/>
                    </w:rPr>
                  </w:pPr>
                  <w:r>
                    <w:rPr>
                      <w:rFonts w:hint="eastAsia"/>
                      <w:color w:val="auto"/>
                      <w:highlight w:val="none"/>
                    </w:rPr>
                    <w:t>120</w:t>
                  </w:r>
                </w:p>
              </w:tc>
              <w:tc>
                <w:tcPr>
                  <w:tcW w:w="423" w:type="pct"/>
                  <w:tcBorders>
                    <w:tl2br w:val="nil"/>
                    <w:tr2bl w:val="nil"/>
                  </w:tcBorders>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tcPr>
                <w:p>
                  <w:pPr>
                    <w:pStyle w:val="70"/>
                    <w:rPr>
                      <w:color w:val="auto"/>
                      <w:highlight w:val="none"/>
                    </w:rPr>
                  </w:pPr>
                  <w:r>
                    <w:rPr>
                      <w:rFonts w:hint="eastAsia"/>
                      <w:color w:val="auto"/>
                      <w:highlight w:val="none"/>
                    </w:rPr>
                    <w:t>排放速率（kg/h）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45</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52</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34</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44</w:t>
                  </w:r>
                </w:p>
              </w:tc>
              <w:tc>
                <w:tcPr>
                  <w:tcW w:w="460"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14.45</w:t>
                  </w:r>
                </w:p>
              </w:tc>
              <w:tc>
                <w:tcPr>
                  <w:tcW w:w="423" w:type="pct"/>
                  <w:tcBorders>
                    <w:tl2br w:val="nil"/>
                    <w:tr2bl w:val="nil"/>
                  </w:tcBorders>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restart"/>
                  <w:tcBorders>
                    <w:tl2br w:val="nil"/>
                    <w:tr2bl w:val="nil"/>
                  </w:tcBorders>
                </w:tcPr>
                <w:p>
                  <w:pPr>
                    <w:pStyle w:val="70"/>
                    <w:rPr>
                      <w:color w:val="auto"/>
                      <w:highlight w:val="none"/>
                    </w:rPr>
                  </w:pPr>
                  <w:r>
                    <w:rPr>
                      <w:rFonts w:hint="eastAsia"/>
                      <w:color w:val="auto"/>
                      <w:highlight w:val="none"/>
                    </w:rPr>
                    <w:t>Q11喷涂废气排气筒出口</w:t>
                  </w:r>
                </w:p>
              </w:tc>
              <w:tc>
                <w:tcPr>
                  <w:tcW w:w="1170" w:type="pct"/>
                  <w:tcBorders>
                    <w:tl2br w:val="nil"/>
                    <w:tr2bl w:val="nil"/>
                  </w:tcBorders>
                </w:tcPr>
                <w:p>
                  <w:pPr>
                    <w:pStyle w:val="70"/>
                    <w:rPr>
                      <w:color w:val="auto"/>
                      <w:highlight w:val="none"/>
                    </w:rPr>
                  </w:pPr>
                  <w:r>
                    <w:rPr>
                      <w:rFonts w:hint="eastAsia"/>
                      <w:color w:val="auto"/>
                      <w:highlight w:val="none"/>
                    </w:rPr>
                    <w:t>标</w:t>
                  </w:r>
                  <w:r>
                    <w:rPr>
                      <w:rFonts w:hint="eastAsia"/>
                      <w:color w:val="auto"/>
                      <w:highlight w:val="none"/>
                      <w:lang w:val="en-US" w:eastAsia="zh-CN"/>
                    </w:rPr>
                    <w:t>干</w:t>
                  </w:r>
                  <w:r>
                    <w:rPr>
                      <w:rFonts w:hint="eastAsia"/>
                      <w:color w:val="auto"/>
                      <w:highlight w:val="none"/>
                    </w:rPr>
                    <w:t>流量（m</w:t>
                  </w:r>
                  <w:r>
                    <w:rPr>
                      <w:rFonts w:hint="eastAsia"/>
                      <w:color w:val="auto"/>
                      <w:highlight w:val="none"/>
                      <w:vertAlign w:val="superscript"/>
                    </w:rPr>
                    <w:t>3</w:t>
                  </w:r>
                  <w:r>
                    <w:rPr>
                      <w:rFonts w:hint="eastAsia"/>
                      <w:color w:val="auto"/>
                      <w:highlight w:val="none"/>
                    </w:rPr>
                    <w:t>/h）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15481</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19440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16912</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17278</w:t>
                  </w:r>
                </w:p>
              </w:tc>
              <w:tc>
                <w:tcPr>
                  <w:tcW w:w="460" w:type="pct"/>
                  <w:tcBorders>
                    <w:tl2br w:val="nil"/>
                    <w:tr2bl w:val="nil"/>
                  </w:tcBorders>
                </w:tcPr>
                <w:p>
                  <w:pPr>
                    <w:pStyle w:val="70"/>
                    <w:rPr>
                      <w:color w:val="auto"/>
                      <w:highlight w:val="none"/>
                    </w:rPr>
                  </w:pPr>
                  <w:r>
                    <w:rPr>
                      <w:rFonts w:hint="eastAsia"/>
                      <w:color w:val="auto"/>
                      <w:highlight w:val="none"/>
                    </w:rPr>
                    <w:t>/</w:t>
                  </w:r>
                </w:p>
              </w:tc>
              <w:tc>
                <w:tcPr>
                  <w:tcW w:w="423" w:type="pct"/>
                  <w:tcBorders>
                    <w:tl2br w:val="nil"/>
                    <w:tr2bl w:val="nil"/>
                  </w:tcBorders>
                </w:tcPr>
                <w:p>
                  <w:pPr>
                    <w:pStyle w:val="70"/>
                    <w:rPr>
                      <w:color w:val="auto"/>
                      <w:highlight w:val="none"/>
                    </w:rPr>
                  </w:pPr>
                  <w:r>
                    <w:rPr>
                      <w:rFonts w:hint="eastAsia"/>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tcPr>
                <w:p>
                  <w:pPr>
                    <w:pStyle w:val="70"/>
                    <w:rPr>
                      <w:color w:val="auto"/>
                      <w:highlight w:val="none"/>
                    </w:rPr>
                  </w:pPr>
                  <w:r>
                    <w:rPr>
                      <w:rFonts w:hint="eastAsia"/>
                      <w:color w:val="auto"/>
                      <w:highlight w:val="none"/>
                    </w:rPr>
                    <w:t>实测浓度（mg/m</w:t>
                  </w:r>
                  <w:r>
                    <w:rPr>
                      <w:rFonts w:hint="eastAsia"/>
                      <w:color w:val="auto"/>
                      <w:highlight w:val="none"/>
                      <w:vertAlign w:val="superscript"/>
                    </w:rPr>
                    <w:t>3</w:t>
                  </w:r>
                  <w:r>
                    <w:rPr>
                      <w:rFonts w:hint="eastAsia"/>
                      <w:color w:val="auto"/>
                      <w:highlight w:val="none"/>
                    </w:rPr>
                    <w:t>）</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6.7</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7.2</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7.3</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7.1</w:t>
                  </w:r>
                </w:p>
              </w:tc>
              <w:tc>
                <w:tcPr>
                  <w:tcW w:w="460" w:type="pct"/>
                  <w:tcBorders>
                    <w:tl2br w:val="nil"/>
                    <w:tr2bl w:val="nil"/>
                  </w:tcBorders>
                </w:tcPr>
                <w:p>
                  <w:pPr>
                    <w:pStyle w:val="70"/>
                    <w:rPr>
                      <w:color w:val="auto"/>
                      <w:highlight w:val="none"/>
                    </w:rPr>
                  </w:pPr>
                  <w:r>
                    <w:rPr>
                      <w:rFonts w:hint="eastAsia"/>
                      <w:color w:val="auto"/>
                      <w:highlight w:val="none"/>
                    </w:rPr>
                    <w:t>120</w:t>
                  </w:r>
                </w:p>
              </w:tc>
              <w:tc>
                <w:tcPr>
                  <w:tcW w:w="423" w:type="pct"/>
                  <w:tcBorders>
                    <w:tl2br w:val="nil"/>
                    <w:tr2bl w:val="nil"/>
                  </w:tcBorders>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tcPr>
                <w:p>
                  <w:pPr>
                    <w:pStyle w:val="70"/>
                    <w:rPr>
                      <w:color w:val="auto"/>
                      <w:highlight w:val="none"/>
                    </w:rPr>
                  </w:pPr>
                  <w:r>
                    <w:rPr>
                      <w:rFonts w:hint="eastAsia"/>
                      <w:color w:val="auto"/>
                      <w:highlight w:val="none"/>
                    </w:rPr>
                    <w:t>排放速率（kg/h）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104</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140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123</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122</w:t>
                  </w:r>
                </w:p>
              </w:tc>
              <w:tc>
                <w:tcPr>
                  <w:tcW w:w="460"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14.46</w:t>
                  </w:r>
                </w:p>
              </w:tc>
              <w:tc>
                <w:tcPr>
                  <w:tcW w:w="423" w:type="pct"/>
                  <w:tcBorders>
                    <w:tl2br w:val="nil"/>
                    <w:tr2bl w:val="nil"/>
                  </w:tcBorders>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restart"/>
                  <w:tcBorders>
                    <w:tl2br w:val="nil"/>
                    <w:tr2bl w:val="nil"/>
                  </w:tcBorders>
                </w:tcPr>
                <w:p>
                  <w:pPr>
                    <w:pStyle w:val="70"/>
                    <w:rPr>
                      <w:color w:val="auto"/>
                      <w:highlight w:val="none"/>
                    </w:rPr>
                  </w:pPr>
                  <w:r>
                    <w:rPr>
                      <w:rFonts w:hint="eastAsia"/>
                      <w:color w:val="auto"/>
                      <w:highlight w:val="none"/>
                    </w:rPr>
                    <w:t>Q13抛光废气排气筒出口</w:t>
                  </w:r>
                </w:p>
              </w:tc>
              <w:tc>
                <w:tcPr>
                  <w:tcW w:w="1170" w:type="pct"/>
                  <w:tcBorders>
                    <w:tl2br w:val="nil"/>
                    <w:tr2bl w:val="nil"/>
                  </w:tcBorders>
                </w:tcPr>
                <w:p>
                  <w:pPr>
                    <w:pStyle w:val="70"/>
                    <w:rPr>
                      <w:color w:val="auto"/>
                      <w:highlight w:val="none"/>
                    </w:rPr>
                  </w:pPr>
                  <w:r>
                    <w:rPr>
                      <w:rFonts w:hint="eastAsia"/>
                      <w:color w:val="auto"/>
                      <w:highlight w:val="none"/>
                    </w:rPr>
                    <w:t>标</w:t>
                  </w:r>
                  <w:r>
                    <w:rPr>
                      <w:rFonts w:hint="eastAsia"/>
                      <w:color w:val="auto"/>
                      <w:highlight w:val="none"/>
                      <w:lang w:val="en-US" w:eastAsia="zh-CN"/>
                    </w:rPr>
                    <w:t>干</w:t>
                  </w:r>
                  <w:r>
                    <w:rPr>
                      <w:rFonts w:hint="eastAsia"/>
                      <w:color w:val="auto"/>
                      <w:highlight w:val="none"/>
                    </w:rPr>
                    <w:t>流量（m</w:t>
                  </w:r>
                  <w:r>
                    <w:rPr>
                      <w:rFonts w:hint="eastAsia"/>
                      <w:color w:val="auto"/>
                      <w:highlight w:val="none"/>
                      <w:vertAlign w:val="superscript"/>
                    </w:rPr>
                    <w:t>3</w:t>
                  </w:r>
                  <w:r>
                    <w:rPr>
                      <w:rFonts w:hint="eastAsia"/>
                      <w:color w:val="auto"/>
                      <w:highlight w:val="none"/>
                    </w:rPr>
                    <w:t>/h）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3050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2865</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3121</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3012</w:t>
                  </w:r>
                </w:p>
              </w:tc>
              <w:tc>
                <w:tcPr>
                  <w:tcW w:w="460" w:type="pct"/>
                  <w:tcBorders>
                    <w:tl2br w:val="nil"/>
                    <w:tr2bl w:val="nil"/>
                  </w:tcBorders>
                </w:tcPr>
                <w:p>
                  <w:pPr>
                    <w:pStyle w:val="70"/>
                    <w:rPr>
                      <w:color w:val="auto"/>
                      <w:highlight w:val="none"/>
                    </w:rPr>
                  </w:pPr>
                  <w:r>
                    <w:rPr>
                      <w:rFonts w:hint="eastAsia"/>
                      <w:color w:val="auto"/>
                      <w:highlight w:val="none"/>
                    </w:rPr>
                    <w:t>/</w:t>
                  </w:r>
                </w:p>
              </w:tc>
              <w:tc>
                <w:tcPr>
                  <w:tcW w:w="423" w:type="pct"/>
                  <w:tcBorders>
                    <w:tl2br w:val="nil"/>
                    <w:tr2bl w:val="nil"/>
                  </w:tcBorders>
                </w:tcPr>
                <w:p>
                  <w:pPr>
                    <w:pStyle w:val="70"/>
                    <w:rPr>
                      <w:color w:val="auto"/>
                      <w:highlight w:val="none"/>
                    </w:rPr>
                  </w:pPr>
                  <w:r>
                    <w:rPr>
                      <w:rFonts w:hint="eastAsia"/>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tcPr>
                <w:p>
                  <w:pPr>
                    <w:pStyle w:val="70"/>
                    <w:rPr>
                      <w:color w:val="auto"/>
                      <w:highlight w:val="none"/>
                    </w:rPr>
                  </w:pPr>
                  <w:r>
                    <w:rPr>
                      <w:rFonts w:hint="eastAsia"/>
                      <w:color w:val="auto"/>
                      <w:highlight w:val="none"/>
                    </w:rPr>
                    <w:t>实测浓度（mg/m</w:t>
                  </w:r>
                  <w:r>
                    <w:rPr>
                      <w:rFonts w:hint="eastAsia"/>
                      <w:color w:val="auto"/>
                      <w:highlight w:val="none"/>
                      <w:vertAlign w:val="superscript"/>
                    </w:rPr>
                    <w:t>3</w:t>
                  </w:r>
                  <w:r>
                    <w:rPr>
                      <w:rFonts w:hint="eastAsia"/>
                      <w:color w:val="auto"/>
                      <w:highlight w:val="none"/>
                    </w:rPr>
                    <w:t>）</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5.3</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4.6</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4.6</w:t>
                  </w:r>
                </w:p>
              </w:tc>
              <w:tc>
                <w:tcPr>
                  <w:tcW w:w="460" w:type="pct"/>
                  <w:tcBorders>
                    <w:tl2br w:val="nil"/>
                    <w:tr2bl w:val="nil"/>
                  </w:tcBorders>
                </w:tcPr>
                <w:p>
                  <w:pPr>
                    <w:pStyle w:val="70"/>
                    <w:rPr>
                      <w:color w:val="auto"/>
                      <w:highlight w:val="none"/>
                    </w:rPr>
                  </w:pPr>
                  <w:r>
                    <w:rPr>
                      <w:rFonts w:hint="eastAsia"/>
                      <w:color w:val="auto"/>
                      <w:highlight w:val="none"/>
                    </w:rPr>
                    <w:t>120</w:t>
                  </w:r>
                </w:p>
              </w:tc>
              <w:tc>
                <w:tcPr>
                  <w:tcW w:w="423" w:type="pct"/>
                  <w:tcBorders>
                    <w:tl2br w:val="nil"/>
                    <w:tr2bl w:val="nil"/>
                  </w:tcBorders>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tcPr>
                <w:p>
                  <w:pPr>
                    <w:pStyle w:val="70"/>
                    <w:rPr>
                      <w:color w:val="auto"/>
                      <w:highlight w:val="none"/>
                    </w:rPr>
                  </w:pPr>
                  <w:r>
                    <w:rPr>
                      <w:rFonts w:hint="eastAsia"/>
                      <w:color w:val="auto"/>
                      <w:highlight w:val="none"/>
                    </w:rPr>
                    <w:t>排放速率（kg/h）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012</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015</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014</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014</w:t>
                  </w:r>
                </w:p>
              </w:tc>
              <w:tc>
                <w:tcPr>
                  <w:tcW w:w="460"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14.45</w:t>
                  </w:r>
                </w:p>
              </w:tc>
              <w:tc>
                <w:tcPr>
                  <w:tcW w:w="423" w:type="pct"/>
                  <w:tcBorders>
                    <w:tl2br w:val="nil"/>
                    <w:tr2bl w:val="nil"/>
                  </w:tcBorders>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restart"/>
                  <w:tcBorders>
                    <w:tl2br w:val="nil"/>
                    <w:tr2bl w:val="nil"/>
                  </w:tcBorders>
                </w:tcPr>
                <w:p>
                  <w:pPr>
                    <w:pStyle w:val="70"/>
                    <w:rPr>
                      <w:color w:val="auto"/>
                      <w:highlight w:val="none"/>
                    </w:rPr>
                  </w:pPr>
                  <w:r>
                    <w:rPr>
                      <w:rFonts w:hint="eastAsia"/>
                      <w:color w:val="auto"/>
                      <w:highlight w:val="none"/>
                    </w:rPr>
                    <w:t>Q14</w:t>
                  </w:r>
                  <w:r>
                    <w:rPr>
                      <w:rFonts w:hint="eastAsia"/>
                      <w:color w:val="auto"/>
                      <w:highlight w:val="none"/>
                      <w:lang w:val="en-US" w:eastAsia="zh-CN"/>
                    </w:rPr>
                    <w:t>抛光</w:t>
                  </w:r>
                  <w:r>
                    <w:rPr>
                      <w:rFonts w:hint="eastAsia"/>
                      <w:color w:val="auto"/>
                      <w:highlight w:val="none"/>
                    </w:rPr>
                    <w:t>废气排气筒出口</w:t>
                  </w:r>
                </w:p>
              </w:tc>
              <w:tc>
                <w:tcPr>
                  <w:tcW w:w="1170" w:type="pct"/>
                  <w:tcBorders>
                    <w:tl2br w:val="nil"/>
                    <w:tr2bl w:val="nil"/>
                  </w:tcBorders>
                </w:tcPr>
                <w:p>
                  <w:pPr>
                    <w:pStyle w:val="70"/>
                    <w:rPr>
                      <w:color w:val="auto"/>
                      <w:highlight w:val="none"/>
                    </w:rPr>
                  </w:pPr>
                  <w:r>
                    <w:rPr>
                      <w:rFonts w:hint="eastAsia"/>
                      <w:color w:val="auto"/>
                      <w:highlight w:val="none"/>
                    </w:rPr>
                    <w:t>标</w:t>
                  </w:r>
                  <w:r>
                    <w:rPr>
                      <w:rFonts w:hint="eastAsia"/>
                      <w:color w:val="auto"/>
                      <w:highlight w:val="none"/>
                      <w:lang w:val="en-US" w:eastAsia="zh-CN"/>
                    </w:rPr>
                    <w:t>干</w:t>
                  </w:r>
                  <w:r>
                    <w:rPr>
                      <w:rFonts w:hint="eastAsia"/>
                      <w:color w:val="auto"/>
                      <w:highlight w:val="none"/>
                    </w:rPr>
                    <w:t>流量（m</w:t>
                  </w:r>
                  <w:r>
                    <w:rPr>
                      <w:rFonts w:hint="eastAsia"/>
                      <w:color w:val="auto"/>
                      <w:highlight w:val="none"/>
                      <w:vertAlign w:val="superscript"/>
                    </w:rPr>
                    <w:t>3</w:t>
                  </w:r>
                  <w:r>
                    <w:rPr>
                      <w:rFonts w:hint="eastAsia"/>
                      <w:color w:val="auto"/>
                      <w:highlight w:val="none"/>
                    </w:rPr>
                    <w:t>/h）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15014</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13538</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21454</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16669</w:t>
                  </w:r>
                </w:p>
              </w:tc>
              <w:tc>
                <w:tcPr>
                  <w:tcW w:w="460" w:type="pct"/>
                  <w:tcBorders>
                    <w:tl2br w:val="nil"/>
                    <w:tr2bl w:val="nil"/>
                  </w:tcBorders>
                </w:tcPr>
                <w:p>
                  <w:pPr>
                    <w:pStyle w:val="70"/>
                    <w:rPr>
                      <w:color w:val="auto"/>
                      <w:highlight w:val="none"/>
                    </w:rPr>
                  </w:pPr>
                  <w:r>
                    <w:rPr>
                      <w:rFonts w:hint="eastAsia"/>
                      <w:color w:val="auto"/>
                      <w:highlight w:val="none"/>
                    </w:rPr>
                    <w:t>/</w:t>
                  </w:r>
                </w:p>
              </w:tc>
              <w:tc>
                <w:tcPr>
                  <w:tcW w:w="423" w:type="pct"/>
                  <w:tcBorders>
                    <w:tl2br w:val="nil"/>
                    <w:tr2bl w:val="nil"/>
                  </w:tcBorders>
                </w:tcPr>
                <w:p>
                  <w:pPr>
                    <w:pStyle w:val="70"/>
                    <w:rPr>
                      <w:color w:val="auto"/>
                      <w:highlight w:val="none"/>
                    </w:rPr>
                  </w:pPr>
                  <w:r>
                    <w:rPr>
                      <w:rFonts w:hint="eastAsia"/>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tcPr>
                <w:p>
                  <w:pPr>
                    <w:pStyle w:val="70"/>
                    <w:rPr>
                      <w:color w:val="auto"/>
                      <w:highlight w:val="none"/>
                    </w:rPr>
                  </w:pPr>
                  <w:r>
                    <w:rPr>
                      <w:rFonts w:hint="eastAsia"/>
                      <w:color w:val="auto"/>
                      <w:highlight w:val="none"/>
                    </w:rPr>
                    <w:t>实测浓度（mg/m</w:t>
                  </w:r>
                  <w:r>
                    <w:rPr>
                      <w:rFonts w:hint="eastAsia"/>
                      <w:color w:val="auto"/>
                      <w:highlight w:val="none"/>
                      <w:vertAlign w:val="superscript"/>
                    </w:rPr>
                    <w:t>3</w:t>
                  </w:r>
                  <w:r>
                    <w:rPr>
                      <w:rFonts w:hint="eastAsia"/>
                      <w:color w:val="auto"/>
                      <w:highlight w:val="none"/>
                    </w:rPr>
                    <w:t>）</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7.7</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7.1</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8.0</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7.6</w:t>
                  </w:r>
                </w:p>
              </w:tc>
              <w:tc>
                <w:tcPr>
                  <w:tcW w:w="460" w:type="pct"/>
                  <w:tcBorders>
                    <w:tl2br w:val="nil"/>
                    <w:tr2bl w:val="nil"/>
                  </w:tcBorders>
                </w:tcPr>
                <w:p>
                  <w:pPr>
                    <w:pStyle w:val="70"/>
                    <w:rPr>
                      <w:color w:val="auto"/>
                      <w:highlight w:val="none"/>
                    </w:rPr>
                  </w:pPr>
                  <w:r>
                    <w:rPr>
                      <w:rFonts w:hint="eastAsia"/>
                      <w:color w:val="auto"/>
                      <w:highlight w:val="none"/>
                    </w:rPr>
                    <w:t>120</w:t>
                  </w:r>
                </w:p>
              </w:tc>
              <w:tc>
                <w:tcPr>
                  <w:tcW w:w="423" w:type="pct"/>
                  <w:tcBorders>
                    <w:tl2br w:val="nil"/>
                    <w:tr2bl w:val="nil"/>
                  </w:tcBorders>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tcPr>
                <w:p>
                  <w:pPr>
                    <w:pStyle w:val="70"/>
                    <w:rPr>
                      <w:color w:val="auto"/>
                      <w:highlight w:val="none"/>
                    </w:rPr>
                  </w:pPr>
                  <w:r>
                    <w:rPr>
                      <w:rFonts w:hint="eastAsia"/>
                      <w:color w:val="auto"/>
                      <w:highlight w:val="none"/>
                    </w:rPr>
                    <w:t>排放速率（kg/h）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116</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096</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172</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128</w:t>
                  </w:r>
                </w:p>
              </w:tc>
              <w:tc>
                <w:tcPr>
                  <w:tcW w:w="460"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14.45</w:t>
                  </w:r>
                </w:p>
              </w:tc>
              <w:tc>
                <w:tcPr>
                  <w:tcW w:w="423" w:type="pct"/>
                  <w:tcBorders>
                    <w:tl2br w:val="nil"/>
                    <w:tr2bl w:val="nil"/>
                  </w:tcBorders>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restart"/>
                  <w:tcBorders>
                    <w:tl2br w:val="nil"/>
                    <w:tr2bl w:val="nil"/>
                  </w:tcBorders>
                </w:tcPr>
                <w:p>
                  <w:pPr>
                    <w:pStyle w:val="70"/>
                    <w:rPr>
                      <w:color w:val="auto"/>
                      <w:highlight w:val="none"/>
                    </w:rPr>
                  </w:pPr>
                  <w:r>
                    <w:rPr>
                      <w:rFonts w:hint="eastAsia"/>
                      <w:color w:val="auto"/>
                      <w:highlight w:val="none"/>
                    </w:rPr>
                    <w:t>Q15喷砂废气排气筒出口</w:t>
                  </w:r>
                </w:p>
              </w:tc>
              <w:tc>
                <w:tcPr>
                  <w:tcW w:w="1170" w:type="pct"/>
                  <w:tcBorders>
                    <w:tl2br w:val="nil"/>
                    <w:tr2bl w:val="nil"/>
                  </w:tcBorders>
                </w:tcPr>
                <w:p>
                  <w:pPr>
                    <w:pStyle w:val="70"/>
                    <w:rPr>
                      <w:color w:val="auto"/>
                      <w:highlight w:val="none"/>
                    </w:rPr>
                  </w:pPr>
                  <w:r>
                    <w:rPr>
                      <w:rFonts w:hint="eastAsia"/>
                      <w:color w:val="auto"/>
                      <w:highlight w:val="none"/>
                    </w:rPr>
                    <w:t>标</w:t>
                  </w:r>
                  <w:r>
                    <w:rPr>
                      <w:rFonts w:hint="eastAsia"/>
                      <w:color w:val="auto"/>
                      <w:highlight w:val="none"/>
                      <w:lang w:val="en-US" w:eastAsia="zh-CN"/>
                    </w:rPr>
                    <w:t>干</w:t>
                  </w:r>
                  <w:r>
                    <w:rPr>
                      <w:rFonts w:hint="eastAsia"/>
                      <w:color w:val="auto"/>
                      <w:highlight w:val="none"/>
                    </w:rPr>
                    <w:t>流量（m</w:t>
                  </w:r>
                  <w:r>
                    <w:rPr>
                      <w:rFonts w:hint="eastAsia"/>
                      <w:color w:val="auto"/>
                      <w:highlight w:val="none"/>
                      <w:vertAlign w:val="superscript"/>
                    </w:rPr>
                    <w:t>3</w:t>
                  </w:r>
                  <w:r>
                    <w:rPr>
                      <w:rFonts w:hint="eastAsia"/>
                      <w:color w:val="auto"/>
                      <w:highlight w:val="none"/>
                    </w:rPr>
                    <w:t>/h）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3670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3831</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4040</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3847</w:t>
                  </w:r>
                </w:p>
              </w:tc>
              <w:tc>
                <w:tcPr>
                  <w:tcW w:w="460" w:type="pct"/>
                  <w:tcBorders>
                    <w:tl2br w:val="nil"/>
                    <w:tr2bl w:val="nil"/>
                  </w:tcBorders>
                </w:tcPr>
                <w:p>
                  <w:pPr>
                    <w:pStyle w:val="70"/>
                    <w:rPr>
                      <w:color w:val="auto"/>
                      <w:highlight w:val="none"/>
                    </w:rPr>
                  </w:pPr>
                  <w:r>
                    <w:rPr>
                      <w:rFonts w:hint="eastAsia"/>
                      <w:color w:val="auto"/>
                      <w:highlight w:val="none"/>
                    </w:rPr>
                    <w:t>/</w:t>
                  </w:r>
                </w:p>
              </w:tc>
              <w:tc>
                <w:tcPr>
                  <w:tcW w:w="423" w:type="pct"/>
                  <w:tcBorders>
                    <w:tl2br w:val="nil"/>
                    <w:tr2bl w:val="nil"/>
                  </w:tcBorders>
                </w:tcPr>
                <w:p>
                  <w:pPr>
                    <w:pStyle w:val="70"/>
                    <w:rPr>
                      <w:color w:val="auto"/>
                      <w:highlight w:val="none"/>
                    </w:rPr>
                  </w:pPr>
                  <w:r>
                    <w:rPr>
                      <w:rFonts w:hint="eastAsia"/>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tcPr>
                <w:p>
                  <w:pPr>
                    <w:pStyle w:val="70"/>
                    <w:rPr>
                      <w:color w:val="auto"/>
                      <w:highlight w:val="none"/>
                    </w:rPr>
                  </w:pPr>
                  <w:r>
                    <w:rPr>
                      <w:rFonts w:hint="eastAsia"/>
                      <w:color w:val="auto"/>
                      <w:highlight w:val="none"/>
                    </w:rPr>
                    <w:t>实测浓度（mg/m</w:t>
                  </w:r>
                  <w:r>
                    <w:rPr>
                      <w:rFonts w:hint="eastAsia"/>
                      <w:color w:val="auto"/>
                      <w:highlight w:val="none"/>
                      <w:vertAlign w:val="superscript"/>
                    </w:rPr>
                    <w:t>3</w:t>
                  </w:r>
                  <w:r>
                    <w:rPr>
                      <w:rFonts w:hint="eastAsia"/>
                      <w:color w:val="auto"/>
                      <w:highlight w:val="none"/>
                    </w:rPr>
                    <w:t>）</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4.4</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4.7</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4.3</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4.5</w:t>
                  </w:r>
                </w:p>
              </w:tc>
              <w:tc>
                <w:tcPr>
                  <w:tcW w:w="460" w:type="pct"/>
                  <w:tcBorders>
                    <w:tl2br w:val="nil"/>
                    <w:tr2bl w:val="nil"/>
                  </w:tcBorders>
                </w:tcPr>
                <w:p>
                  <w:pPr>
                    <w:pStyle w:val="70"/>
                    <w:rPr>
                      <w:color w:val="auto"/>
                      <w:highlight w:val="none"/>
                    </w:rPr>
                  </w:pPr>
                  <w:r>
                    <w:rPr>
                      <w:rFonts w:hint="eastAsia"/>
                      <w:color w:val="auto"/>
                      <w:highlight w:val="none"/>
                    </w:rPr>
                    <w:t>120</w:t>
                  </w:r>
                </w:p>
              </w:tc>
              <w:tc>
                <w:tcPr>
                  <w:tcW w:w="423" w:type="pct"/>
                  <w:tcBorders>
                    <w:tl2br w:val="nil"/>
                    <w:tr2bl w:val="nil"/>
                  </w:tcBorders>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tcPr>
                <w:p>
                  <w:pPr>
                    <w:pStyle w:val="70"/>
                    <w:rPr>
                      <w:color w:val="auto"/>
                      <w:highlight w:val="none"/>
                    </w:rPr>
                  </w:pPr>
                  <w:r>
                    <w:rPr>
                      <w:rFonts w:hint="eastAsia"/>
                      <w:color w:val="auto"/>
                      <w:highlight w:val="none"/>
                    </w:rPr>
                    <w:t>排放速率（kg/h）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016</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018</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017</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017</w:t>
                  </w:r>
                </w:p>
              </w:tc>
              <w:tc>
                <w:tcPr>
                  <w:tcW w:w="460"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14.45</w:t>
                  </w:r>
                </w:p>
              </w:tc>
              <w:tc>
                <w:tcPr>
                  <w:tcW w:w="423" w:type="pct"/>
                  <w:tcBorders>
                    <w:tl2br w:val="nil"/>
                    <w:tr2bl w:val="nil"/>
                  </w:tcBorders>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restart"/>
                  <w:tcBorders>
                    <w:tl2br w:val="nil"/>
                    <w:tr2bl w:val="nil"/>
                  </w:tcBorders>
                </w:tcPr>
                <w:p>
                  <w:pPr>
                    <w:pStyle w:val="70"/>
                    <w:rPr>
                      <w:color w:val="auto"/>
                      <w:highlight w:val="none"/>
                    </w:rPr>
                  </w:pPr>
                  <w:r>
                    <w:rPr>
                      <w:rFonts w:hint="eastAsia"/>
                      <w:color w:val="auto"/>
                      <w:highlight w:val="none"/>
                    </w:rPr>
                    <w:t>Q1</w:t>
                  </w:r>
                  <w:r>
                    <w:rPr>
                      <w:rFonts w:hint="eastAsia"/>
                      <w:color w:val="auto"/>
                      <w:highlight w:val="none"/>
                      <w:lang w:val="en-US" w:eastAsia="zh-CN"/>
                    </w:rPr>
                    <w:t>6</w:t>
                  </w:r>
                  <w:r>
                    <w:rPr>
                      <w:rFonts w:hint="eastAsia"/>
                      <w:color w:val="auto"/>
                      <w:highlight w:val="none"/>
                    </w:rPr>
                    <w:t>喷砂废气排气筒出口</w:t>
                  </w:r>
                </w:p>
              </w:tc>
              <w:tc>
                <w:tcPr>
                  <w:tcW w:w="1170"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标干流量</w:t>
                  </w:r>
                  <w:r>
                    <w:rPr>
                      <w:rFonts w:hint="eastAsia"/>
                      <w:color w:val="auto"/>
                      <w:highlight w:val="none"/>
                    </w:rPr>
                    <w:t>（m</w:t>
                  </w:r>
                  <w:r>
                    <w:rPr>
                      <w:rFonts w:hint="eastAsia"/>
                      <w:color w:val="auto"/>
                      <w:highlight w:val="none"/>
                      <w:vertAlign w:val="superscript"/>
                    </w:rPr>
                    <w:t>3</w:t>
                  </w:r>
                  <w:r>
                    <w:rPr>
                      <w:rFonts w:hint="eastAsia"/>
                      <w:color w:val="auto"/>
                      <w:highlight w:val="none"/>
                    </w:rPr>
                    <w:t>/h）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17200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17892</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16377</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17156</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实测浓度（mg/m</w:t>
                  </w:r>
                  <w:r>
                    <w:rPr>
                      <w:rFonts w:hint="eastAsia"/>
                      <w:color w:val="auto"/>
                      <w:highlight w:val="none"/>
                      <w:vertAlign w:val="superscript"/>
                    </w:rPr>
                    <w:t>3</w:t>
                  </w:r>
                  <w:r>
                    <w:rPr>
                      <w:rFonts w:hint="eastAsia"/>
                      <w:color w:val="auto"/>
                      <w:highlight w:val="none"/>
                    </w:rPr>
                    <w:t>）</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6.3</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6.7</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6.1</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6.4</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120</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排放速率（kg/h）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0.108</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0.120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0.100</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0.109</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14.45</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restar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Q17喷涂废气排气筒出口</w:t>
                  </w: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标干流量</w:t>
                  </w:r>
                  <w:r>
                    <w:rPr>
                      <w:rFonts w:hint="eastAsia"/>
                      <w:color w:val="auto"/>
                      <w:highlight w:val="none"/>
                    </w:rPr>
                    <w:t>（m</w:t>
                  </w:r>
                  <w:r>
                    <w:rPr>
                      <w:rFonts w:hint="eastAsia"/>
                      <w:color w:val="auto"/>
                      <w:highlight w:val="none"/>
                      <w:vertAlign w:val="superscript"/>
                    </w:rPr>
                    <w:t>3</w:t>
                  </w:r>
                  <w:r>
                    <w:rPr>
                      <w:rFonts w:hint="eastAsia"/>
                      <w:color w:val="auto"/>
                      <w:highlight w:val="none"/>
                    </w:rPr>
                    <w:t>/h）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3358</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4304</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4286</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3983</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实测浓度（mg/m</w:t>
                  </w:r>
                  <w:r>
                    <w:rPr>
                      <w:rFonts w:hint="eastAsia"/>
                      <w:color w:val="auto"/>
                      <w:highlight w:val="none"/>
                      <w:vertAlign w:val="superscript"/>
                    </w:rPr>
                    <w:t>3</w:t>
                  </w:r>
                  <w:r>
                    <w:rPr>
                      <w:rFonts w:hint="eastAsia"/>
                      <w:color w:val="auto"/>
                      <w:highlight w:val="none"/>
                    </w:rPr>
                    <w:t>）</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7.5</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7.8</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8.5</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7.9</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120</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排放速率（kg/h）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0.025</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0.034</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0.036</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0.032</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14.45</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restart"/>
                  <w:tcBorders>
                    <w:tl2br w:val="nil"/>
                    <w:tr2bl w:val="nil"/>
                  </w:tcBorders>
                </w:tcPr>
                <w:p>
                  <w:pPr>
                    <w:pStyle w:val="70"/>
                    <w:rPr>
                      <w:color w:val="auto"/>
                      <w:highlight w:val="none"/>
                    </w:rPr>
                  </w:pPr>
                  <w:r>
                    <w:rPr>
                      <w:rFonts w:hint="eastAsia"/>
                      <w:color w:val="auto"/>
                      <w:highlight w:val="none"/>
                      <w:lang w:val="en-US" w:eastAsia="zh-CN"/>
                    </w:rPr>
                    <w:t>Q18喷涂废气排气筒出口</w:t>
                  </w: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标干流量</w:t>
                  </w:r>
                  <w:r>
                    <w:rPr>
                      <w:rFonts w:hint="eastAsia"/>
                      <w:color w:val="auto"/>
                      <w:highlight w:val="none"/>
                    </w:rPr>
                    <w:t>（m</w:t>
                  </w:r>
                  <w:r>
                    <w:rPr>
                      <w:rFonts w:hint="eastAsia"/>
                      <w:color w:val="auto"/>
                      <w:highlight w:val="none"/>
                      <w:vertAlign w:val="superscript"/>
                    </w:rPr>
                    <w:t>3</w:t>
                  </w:r>
                  <w:r>
                    <w:rPr>
                      <w:rFonts w:hint="eastAsia"/>
                      <w:color w:val="auto"/>
                      <w:highlight w:val="none"/>
                    </w:rPr>
                    <w:t>/h）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3490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3490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3850</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3610</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实测浓度（mg/m</w:t>
                  </w:r>
                  <w:r>
                    <w:rPr>
                      <w:rFonts w:hint="eastAsia"/>
                      <w:color w:val="auto"/>
                      <w:highlight w:val="none"/>
                      <w:vertAlign w:val="superscript"/>
                    </w:rPr>
                    <w:t>3</w:t>
                  </w:r>
                  <w:r>
                    <w:rPr>
                      <w:rFonts w:hint="eastAsia"/>
                      <w:color w:val="auto"/>
                      <w:highlight w:val="none"/>
                    </w:rPr>
                    <w:t>）</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4.9</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5.2</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5.6</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5.2</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120</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排放速率（kg/h）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0.017</w:t>
                  </w:r>
                </w:p>
              </w:tc>
              <w:tc>
                <w:tcPr>
                  <w:tcW w:w="564" w:type="pct"/>
                  <w:tcBorders>
                    <w:tl2br w:val="nil"/>
                    <w:tr2bl w:val="nil"/>
                  </w:tcBorders>
                </w:tcPr>
                <w:p>
                  <w:pPr>
                    <w:pStyle w:val="70"/>
                    <w:rPr>
                      <w:rFonts w:hint="eastAsia"/>
                      <w:color w:val="auto"/>
                      <w:highlight w:val="none"/>
                    </w:rPr>
                  </w:pPr>
                  <w:r>
                    <w:rPr>
                      <w:rFonts w:hint="eastAsia"/>
                      <w:color w:val="auto"/>
                      <w:highlight w:val="none"/>
                      <w:lang w:val="en-US" w:eastAsia="zh-CN"/>
                    </w:rPr>
                    <w:t>0.018</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0.022</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0.019</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14.45</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restart"/>
                  <w:tcBorders>
                    <w:tl2br w:val="nil"/>
                    <w:tr2bl w:val="nil"/>
                  </w:tcBorders>
                </w:tcPr>
                <w:p>
                  <w:pPr>
                    <w:pStyle w:val="70"/>
                    <w:rPr>
                      <w:color w:val="auto"/>
                      <w:highlight w:val="none"/>
                    </w:rPr>
                  </w:pPr>
                  <w:r>
                    <w:rPr>
                      <w:rFonts w:hint="eastAsia"/>
                      <w:color w:val="auto"/>
                      <w:highlight w:val="none"/>
                      <w:lang w:val="en-US" w:eastAsia="zh-CN"/>
                    </w:rPr>
                    <w:t>Q19喷涂废气排气筒出口</w:t>
                  </w: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标干流量</w:t>
                  </w:r>
                  <w:r>
                    <w:rPr>
                      <w:rFonts w:hint="eastAsia"/>
                      <w:color w:val="auto"/>
                      <w:highlight w:val="none"/>
                    </w:rPr>
                    <w:t>（m</w:t>
                  </w:r>
                  <w:r>
                    <w:rPr>
                      <w:rFonts w:hint="eastAsia"/>
                      <w:color w:val="auto"/>
                      <w:highlight w:val="none"/>
                      <w:vertAlign w:val="superscript"/>
                    </w:rPr>
                    <w:t>3</w:t>
                  </w:r>
                  <w:r>
                    <w:rPr>
                      <w:rFonts w:hint="eastAsia"/>
                      <w:color w:val="auto"/>
                      <w:highlight w:val="none"/>
                    </w:rPr>
                    <w:t>/h）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2947</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3024</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2983</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2985</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实测浓度（mg/m</w:t>
                  </w:r>
                  <w:r>
                    <w:rPr>
                      <w:rFonts w:hint="eastAsia"/>
                      <w:color w:val="auto"/>
                      <w:highlight w:val="none"/>
                      <w:vertAlign w:val="superscript"/>
                    </w:rPr>
                    <w:t>3</w:t>
                  </w:r>
                  <w:r>
                    <w:rPr>
                      <w:rFonts w:hint="eastAsia"/>
                      <w:color w:val="auto"/>
                      <w:highlight w:val="none"/>
                    </w:rPr>
                    <w:t>）</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4.1</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4.9</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4.5</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4.5</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120</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排放速率（kg/h）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0.012</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0.015</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0.013</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0.013</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14.45</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restart"/>
                  <w:tcBorders>
                    <w:tl2br w:val="nil"/>
                    <w:tr2bl w:val="nil"/>
                  </w:tcBorders>
                </w:tcPr>
                <w:p>
                  <w:pPr>
                    <w:pStyle w:val="70"/>
                    <w:rPr>
                      <w:color w:val="auto"/>
                      <w:highlight w:val="none"/>
                    </w:rPr>
                  </w:pPr>
                  <w:r>
                    <w:rPr>
                      <w:rFonts w:hint="eastAsia"/>
                      <w:color w:val="auto"/>
                      <w:highlight w:val="none"/>
                      <w:lang w:val="en-US" w:eastAsia="zh-CN"/>
                    </w:rPr>
                    <w:t>Q20喷涂废气排气筒出口</w:t>
                  </w: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标干流量</w:t>
                  </w:r>
                  <w:r>
                    <w:rPr>
                      <w:rFonts w:hint="eastAsia"/>
                      <w:color w:val="auto"/>
                      <w:highlight w:val="none"/>
                    </w:rPr>
                    <w:t>（m</w:t>
                  </w:r>
                  <w:r>
                    <w:rPr>
                      <w:rFonts w:hint="eastAsia"/>
                      <w:color w:val="auto"/>
                      <w:highlight w:val="none"/>
                      <w:vertAlign w:val="superscript"/>
                    </w:rPr>
                    <w:t>3</w:t>
                  </w:r>
                  <w:r>
                    <w:rPr>
                      <w:rFonts w:hint="eastAsia"/>
                      <w:color w:val="auto"/>
                      <w:highlight w:val="none"/>
                    </w:rPr>
                    <w:t>/h）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2483</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2530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2494</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2502</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实测浓度（mg/m</w:t>
                  </w:r>
                  <w:r>
                    <w:rPr>
                      <w:rFonts w:hint="eastAsia"/>
                      <w:color w:val="auto"/>
                      <w:highlight w:val="none"/>
                      <w:vertAlign w:val="superscript"/>
                    </w:rPr>
                    <w:t>3</w:t>
                  </w:r>
                  <w:r>
                    <w:rPr>
                      <w:rFonts w:hint="eastAsia"/>
                      <w:color w:val="auto"/>
                      <w:highlight w:val="none"/>
                    </w:rPr>
                    <w:t>）</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3.6</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4.1</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3.2</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3.6</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120</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67" w:type="pct"/>
                  <w:vMerge w:val="continue"/>
                  <w:tcBorders>
                    <w:tl2br w:val="nil"/>
                    <w:tr2bl w:val="nil"/>
                  </w:tcBorders>
                </w:tcPr>
                <w:p>
                  <w:pPr>
                    <w:pStyle w:val="70"/>
                    <w:rPr>
                      <w:color w:val="auto"/>
                      <w:highlight w:val="none"/>
                    </w:rPr>
                  </w:pPr>
                </w:p>
              </w:tc>
              <w:tc>
                <w:tcPr>
                  <w:tcW w:w="117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排放速率（kg/h）</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0.00894</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0.010</w:t>
                  </w:r>
                </w:p>
              </w:tc>
              <w:tc>
                <w:tcPr>
                  <w:tcW w:w="56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0.00798</w:t>
                  </w:r>
                </w:p>
              </w:tc>
              <w:tc>
                <w:tcPr>
                  <w:tcW w:w="584" w:type="pct"/>
                  <w:tcBorders>
                    <w:tl2br w:val="nil"/>
                    <w:tr2bl w:val="nil"/>
                  </w:tcBorders>
                </w:tcPr>
                <w:p>
                  <w:pPr>
                    <w:pStyle w:val="70"/>
                    <w:rPr>
                      <w:rFonts w:hint="default" w:eastAsia="宋体"/>
                      <w:color w:val="auto"/>
                      <w:highlight w:val="none"/>
                      <w:lang w:val="en-US" w:eastAsia="zh-CN"/>
                    </w:rPr>
                  </w:pPr>
                  <w:r>
                    <w:rPr>
                      <w:rFonts w:hint="eastAsia"/>
                      <w:color w:val="auto"/>
                      <w:highlight w:val="none"/>
                      <w:lang w:val="en-US" w:eastAsia="zh-CN"/>
                    </w:rPr>
                    <w:t>0.00897</w:t>
                  </w:r>
                </w:p>
              </w:tc>
              <w:tc>
                <w:tcPr>
                  <w:tcW w:w="460"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14.45</w:t>
                  </w:r>
                </w:p>
              </w:tc>
              <w:tc>
                <w:tcPr>
                  <w:tcW w:w="423" w:type="pct"/>
                  <w:tcBorders>
                    <w:tl2br w:val="nil"/>
                    <w:tr2bl w:val="nil"/>
                  </w:tcBorders>
                  <w:shd w:val="clear" w:color="auto" w:fill="auto"/>
                  <w:vAlign w:val="top"/>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达标</w:t>
                  </w:r>
                </w:p>
              </w:tc>
            </w:tr>
          </w:tbl>
          <w:p>
            <w:pPr>
              <w:pStyle w:val="68"/>
              <w:rPr>
                <w:rFonts w:hint="eastAsia"/>
                <w:color w:val="auto"/>
                <w:highlight w:val="none"/>
              </w:rPr>
            </w:pPr>
          </w:p>
          <w:p>
            <w:pPr>
              <w:pStyle w:val="68"/>
              <w:rPr>
                <w:color w:val="auto"/>
                <w:highlight w:val="none"/>
              </w:rPr>
            </w:pPr>
            <w:r>
              <w:rPr>
                <w:rFonts w:hint="eastAsia"/>
                <w:color w:val="auto"/>
                <w:highlight w:val="none"/>
              </w:rPr>
              <w:t>表2.5.</w:t>
            </w:r>
            <w:r>
              <w:rPr>
                <w:rFonts w:hint="eastAsia"/>
                <w:color w:val="auto"/>
                <w:highlight w:val="none"/>
                <w:lang w:val="en-US" w:eastAsia="zh-CN"/>
              </w:rPr>
              <w:t>5</w:t>
            </w:r>
            <w:r>
              <w:rPr>
                <w:rFonts w:hint="eastAsia"/>
                <w:color w:val="auto"/>
                <w:highlight w:val="none"/>
              </w:rPr>
              <w:t>无组织废气监测结果一览表</w:t>
            </w:r>
          </w:p>
          <w:tbl>
            <w:tblPr>
              <w:tblStyle w:val="29"/>
              <w:tblW w:w="8181" w:type="dxa"/>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81"/>
              <w:gridCol w:w="975"/>
              <w:gridCol w:w="864"/>
              <w:gridCol w:w="1128"/>
              <w:gridCol w:w="1128"/>
              <w:gridCol w:w="945"/>
              <w:gridCol w:w="886"/>
              <w:gridCol w:w="6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81" w:type="dxa"/>
                  <w:vMerge w:val="restart"/>
                  <w:tcBorders>
                    <w:tl2br w:val="nil"/>
                    <w:tr2bl w:val="nil"/>
                  </w:tcBorders>
                  <w:vAlign w:val="center"/>
                </w:tcPr>
                <w:p>
                  <w:pPr>
                    <w:pStyle w:val="70"/>
                    <w:rPr>
                      <w:color w:val="auto"/>
                      <w:highlight w:val="none"/>
                    </w:rPr>
                  </w:pPr>
                  <w:r>
                    <w:rPr>
                      <w:rFonts w:hint="eastAsia"/>
                      <w:color w:val="auto"/>
                      <w:highlight w:val="none"/>
                    </w:rPr>
                    <w:t>监测点位</w:t>
                  </w:r>
                </w:p>
              </w:tc>
              <w:tc>
                <w:tcPr>
                  <w:tcW w:w="975" w:type="dxa"/>
                  <w:vMerge w:val="restart"/>
                  <w:tcBorders>
                    <w:tl2br w:val="nil"/>
                    <w:tr2bl w:val="nil"/>
                  </w:tcBorders>
                  <w:vAlign w:val="center"/>
                </w:tcPr>
                <w:p>
                  <w:pPr>
                    <w:pStyle w:val="70"/>
                    <w:rPr>
                      <w:color w:val="auto"/>
                      <w:highlight w:val="none"/>
                    </w:rPr>
                  </w:pPr>
                  <w:r>
                    <w:rPr>
                      <w:rFonts w:hint="eastAsia"/>
                      <w:color w:val="auto"/>
                      <w:highlight w:val="none"/>
                    </w:rPr>
                    <w:t>监测项目</w:t>
                  </w:r>
                </w:p>
              </w:tc>
              <w:tc>
                <w:tcPr>
                  <w:tcW w:w="4065" w:type="dxa"/>
                  <w:gridSpan w:val="4"/>
                  <w:tcBorders>
                    <w:tl2br w:val="nil"/>
                    <w:tr2bl w:val="nil"/>
                  </w:tcBorders>
                  <w:vAlign w:val="center"/>
                </w:tcPr>
                <w:p>
                  <w:pPr>
                    <w:pStyle w:val="70"/>
                    <w:rPr>
                      <w:color w:val="auto"/>
                      <w:highlight w:val="none"/>
                    </w:rPr>
                  </w:pPr>
                  <w:r>
                    <w:rPr>
                      <w:rFonts w:hint="eastAsia"/>
                      <w:color w:val="auto"/>
                      <w:highlight w:val="none"/>
                    </w:rPr>
                    <w:t>监测结果（mg/m</w:t>
                  </w:r>
                  <w:r>
                    <w:rPr>
                      <w:rFonts w:hint="eastAsia"/>
                      <w:color w:val="auto"/>
                      <w:highlight w:val="none"/>
                      <w:vertAlign w:val="superscript"/>
                    </w:rPr>
                    <w:t>3</w:t>
                  </w:r>
                  <w:r>
                    <w:rPr>
                      <w:rFonts w:hint="eastAsia"/>
                      <w:color w:val="auto"/>
                      <w:highlight w:val="none"/>
                    </w:rPr>
                    <w:t>）</w:t>
                  </w:r>
                </w:p>
              </w:tc>
              <w:tc>
                <w:tcPr>
                  <w:tcW w:w="886" w:type="dxa"/>
                  <w:vMerge w:val="restart"/>
                  <w:tcBorders>
                    <w:tl2br w:val="nil"/>
                    <w:tr2bl w:val="nil"/>
                  </w:tcBorders>
                  <w:vAlign w:val="center"/>
                </w:tcPr>
                <w:p>
                  <w:pPr>
                    <w:pStyle w:val="70"/>
                    <w:rPr>
                      <w:color w:val="auto"/>
                      <w:highlight w:val="none"/>
                    </w:rPr>
                  </w:pPr>
                  <w:r>
                    <w:rPr>
                      <w:rFonts w:hint="eastAsia"/>
                      <w:color w:val="auto"/>
                      <w:highlight w:val="none"/>
                    </w:rPr>
                    <w:t>标准限值</w:t>
                  </w:r>
                </w:p>
              </w:tc>
              <w:tc>
                <w:tcPr>
                  <w:tcW w:w="674" w:type="dxa"/>
                  <w:vMerge w:val="restart"/>
                  <w:tcBorders>
                    <w:tl2br w:val="nil"/>
                    <w:tr2bl w:val="nil"/>
                  </w:tcBorders>
                  <w:vAlign w:val="center"/>
                </w:tcPr>
                <w:p>
                  <w:pPr>
                    <w:pStyle w:val="70"/>
                    <w:rPr>
                      <w:color w:val="auto"/>
                      <w:highlight w:val="none"/>
                    </w:rPr>
                  </w:pPr>
                  <w:r>
                    <w:rPr>
                      <w:rFonts w:hint="eastAsia"/>
                      <w:color w:val="auto"/>
                      <w:highlight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81" w:type="dxa"/>
                  <w:vMerge w:val="continue"/>
                  <w:tcBorders>
                    <w:tl2br w:val="nil"/>
                    <w:tr2bl w:val="nil"/>
                  </w:tcBorders>
                  <w:vAlign w:val="center"/>
                </w:tcPr>
                <w:p>
                  <w:pPr>
                    <w:pStyle w:val="70"/>
                    <w:rPr>
                      <w:color w:val="auto"/>
                      <w:highlight w:val="none"/>
                    </w:rPr>
                  </w:pPr>
                </w:p>
              </w:tc>
              <w:tc>
                <w:tcPr>
                  <w:tcW w:w="975" w:type="dxa"/>
                  <w:vMerge w:val="continue"/>
                  <w:tcBorders>
                    <w:tl2br w:val="nil"/>
                    <w:tr2bl w:val="nil"/>
                  </w:tcBorders>
                  <w:vAlign w:val="center"/>
                </w:tcPr>
                <w:p>
                  <w:pPr>
                    <w:pStyle w:val="70"/>
                    <w:rPr>
                      <w:color w:val="auto"/>
                      <w:highlight w:val="none"/>
                    </w:rPr>
                  </w:pPr>
                </w:p>
              </w:tc>
              <w:tc>
                <w:tcPr>
                  <w:tcW w:w="864" w:type="dxa"/>
                  <w:tcBorders>
                    <w:tl2br w:val="nil"/>
                    <w:tr2bl w:val="nil"/>
                  </w:tcBorders>
                  <w:vAlign w:val="center"/>
                </w:tcPr>
                <w:p>
                  <w:pPr>
                    <w:pStyle w:val="70"/>
                    <w:rPr>
                      <w:color w:val="auto"/>
                      <w:highlight w:val="none"/>
                    </w:rPr>
                  </w:pPr>
                  <w:r>
                    <w:rPr>
                      <w:rFonts w:hint="eastAsia"/>
                      <w:color w:val="auto"/>
                      <w:highlight w:val="none"/>
                    </w:rPr>
                    <w:t>1</w:t>
                  </w:r>
                </w:p>
              </w:tc>
              <w:tc>
                <w:tcPr>
                  <w:tcW w:w="1128" w:type="dxa"/>
                  <w:tcBorders>
                    <w:tl2br w:val="nil"/>
                    <w:tr2bl w:val="nil"/>
                  </w:tcBorders>
                  <w:vAlign w:val="center"/>
                </w:tcPr>
                <w:p>
                  <w:pPr>
                    <w:pStyle w:val="70"/>
                    <w:rPr>
                      <w:color w:val="auto"/>
                      <w:highlight w:val="none"/>
                    </w:rPr>
                  </w:pPr>
                  <w:r>
                    <w:rPr>
                      <w:rFonts w:hint="eastAsia"/>
                      <w:color w:val="auto"/>
                      <w:highlight w:val="none"/>
                    </w:rPr>
                    <w:t>2</w:t>
                  </w:r>
                </w:p>
              </w:tc>
              <w:tc>
                <w:tcPr>
                  <w:tcW w:w="1128" w:type="dxa"/>
                  <w:tcBorders>
                    <w:tl2br w:val="nil"/>
                    <w:tr2bl w:val="nil"/>
                  </w:tcBorders>
                  <w:vAlign w:val="center"/>
                </w:tcPr>
                <w:p>
                  <w:pPr>
                    <w:pStyle w:val="70"/>
                    <w:rPr>
                      <w:color w:val="auto"/>
                      <w:highlight w:val="none"/>
                    </w:rPr>
                  </w:pPr>
                  <w:r>
                    <w:rPr>
                      <w:rFonts w:hint="eastAsia"/>
                      <w:color w:val="auto"/>
                      <w:highlight w:val="none"/>
                    </w:rPr>
                    <w:t>3</w:t>
                  </w:r>
                </w:p>
              </w:tc>
              <w:tc>
                <w:tcPr>
                  <w:tcW w:w="945" w:type="dxa"/>
                  <w:tcBorders>
                    <w:tl2br w:val="nil"/>
                    <w:tr2bl w:val="nil"/>
                  </w:tcBorders>
                  <w:vAlign w:val="center"/>
                </w:tcPr>
                <w:p>
                  <w:pPr>
                    <w:pStyle w:val="70"/>
                    <w:rPr>
                      <w:color w:val="auto"/>
                      <w:highlight w:val="none"/>
                    </w:rPr>
                  </w:pPr>
                  <w:r>
                    <w:rPr>
                      <w:rFonts w:hint="eastAsia"/>
                      <w:color w:val="auto"/>
                      <w:highlight w:val="none"/>
                    </w:rPr>
                    <w:t>最大值</w:t>
                  </w:r>
                </w:p>
              </w:tc>
              <w:tc>
                <w:tcPr>
                  <w:tcW w:w="886" w:type="dxa"/>
                  <w:vMerge w:val="continue"/>
                  <w:tcBorders>
                    <w:tl2br w:val="nil"/>
                    <w:tr2bl w:val="nil"/>
                  </w:tcBorders>
                  <w:vAlign w:val="center"/>
                </w:tcPr>
                <w:p>
                  <w:pPr>
                    <w:pStyle w:val="70"/>
                    <w:rPr>
                      <w:color w:val="auto"/>
                      <w:highlight w:val="none"/>
                    </w:rPr>
                  </w:pPr>
                </w:p>
              </w:tc>
              <w:tc>
                <w:tcPr>
                  <w:tcW w:w="674"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581" w:type="dxa"/>
                  <w:tcBorders>
                    <w:tl2br w:val="nil"/>
                    <w:tr2bl w:val="nil"/>
                  </w:tcBorders>
                  <w:vAlign w:val="center"/>
                </w:tcPr>
                <w:p>
                  <w:pPr>
                    <w:pStyle w:val="70"/>
                    <w:rPr>
                      <w:color w:val="auto"/>
                      <w:highlight w:val="none"/>
                    </w:rPr>
                  </w:pPr>
                  <w:r>
                    <w:rPr>
                      <w:rFonts w:hint="eastAsia"/>
                      <w:color w:val="auto"/>
                      <w:highlight w:val="none"/>
                    </w:rPr>
                    <w:t>Q1厂界上风向</w:t>
                  </w:r>
                </w:p>
              </w:tc>
              <w:tc>
                <w:tcPr>
                  <w:tcW w:w="975" w:type="dxa"/>
                  <w:tcBorders>
                    <w:tl2br w:val="nil"/>
                    <w:tr2bl w:val="nil"/>
                  </w:tcBorders>
                  <w:vAlign w:val="center"/>
                </w:tcPr>
                <w:p>
                  <w:pPr>
                    <w:pStyle w:val="70"/>
                    <w:rPr>
                      <w:color w:val="auto"/>
                      <w:highlight w:val="none"/>
                    </w:rPr>
                  </w:pPr>
                  <w:r>
                    <w:rPr>
                      <w:rFonts w:hint="eastAsia"/>
                      <w:color w:val="auto"/>
                      <w:highlight w:val="none"/>
                    </w:rPr>
                    <w:t>颗粒物</w:t>
                  </w:r>
                </w:p>
              </w:tc>
              <w:tc>
                <w:tcPr>
                  <w:tcW w:w="864"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123</w:t>
                  </w:r>
                </w:p>
              </w:tc>
              <w:tc>
                <w:tcPr>
                  <w:tcW w:w="1128"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139</w:t>
                  </w:r>
                </w:p>
              </w:tc>
              <w:tc>
                <w:tcPr>
                  <w:tcW w:w="1128"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114</w:t>
                  </w:r>
                </w:p>
              </w:tc>
              <w:tc>
                <w:tcPr>
                  <w:tcW w:w="945" w:type="dxa"/>
                  <w:vMerge w:val="restar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299</w:t>
                  </w:r>
                </w:p>
              </w:tc>
              <w:tc>
                <w:tcPr>
                  <w:tcW w:w="886" w:type="dxa"/>
                  <w:vMerge w:val="restart"/>
                  <w:tcBorders>
                    <w:tl2br w:val="nil"/>
                    <w:tr2bl w:val="nil"/>
                  </w:tcBorders>
                  <w:vAlign w:val="center"/>
                </w:tcPr>
                <w:p>
                  <w:pPr>
                    <w:pStyle w:val="70"/>
                    <w:rPr>
                      <w:color w:val="auto"/>
                      <w:highlight w:val="none"/>
                    </w:rPr>
                  </w:pPr>
                  <w:r>
                    <w:rPr>
                      <w:rFonts w:hint="eastAsia"/>
                      <w:color w:val="auto"/>
                      <w:highlight w:val="none"/>
                    </w:rPr>
                    <w:t>1.0</w:t>
                  </w:r>
                </w:p>
              </w:tc>
              <w:tc>
                <w:tcPr>
                  <w:tcW w:w="674" w:type="dxa"/>
                  <w:vMerge w:val="restart"/>
                  <w:tcBorders>
                    <w:tl2br w:val="nil"/>
                    <w:tr2bl w:val="nil"/>
                  </w:tcBorders>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4" w:hRule="atLeast"/>
              </w:trPr>
              <w:tc>
                <w:tcPr>
                  <w:tcW w:w="1581" w:type="dxa"/>
                  <w:tcBorders>
                    <w:tl2br w:val="nil"/>
                    <w:tr2bl w:val="nil"/>
                  </w:tcBorders>
                  <w:vAlign w:val="center"/>
                </w:tcPr>
                <w:p>
                  <w:pPr>
                    <w:pStyle w:val="70"/>
                    <w:rPr>
                      <w:color w:val="auto"/>
                      <w:highlight w:val="none"/>
                    </w:rPr>
                  </w:pPr>
                  <w:r>
                    <w:rPr>
                      <w:rFonts w:hint="eastAsia"/>
                      <w:color w:val="auto"/>
                      <w:highlight w:val="none"/>
                    </w:rPr>
                    <w:t>Q2厂界下风向</w:t>
                  </w:r>
                </w:p>
              </w:tc>
              <w:tc>
                <w:tcPr>
                  <w:tcW w:w="975" w:type="dxa"/>
                  <w:tcBorders>
                    <w:tl2br w:val="nil"/>
                    <w:tr2bl w:val="nil"/>
                  </w:tcBorders>
                  <w:vAlign w:val="center"/>
                </w:tcPr>
                <w:p>
                  <w:pPr>
                    <w:pStyle w:val="70"/>
                    <w:rPr>
                      <w:color w:val="auto"/>
                      <w:highlight w:val="none"/>
                    </w:rPr>
                  </w:pPr>
                  <w:r>
                    <w:rPr>
                      <w:rFonts w:hint="eastAsia"/>
                      <w:color w:val="auto"/>
                      <w:highlight w:val="none"/>
                    </w:rPr>
                    <w:t>颗粒物</w:t>
                  </w:r>
                </w:p>
              </w:tc>
              <w:tc>
                <w:tcPr>
                  <w:tcW w:w="864"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285</w:t>
                  </w:r>
                </w:p>
              </w:tc>
              <w:tc>
                <w:tcPr>
                  <w:tcW w:w="1128" w:type="dxa"/>
                  <w:tcBorders>
                    <w:tl2br w:val="nil"/>
                    <w:tr2bl w:val="nil"/>
                  </w:tcBorders>
                  <w:vAlign w:val="center"/>
                </w:tcPr>
                <w:p>
                  <w:pPr>
                    <w:pStyle w:val="70"/>
                    <w:rPr>
                      <w:rFonts w:hint="eastAsia" w:eastAsia="宋体"/>
                      <w:color w:val="auto"/>
                      <w:highlight w:val="none"/>
                      <w:lang w:eastAsia="zh-CN"/>
                    </w:rPr>
                  </w:pPr>
                  <w:r>
                    <w:rPr>
                      <w:rFonts w:hint="eastAsia"/>
                      <w:color w:val="auto"/>
                      <w:highlight w:val="none"/>
                    </w:rPr>
                    <w:t>0.27</w:t>
                  </w:r>
                  <w:r>
                    <w:rPr>
                      <w:rFonts w:hint="eastAsia"/>
                      <w:color w:val="auto"/>
                      <w:highlight w:val="none"/>
                      <w:lang w:val="en-US" w:eastAsia="zh-CN"/>
                    </w:rPr>
                    <w:t>5</w:t>
                  </w:r>
                </w:p>
              </w:tc>
              <w:tc>
                <w:tcPr>
                  <w:tcW w:w="1128"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0.2</w:t>
                  </w:r>
                  <w:r>
                    <w:rPr>
                      <w:rFonts w:hint="eastAsia"/>
                      <w:color w:val="auto"/>
                      <w:highlight w:val="none"/>
                      <w:lang w:val="en-US" w:eastAsia="zh-CN"/>
                    </w:rPr>
                    <w:t>65</w:t>
                  </w:r>
                </w:p>
              </w:tc>
              <w:tc>
                <w:tcPr>
                  <w:tcW w:w="945" w:type="dxa"/>
                  <w:vMerge w:val="continue"/>
                  <w:tcBorders>
                    <w:tl2br w:val="nil"/>
                    <w:tr2bl w:val="nil"/>
                  </w:tcBorders>
                  <w:vAlign w:val="center"/>
                </w:tcPr>
                <w:p>
                  <w:pPr>
                    <w:pStyle w:val="70"/>
                    <w:rPr>
                      <w:color w:val="auto"/>
                      <w:highlight w:val="none"/>
                    </w:rPr>
                  </w:pPr>
                </w:p>
              </w:tc>
              <w:tc>
                <w:tcPr>
                  <w:tcW w:w="886" w:type="dxa"/>
                  <w:vMerge w:val="continue"/>
                  <w:tcBorders>
                    <w:tl2br w:val="nil"/>
                    <w:tr2bl w:val="nil"/>
                  </w:tcBorders>
                  <w:shd w:val="clear" w:color="auto" w:fill="auto"/>
                  <w:vAlign w:val="center"/>
                </w:tcPr>
                <w:p>
                  <w:pPr>
                    <w:pStyle w:val="70"/>
                    <w:rPr>
                      <w:color w:val="auto"/>
                      <w:highlight w:val="none"/>
                    </w:rPr>
                  </w:pPr>
                </w:p>
              </w:tc>
              <w:tc>
                <w:tcPr>
                  <w:tcW w:w="674" w:type="dxa"/>
                  <w:vMerge w:val="continue"/>
                  <w:tcBorders>
                    <w:tl2br w:val="nil"/>
                    <w:tr2bl w:val="nil"/>
                  </w:tcBorders>
                  <w:shd w:val="clear" w:color="auto" w:fill="auto"/>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4" w:hRule="atLeast"/>
              </w:trPr>
              <w:tc>
                <w:tcPr>
                  <w:tcW w:w="1581" w:type="dxa"/>
                  <w:tcBorders>
                    <w:tl2br w:val="nil"/>
                    <w:tr2bl w:val="nil"/>
                  </w:tcBorders>
                  <w:vAlign w:val="center"/>
                </w:tcPr>
                <w:p>
                  <w:pPr>
                    <w:pStyle w:val="70"/>
                    <w:rPr>
                      <w:color w:val="auto"/>
                      <w:highlight w:val="none"/>
                    </w:rPr>
                  </w:pPr>
                  <w:r>
                    <w:rPr>
                      <w:rFonts w:hint="eastAsia"/>
                      <w:color w:val="auto"/>
                      <w:highlight w:val="none"/>
                    </w:rPr>
                    <w:t>Q3厂界下风向</w:t>
                  </w:r>
                </w:p>
              </w:tc>
              <w:tc>
                <w:tcPr>
                  <w:tcW w:w="975" w:type="dxa"/>
                  <w:tcBorders>
                    <w:tl2br w:val="nil"/>
                    <w:tr2bl w:val="nil"/>
                  </w:tcBorders>
                  <w:vAlign w:val="center"/>
                </w:tcPr>
                <w:p>
                  <w:pPr>
                    <w:pStyle w:val="70"/>
                    <w:rPr>
                      <w:color w:val="auto"/>
                      <w:highlight w:val="none"/>
                    </w:rPr>
                  </w:pPr>
                  <w:r>
                    <w:rPr>
                      <w:rFonts w:hint="eastAsia"/>
                      <w:color w:val="auto"/>
                      <w:highlight w:val="none"/>
                    </w:rPr>
                    <w:t>颗粒物</w:t>
                  </w:r>
                </w:p>
              </w:tc>
              <w:tc>
                <w:tcPr>
                  <w:tcW w:w="864"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0.2</w:t>
                  </w:r>
                  <w:r>
                    <w:rPr>
                      <w:rFonts w:hint="eastAsia"/>
                      <w:color w:val="auto"/>
                      <w:highlight w:val="none"/>
                      <w:lang w:val="en-US" w:eastAsia="zh-CN"/>
                    </w:rPr>
                    <w:t>99</w:t>
                  </w:r>
                </w:p>
              </w:tc>
              <w:tc>
                <w:tcPr>
                  <w:tcW w:w="1128"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288</w:t>
                  </w:r>
                </w:p>
              </w:tc>
              <w:tc>
                <w:tcPr>
                  <w:tcW w:w="1128"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269</w:t>
                  </w:r>
                </w:p>
              </w:tc>
              <w:tc>
                <w:tcPr>
                  <w:tcW w:w="945" w:type="dxa"/>
                  <w:vMerge w:val="continue"/>
                  <w:tcBorders>
                    <w:tl2br w:val="nil"/>
                    <w:tr2bl w:val="nil"/>
                  </w:tcBorders>
                  <w:vAlign w:val="center"/>
                </w:tcPr>
                <w:p>
                  <w:pPr>
                    <w:pStyle w:val="70"/>
                    <w:rPr>
                      <w:color w:val="auto"/>
                      <w:highlight w:val="none"/>
                    </w:rPr>
                  </w:pPr>
                </w:p>
              </w:tc>
              <w:tc>
                <w:tcPr>
                  <w:tcW w:w="886" w:type="dxa"/>
                  <w:vMerge w:val="continue"/>
                  <w:tcBorders>
                    <w:tl2br w:val="nil"/>
                    <w:tr2bl w:val="nil"/>
                  </w:tcBorders>
                  <w:shd w:val="clear" w:color="auto" w:fill="auto"/>
                  <w:vAlign w:val="center"/>
                </w:tcPr>
                <w:p>
                  <w:pPr>
                    <w:pStyle w:val="70"/>
                    <w:rPr>
                      <w:color w:val="auto"/>
                      <w:highlight w:val="none"/>
                    </w:rPr>
                  </w:pPr>
                </w:p>
              </w:tc>
              <w:tc>
                <w:tcPr>
                  <w:tcW w:w="674" w:type="dxa"/>
                  <w:vMerge w:val="continue"/>
                  <w:tcBorders>
                    <w:tl2br w:val="nil"/>
                    <w:tr2bl w:val="nil"/>
                  </w:tcBorders>
                  <w:shd w:val="clear" w:color="auto" w:fill="auto"/>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4" w:hRule="atLeast"/>
              </w:trPr>
              <w:tc>
                <w:tcPr>
                  <w:tcW w:w="1581" w:type="dxa"/>
                  <w:tcBorders>
                    <w:tl2br w:val="nil"/>
                    <w:tr2bl w:val="nil"/>
                  </w:tcBorders>
                  <w:vAlign w:val="center"/>
                </w:tcPr>
                <w:p>
                  <w:pPr>
                    <w:pStyle w:val="70"/>
                    <w:rPr>
                      <w:color w:val="auto"/>
                      <w:highlight w:val="none"/>
                    </w:rPr>
                  </w:pPr>
                  <w:r>
                    <w:rPr>
                      <w:rFonts w:hint="eastAsia"/>
                      <w:color w:val="auto"/>
                      <w:highlight w:val="none"/>
                    </w:rPr>
                    <w:t>Q4厂界下风向</w:t>
                  </w:r>
                </w:p>
              </w:tc>
              <w:tc>
                <w:tcPr>
                  <w:tcW w:w="975" w:type="dxa"/>
                  <w:tcBorders>
                    <w:tl2br w:val="nil"/>
                    <w:tr2bl w:val="nil"/>
                  </w:tcBorders>
                  <w:vAlign w:val="center"/>
                </w:tcPr>
                <w:p>
                  <w:pPr>
                    <w:pStyle w:val="70"/>
                    <w:rPr>
                      <w:color w:val="auto"/>
                      <w:highlight w:val="none"/>
                    </w:rPr>
                  </w:pPr>
                  <w:r>
                    <w:rPr>
                      <w:rFonts w:hint="eastAsia"/>
                      <w:color w:val="auto"/>
                      <w:highlight w:val="none"/>
                    </w:rPr>
                    <w:t>颗粒物</w:t>
                  </w:r>
                </w:p>
              </w:tc>
              <w:tc>
                <w:tcPr>
                  <w:tcW w:w="864"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0.2</w:t>
                  </w:r>
                  <w:r>
                    <w:rPr>
                      <w:rFonts w:hint="eastAsia"/>
                      <w:color w:val="auto"/>
                      <w:highlight w:val="none"/>
                      <w:lang w:val="en-US" w:eastAsia="zh-CN"/>
                    </w:rPr>
                    <w:t>41</w:t>
                  </w:r>
                </w:p>
              </w:tc>
              <w:tc>
                <w:tcPr>
                  <w:tcW w:w="1128"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0.2</w:t>
                  </w:r>
                  <w:r>
                    <w:rPr>
                      <w:rFonts w:hint="eastAsia"/>
                      <w:color w:val="auto"/>
                      <w:highlight w:val="none"/>
                      <w:lang w:val="en-US" w:eastAsia="zh-CN"/>
                    </w:rPr>
                    <w:t>45</w:t>
                  </w:r>
                </w:p>
              </w:tc>
              <w:tc>
                <w:tcPr>
                  <w:tcW w:w="1128"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0.2</w:t>
                  </w:r>
                  <w:r>
                    <w:rPr>
                      <w:rFonts w:hint="eastAsia"/>
                      <w:color w:val="auto"/>
                      <w:highlight w:val="none"/>
                      <w:lang w:val="en-US" w:eastAsia="zh-CN"/>
                    </w:rPr>
                    <w:t>26</w:t>
                  </w:r>
                </w:p>
              </w:tc>
              <w:tc>
                <w:tcPr>
                  <w:tcW w:w="945" w:type="dxa"/>
                  <w:vMerge w:val="continue"/>
                  <w:tcBorders>
                    <w:tl2br w:val="nil"/>
                    <w:tr2bl w:val="nil"/>
                  </w:tcBorders>
                  <w:vAlign w:val="center"/>
                </w:tcPr>
                <w:p>
                  <w:pPr>
                    <w:pStyle w:val="70"/>
                    <w:rPr>
                      <w:color w:val="auto"/>
                      <w:highlight w:val="none"/>
                    </w:rPr>
                  </w:pPr>
                </w:p>
              </w:tc>
              <w:tc>
                <w:tcPr>
                  <w:tcW w:w="886" w:type="dxa"/>
                  <w:vMerge w:val="continue"/>
                  <w:tcBorders>
                    <w:tl2br w:val="nil"/>
                    <w:tr2bl w:val="nil"/>
                  </w:tcBorders>
                  <w:shd w:val="clear" w:color="auto" w:fill="auto"/>
                  <w:vAlign w:val="center"/>
                </w:tcPr>
                <w:p>
                  <w:pPr>
                    <w:pStyle w:val="70"/>
                    <w:rPr>
                      <w:color w:val="auto"/>
                      <w:highlight w:val="none"/>
                    </w:rPr>
                  </w:pPr>
                </w:p>
              </w:tc>
              <w:tc>
                <w:tcPr>
                  <w:tcW w:w="674" w:type="dxa"/>
                  <w:vMerge w:val="continue"/>
                  <w:tcBorders>
                    <w:tl2br w:val="nil"/>
                    <w:tr2bl w:val="nil"/>
                  </w:tcBorders>
                  <w:shd w:val="clear" w:color="auto" w:fill="auto"/>
                  <w:vAlign w:val="center"/>
                </w:tcPr>
                <w:p>
                  <w:pPr>
                    <w:pStyle w:val="70"/>
                    <w:rPr>
                      <w:color w:val="auto"/>
                      <w:highlight w:val="none"/>
                    </w:rPr>
                  </w:pPr>
                </w:p>
              </w:tc>
            </w:tr>
          </w:tbl>
          <w:p>
            <w:pPr>
              <w:pStyle w:val="72"/>
              <w:ind w:firstLine="480"/>
              <w:rPr>
                <w:color w:val="auto"/>
                <w:highlight w:val="none"/>
              </w:rPr>
            </w:pPr>
            <w:r>
              <w:rPr>
                <w:rFonts w:hint="eastAsia"/>
                <w:color w:val="auto"/>
                <w:highlight w:val="none"/>
              </w:rPr>
              <w:t>根据监测结果，项目厂界颗粒物无组织排放浓度符合《大气污染物综合排放标准》（GB16297-1996）表2中的相应标准限值。</w:t>
            </w:r>
          </w:p>
          <w:p>
            <w:pPr>
              <w:pStyle w:val="72"/>
              <w:ind w:firstLine="480"/>
              <w:rPr>
                <w:color w:val="auto"/>
                <w:highlight w:val="none"/>
              </w:rPr>
            </w:pPr>
            <w:r>
              <w:rPr>
                <w:rFonts w:hint="eastAsia"/>
                <w:color w:val="auto"/>
                <w:highlight w:val="none"/>
              </w:rPr>
              <w:t>（3）噪声</w:t>
            </w:r>
          </w:p>
          <w:p>
            <w:pPr>
              <w:pStyle w:val="72"/>
              <w:ind w:firstLine="480"/>
              <w:rPr>
                <w:color w:val="auto"/>
                <w:highlight w:val="none"/>
              </w:rPr>
            </w:pPr>
            <w:r>
              <w:rPr>
                <w:rFonts w:hint="eastAsia"/>
                <w:color w:val="auto"/>
                <w:highlight w:val="none"/>
                <w:lang w:val="en-US" w:eastAsia="zh-CN"/>
              </w:rPr>
              <w:t>企业目前仅昼间生产。根据企业2025年自行监测报告</w:t>
            </w:r>
            <w:r>
              <w:rPr>
                <w:rFonts w:hint="eastAsia"/>
                <w:color w:val="auto"/>
                <w:highlight w:val="none"/>
                <w:lang w:eastAsia="zh-CN"/>
              </w:rPr>
              <w:t>，</w:t>
            </w:r>
            <w:r>
              <w:rPr>
                <w:rFonts w:hint="eastAsia"/>
                <w:color w:val="auto"/>
                <w:highlight w:val="none"/>
              </w:rPr>
              <w:t>厂界南侧符合《工业企业厂界环境噪声排放标准》（GB12348-2008）4类标准要求；其余厂界符合《工业企业厂界环境噪声排放标准》（GB12348-2008）3类标准要求，监测结果见下表2.5.</w:t>
            </w:r>
            <w:r>
              <w:rPr>
                <w:rFonts w:hint="eastAsia"/>
                <w:color w:val="auto"/>
                <w:highlight w:val="none"/>
                <w:lang w:val="en-US" w:eastAsia="zh-CN"/>
              </w:rPr>
              <w:t>6</w:t>
            </w:r>
            <w:r>
              <w:rPr>
                <w:rFonts w:hint="eastAsia"/>
                <w:color w:val="auto"/>
                <w:highlight w:val="none"/>
              </w:rPr>
              <w:t>。</w:t>
            </w:r>
          </w:p>
          <w:p>
            <w:pPr>
              <w:pStyle w:val="68"/>
              <w:rPr>
                <w:color w:val="auto"/>
                <w:highlight w:val="none"/>
              </w:rPr>
            </w:pPr>
            <w:r>
              <w:rPr>
                <w:rFonts w:hint="eastAsia"/>
                <w:color w:val="auto"/>
                <w:highlight w:val="none"/>
              </w:rPr>
              <w:t>表2.5.</w:t>
            </w:r>
            <w:r>
              <w:rPr>
                <w:rFonts w:hint="eastAsia"/>
                <w:color w:val="auto"/>
                <w:highlight w:val="none"/>
                <w:lang w:val="en-US" w:eastAsia="zh-CN"/>
              </w:rPr>
              <w:t>6</w:t>
            </w:r>
            <w:r>
              <w:rPr>
                <w:rFonts w:hint="eastAsia"/>
                <w:color w:val="auto"/>
                <w:highlight w:val="none"/>
              </w:rPr>
              <w:t>厂界噪声监测结果与统计表</w:t>
            </w:r>
          </w:p>
          <w:tbl>
            <w:tblPr>
              <w:tblStyle w:val="29"/>
              <w:tblW w:w="8397"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1"/>
              <w:gridCol w:w="2484"/>
              <w:gridCol w:w="1894"/>
              <w:gridCol w:w="1969"/>
              <w:gridCol w:w="11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881" w:type="dxa"/>
                  <w:vMerge w:val="restart"/>
                  <w:tcBorders>
                    <w:tl2br w:val="nil"/>
                    <w:tr2bl w:val="nil"/>
                  </w:tcBorders>
                  <w:vAlign w:val="center"/>
                </w:tcPr>
                <w:p>
                  <w:pPr>
                    <w:pStyle w:val="70"/>
                    <w:rPr>
                      <w:color w:val="auto"/>
                      <w:highlight w:val="none"/>
                    </w:rPr>
                  </w:pPr>
                  <w:r>
                    <w:rPr>
                      <w:rFonts w:hint="eastAsia"/>
                      <w:color w:val="auto"/>
                      <w:highlight w:val="none"/>
                    </w:rPr>
                    <w:t>监测时间</w:t>
                  </w:r>
                </w:p>
              </w:tc>
              <w:tc>
                <w:tcPr>
                  <w:tcW w:w="2484" w:type="dxa"/>
                  <w:vMerge w:val="restart"/>
                  <w:tcBorders>
                    <w:tl2br w:val="nil"/>
                    <w:tr2bl w:val="nil"/>
                  </w:tcBorders>
                  <w:vAlign w:val="center"/>
                </w:tcPr>
                <w:p>
                  <w:pPr>
                    <w:pStyle w:val="70"/>
                    <w:rPr>
                      <w:color w:val="auto"/>
                      <w:highlight w:val="none"/>
                    </w:rPr>
                  </w:pPr>
                  <w:r>
                    <w:rPr>
                      <w:rFonts w:hint="eastAsia"/>
                      <w:color w:val="auto"/>
                      <w:highlight w:val="none"/>
                    </w:rPr>
                    <w:t>监测点位</w:t>
                  </w:r>
                </w:p>
              </w:tc>
              <w:tc>
                <w:tcPr>
                  <w:tcW w:w="1894" w:type="dxa"/>
                  <w:tcBorders>
                    <w:tl2br w:val="nil"/>
                    <w:tr2bl w:val="nil"/>
                  </w:tcBorders>
                  <w:vAlign w:val="center"/>
                </w:tcPr>
                <w:p>
                  <w:pPr>
                    <w:pStyle w:val="70"/>
                    <w:rPr>
                      <w:color w:val="auto"/>
                      <w:highlight w:val="none"/>
                    </w:rPr>
                  </w:pPr>
                  <w:r>
                    <w:rPr>
                      <w:rFonts w:hint="eastAsia"/>
                      <w:color w:val="auto"/>
                      <w:highlight w:val="none"/>
                    </w:rPr>
                    <w:t>监测结果dB(A)</w:t>
                  </w:r>
                </w:p>
              </w:tc>
              <w:tc>
                <w:tcPr>
                  <w:tcW w:w="1969" w:type="dxa"/>
                  <w:tcBorders>
                    <w:tl2br w:val="nil"/>
                    <w:tr2bl w:val="nil"/>
                  </w:tcBorders>
                  <w:vAlign w:val="center"/>
                </w:tcPr>
                <w:p>
                  <w:pPr>
                    <w:pStyle w:val="70"/>
                    <w:rPr>
                      <w:color w:val="auto"/>
                      <w:highlight w:val="none"/>
                    </w:rPr>
                  </w:pPr>
                  <w:r>
                    <w:rPr>
                      <w:rFonts w:hint="eastAsia"/>
                      <w:color w:val="auto"/>
                      <w:highlight w:val="none"/>
                    </w:rPr>
                    <w:t>标准限值dB(A)</w:t>
                  </w:r>
                </w:p>
              </w:tc>
              <w:tc>
                <w:tcPr>
                  <w:tcW w:w="1169" w:type="dxa"/>
                  <w:vMerge w:val="restart"/>
                  <w:tcBorders>
                    <w:tl2br w:val="nil"/>
                    <w:tr2bl w:val="nil"/>
                  </w:tcBorders>
                  <w:vAlign w:val="center"/>
                </w:tcPr>
                <w:p>
                  <w:pPr>
                    <w:pStyle w:val="70"/>
                    <w:rPr>
                      <w:color w:val="auto"/>
                      <w:highlight w:val="none"/>
                    </w:rPr>
                  </w:pPr>
                  <w:r>
                    <w:rPr>
                      <w:rFonts w:hint="eastAsia"/>
                      <w:color w:val="auto"/>
                      <w:highlight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881" w:type="dxa"/>
                  <w:vMerge w:val="continue"/>
                  <w:tcBorders>
                    <w:tl2br w:val="nil"/>
                    <w:tr2bl w:val="nil"/>
                  </w:tcBorders>
                  <w:vAlign w:val="center"/>
                </w:tcPr>
                <w:p>
                  <w:pPr>
                    <w:pStyle w:val="70"/>
                    <w:rPr>
                      <w:color w:val="auto"/>
                      <w:highlight w:val="none"/>
                    </w:rPr>
                  </w:pPr>
                </w:p>
              </w:tc>
              <w:tc>
                <w:tcPr>
                  <w:tcW w:w="2484" w:type="dxa"/>
                  <w:vMerge w:val="continue"/>
                  <w:tcBorders>
                    <w:tl2br w:val="nil"/>
                    <w:tr2bl w:val="nil"/>
                  </w:tcBorders>
                  <w:vAlign w:val="center"/>
                </w:tcPr>
                <w:p>
                  <w:pPr>
                    <w:pStyle w:val="70"/>
                    <w:rPr>
                      <w:color w:val="auto"/>
                      <w:highlight w:val="none"/>
                    </w:rPr>
                  </w:pPr>
                </w:p>
              </w:tc>
              <w:tc>
                <w:tcPr>
                  <w:tcW w:w="1894" w:type="dxa"/>
                  <w:tcBorders>
                    <w:tl2br w:val="nil"/>
                    <w:tr2bl w:val="nil"/>
                  </w:tcBorders>
                  <w:vAlign w:val="center"/>
                </w:tcPr>
                <w:p>
                  <w:pPr>
                    <w:pStyle w:val="70"/>
                    <w:rPr>
                      <w:color w:val="auto"/>
                      <w:highlight w:val="none"/>
                    </w:rPr>
                  </w:pPr>
                  <w:r>
                    <w:rPr>
                      <w:rFonts w:hint="eastAsia"/>
                      <w:color w:val="auto"/>
                      <w:highlight w:val="none"/>
                    </w:rPr>
                    <w:t>昼间</w:t>
                  </w:r>
                </w:p>
              </w:tc>
              <w:tc>
                <w:tcPr>
                  <w:tcW w:w="1969" w:type="dxa"/>
                  <w:tcBorders>
                    <w:tl2br w:val="nil"/>
                    <w:tr2bl w:val="nil"/>
                  </w:tcBorders>
                  <w:vAlign w:val="center"/>
                </w:tcPr>
                <w:p>
                  <w:pPr>
                    <w:pStyle w:val="70"/>
                    <w:rPr>
                      <w:color w:val="auto"/>
                      <w:highlight w:val="none"/>
                    </w:rPr>
                  </w:pPr>
                  <w:r>
                    <w:rPr>
                      <w:rFonts w:hint="eastAsia"/>
                      <w:color w:val="auto"/>
                      <w:highlight w:val="none"/>
                    </w:rPr>
                    <w:t>昼间</w:t>
                  </w:r>
                </w:p>
              </w:tc>
              <w:tc>
                <w:tcPr>
                  <w:tcW w:w="1169"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881" w:type="dxa"/>
                  <w:vMerge w:val="restar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202</w:t>
                  </w:r>
                  <w:r>
                    <w:rPr>
                      <w:rFonts w:hint="eastAsia"/>
                      <w:color w:val="auto"/>
                      <w:highlight w:val="none"/>
                      <w:lang w:val="en-US" w:eastAsia="zh-CN"/>
                    </w:rPr>
                    <w:t>5.12.24</w:t>
                  </w:r>
                </w:p>
              </w:tc>
              <w:tc>
                <w:tcPr>
                  <w:tcW w:w="2484" w:type="dxa"/>
                  <w:tcBorders>
                    <w:tl2br w:val="nil"/>
                    <w:tr2bl w:val="nil"/>
                  </w:tcBorders>
                  <w:vAlign w:val="center"/>
                </w:tcPr>
                <w:p>
                  <w:pPr>
                    <w:pStyle w:val="70"/>
                    <w:rPr>
                      <w:color w:val="auto"/>
                      <w:highlight w:val="none"/>
                    </w:rPr>
                  </w:pPr>
                  <w:r>
                    <w:rPr>
                      <w:rFonts w:hint="eastAsia"/>
                      <w:color w:val="auto"/>
                      <w:highlight w:val="none"/>
                    </w:rPr>
                    <w:t>Z</w:t>
                  </w:r>
                  <w:r>
                    <w:rPr>
                      <w:rFonts w:hint="eastAsia"/>
                      <w:color w:val="auto"/>
                      <w:highlight w:val="none"/>
                      <w:lang w:val="en-US" w:eastAsia="zh-CN"/>
                    </w:rPr>
                    <w:t>S-01</w:t>
                  </w:r>
                  <w:r>
                    <w:rPr>
                      <w:rFonts w:hint="eastAsia"/>
                      <w:color w:val="auto"/>
                      <w:highlight w:val="none"/>
                    </w:rPr>
                    <w:t>厂界东侧外1m</w:t>
                  </w:r>
                </w:p>
              </w:tc>
              <w:tc>
                <w:tcPr>
                  <w:tcW w:w="1894"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59.2</w:t>
                  </w:r>
                </w:p>
              </w:tc>
              <w:tc>
                <w:tcPr>
                  <w:tcW w:w="1969" w:type="dxa"/>
                  <w:tcBorders>
                    <w:tl2br w:val="nil"/>
                    <w:tr2bl w:val="nil"/>
                  </w:tcBorders>
                  <w:vAlign w:val="center"/>
                </w:tcPr>
                <w:p>
                  <w:pPr>
                    <w:pStyle w:val="70"/>
                    <w:rPr>
                      <w:color w:val="auto"/>
                      <w:highlight w:val="none"/>
                    </w:rPr>
                  </w:pPr>
                  <w:r>
                    <w:rPr>
                      <w:rFonts w:hint="eastAsia"/>
                      <w:color w:val="auto"/>
                      <w:highlight w:val="none"/>
                    </w:rPr>
                    <w:t>65</w:t>
                  </w:r>
                </w:p>
              </w:tc>
              <w:tc>
                <w:tcPr>
                  <w:tcW w:w="1169" w:type="dxa"/>
                  <w:tcBorders>
                    <w:tl2br w:val="nil"/>
                    <w:tr2bl w:val="nil"/>
                  </w:tcBorders>
                  <w:shd w:val="clear" w:color="auto" w:fill="auto"/>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881" w:type="dxa"/>
                  <w:vMerge w:val="continue"/>
                  <w:tcBorders>
                    <w:tl2br w:val="nil"/>
                    <w:tr2bl w:val="nil"/>
                  </w:tcBorders>
                  <w:vAlign w:val="center"/>
                </w:tcPr>
                <w:p>
                  <w:pPr>
                    <w:pStyle w:val="70"/>
                    <w:rPr>
                      <w:color w:val="auto"/>
                      <w:highlight w:val="none"/>
                    </w:rPr>
                  </w:pPr>
                </w:p>
              </w:tc>
              <w:tc>
                <w:tcPr>
                  <w:tcW w:w="2484" w:type="dxa"/>
                  <w:tcBorders>
                    <w:tl2br w:val="nil"/>
                    <w:tr2bl w:val="nil"/>
                  </w:tcBorders>
                  <w:vAlign w:val="center"/>
                </w:tcPr>
                <w:p>
                  <w:pPr>
                    <w:pStyle w:val="70"/>
                    <w:rPr>
                      <w:color w:val="auto"/>
                      <w:highlight w:val="none"/>
                    </w:rPr>
                  </w:pPr>
                  <w:r>
                    <w:rPr>
                      <w:rFonts w:hint="eastAsia"/>
                      <w:color w:val="auto"/>
                      <w:highlight w:val="none"/>
                    </w:rPr>
                    <w:t>Z</w:t>
                  </w:r>
                  <w:r>
                    <w:rPr>
                      <w:rFonts w:hint="eastAsia"/>
                      <w:color w:val="auto"/>
                      <w:highlight w:val="none"/>
                      <w:lang w:val="en-US" w:eastAsia="zh-CN"/>
                    </w:rPr>
                    <w:t>S-02</w:t>
                  </w:r>
                  <w:r>
                    <w:rPr>
                      <w:rFonts w:hint="eastAsia"/>
                      <w:color w:val="auto"/>
                      <w:highlight w:val="none"/>
                    </w:rPr>
                    <w:t>厂界南侧外1m</w:t>
                  </w:r>
                </w:p>
              </w:tc>
              <w:tc>
                <w:tcPr>
                  <w:tcW w:w="1894"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63.8</w:t>
                  </w:r>
                </w:p>
              </w:tc>
              <w:tc>
                <w:tcPr>
                  <w:tcW w:w="1969" w:type="dxa"/>
                  <w:tcBorders>
                    <w:tl2br w:val="nil"/>
                    <w:tr2bl w:val="nil"/>
                  </w:tcBorders>
                  <w:vAlign w:val="center"/>
                </w:tcPr>
                <w:p>
                  <w:pPr>
                    <w:pStyle w:val="70"/>
                    <w:rPr>
                      <w:color w:val="auto"/>
                      <w:highlight w:val="none"/>
                    </w:rPr>
                  </w:pPr>
                  <w:r>
                    <w:rPr>
                      <w:rFonts w:hint="eastAsia"/>
                      <w:color w:val="auto"/>
                      <w:highlight w:val="none"/>
                    </w:rPr>
                    <w:t>70</w:t>
                  </w:r>
                </w:p>
              </w:tc>
              <w:tc>
                <w:tcPr>
                  <w:tcW w:w="1169" w:type="dxa"/>
                  <w:tcBorders>
                    <w:tl2br w:val="nil"/>
                    <w:tr2bl w:val="nil"/>
                  </w:tcBorders>
                  <w:shd w:val="clear" w:color="auto" w:fill="auto"/>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881" w:type="dxa"/>
                  <w:vMerge w:val="continue"/>
                  <w:tcBorders>
                    <w:tl2br w:val="nil"/>
                    <w:tr2bl w:val="nil"/>
                  </w:tcBorders>
                  <w:vAlign w:val="center"/>
                </w:tcPr>
                <w:p>
                  <w:pPr>
                    <w:pStyle w:val="70"/>
                    <w:rPr>
                      <w:color w:val="auto"/>
                      <w:highlight w:val="none"/>
                    </w:rPr>
                  </w:pPr>
                </w:p>
              </w:tc>
              <w:tc>
                <w:tcPr>
                  <w:tcW w:w="2484" w:type="dxa"/>
                  <w:tcBorders>
                    <w:tl2br w:val="nil"/>
                    <w:tr2bl w:val="nil"/>
                  </w:tcBorders>
                  <w:vAlign w:val="center"/>
                </w:tcPr>
                <w:p>
                  <w:pPr>
                    <w:pStyle w:val="70"/>
                    <w:rPr>
                      <w:color w:val="auto"/>
                      <w:highlight w:val="none"/>
                    </w:rPr>
                  </w:pPr>
                  <w:r>
                    <w:rPr>
                      <w:rFonts w:hint="eastAsia"/>
                      <w:color w:val="auto"/>
                      <w:highlight w:val="none"/>
                    </w:rPr>
                    <w:t>Z</w:t>
                  </w:r>
                  <w:r>
                    <w:rPr>
                      <w:rFonts w:hint="eastAsia"/>
                      <w:color w:val="auto"/>
                      <w:highlight w:val="none"/>
                      <w:lang w:val="en-US" w:eastAsia="zh-CN"/>
                    </w:rPr>
                    <w:t>S-03</w:t>
                  </w:r>
                  <w:r>
                    <w:rPr>
                      <w:rFonts w:hint="eastAsia"/>
                      <w:color w:val="auto"/>
                      <w:highlight w:val="none"/>
                    </w:rPr>
                    <w:t>厂界南侧外1m</w:t>
                  </w:r>
                </w:p>
              </w:tc>
              <w:tc>
                <w:tcPr>
                  <w:tcW w:w="1894"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57.2</w:t>
                  </w:r>
                </w:p>
              </w:tc>
              <w:tc>
                <w:tcPr>
                  <w:tcW w:w="1969" w:type="dxa"/>
                  <w:tcBorders>
                    <w:tl2br w:val="nil"/>
                    <w:tr2bl w:val="nil"/>
                  </w:tcBorders>
                  <w:vAlign w:val="center"/>
                </w:tcPr>
                <w:p>
                  <w:pPr>
                    <w:pStyle w:val="70"/>
                    <w:rPr>
                      <w:color w:val="auto"/>
                      <w:highlight w:val="none"/>
                    </w:rPr>
                  </w:pPr>
                  <w:r>
                    <w:rPr>
                      <w:rFonts w:hint="eastAsia"/>
                      <w:color w:val="auto"/>
                      <w:highlight w:val="none"/>
                    </w:rPr>
                    <w:t>65</w:t>
                  </w:r>
                </w:p>
              </w:tc>
              <w:tc>
                <w:tcPr>
                  <w:tcW w:w="1169" w:type="dxa"/>
                  <w:tcBorders>
                    <w:tl2br w:val="nil"/>
                    <w:tr2bl w:val="nil"/>
                  </w:tcBorders>
                  <w:shd w:val="clear" w:color="auto" w:fill="auto"/>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3" w:hRule="atLeast"/>
              </w:trPr>
              <w:tc>
                <w:tcPr>
                  <w:tcW w:w="881" w:type="dxa"/>
                  <w:vMerge w:val="continue"/>
                  <w:tcBorders>
                    <w:tl2br w:val="nil"/>
                    <w:tr2bl w:val="nil"/>
                  </w:tcBorders>
                  <w:vAlign w:val="center"/>
                </w:tcPr>
                <w:p>
                  <w:pPr>
                    <w:pStyle w:val="70"/>
                    <w:rPr>
                      <w:color w:val="auto"/>
                      <w:highlight w:val="none"/>
                    </w:rPr>
                  </w:pPr>
                </w:p>
              </w:tc>
              <w:tc>
                <w:tcPr>
                  <w:tcW w:w="2484" w:type="dxa"/>
                  <w:tcBorders>
                    <w:tl2br w:val="nil"/>
                    <w:tr2bl w:val="nil"/>
                  </w:tcBorders>
                  <w:vAlign w:val="center"/>
                </w:tcPr>
                <w:p>
                  <w:pPr>
                    <w:pStyle w:val="70"/>
                    <w:rPr>
                      <w:color w:val="auto"/>
                      <w:highlight w:val="none"/>
                    </w:rPr>
                  </w:pPr>
                  <w:r>
                    <w:rPr>
                      <w:rFonts w:hint="eastAsia"/>
                      <w:color w:val="auto"/>
                      <w:highlight w:val="none"/>
                    </w:rPr>
                    <w:t>Z</w:t>
                  </w:r>
                  <w:r>
                    <w:rPr>
                      <w:rFonts w:hint="eastAsia"/>
                      <w:color w:val="auto"/>
                      <w:highlight w:val="none"/>
                      <w:lang w:val="en-US" w:eastAsia="zh-CN"/>
                    </w:rPr>
                    <w:t>S-04</w:t>
                  </w:r>
                  <w:r>
                    <w:rPr>
                      <w:rFonts w:hint="eastAsia"/>
                      <w:color w:val="auto"/>
                      <w:highlight w:val="none"/>
                    </w:rPr>
                    <w:t>厂界北侧外1m</w:t>
                  </w:r>
                </w:p>
              </w:tc>
              <w:tc>
                <w:tcPr>
                  <w:tcW w:w="1894"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54.8</w:t>
                  </w:r>
                </w:p>
              </w:tc>
              <w:tc>
                <w:tcPr>
                  <w:tcW w:w="1969" w:type="dxa"/>
                  <w:tcBorders>
                    <w:tl2br w:val="nil"/>
                    <w:tr2bl w:val="nil"/>
                  </w:tcBorders>
                  <w:vAlign w:val="center"/>
                </w:tcPr>
                <w:p>
                  <w:pPr>
                    <w:pStyle w:val="70"/>
                    <w:rPr>
                      <w:color w:val="auto"/>
                      <w:highlight w:val="none"/>
                    </w:rPr>
                  </w:pPr>
                  <w:r>
                    <w:rPr>
                      <w:rFonts w:hint="eastAsia"/>
                      <w:color w:val="auto"/>
                      <w:highlight w:val="none"/>
                    </w:rPr>
                    <w:t>65</w:t>
                  </w:r>
                </w:p>
              </w:tc>
              <w:tc>
                <w:tcPr>
                  <w:tcW w:w="1169" w:type="dxa"/>
                  <w:tcBorders>
                    <w:tl2br w:val="nil"/>
                    <w:tr2bl w:val="nil"/>
                  </w:tcBorders>
                  <w:shd w:val="clear" w:color="auto" w:fill="auto"/>
                  <w:vAlign w:val="center"/>
                </w:tcPr>
                <w:p>
                  <w:pPr>
                    <w:pStyle w:val="70"/>
                    <w:rPr>
                      <w:color w:val="auto"/>
                      <w:highlight w:val="none"/>
                    </w:rPr>
                  </w:pPr>
                  <w:r>
                    <w:rPr>
                      <w:rFonts w:hint="eastAsia"/>
                      <w:color w:val="auto"/>
                      <w:highlight w:val="none"/>
                    </w:rPr>
                    <w:t>达标</w:t>
                  </w:r>
                </w:p>
              </w:tc>
            </w:tr>
          </w:tbl>
          <w:p>
            <w:pPr>
              <w:pStyle w:val="72"/>
              <w:ind w:firstLine="480"/>
              <w:rPr>
                <w:rFonts w:hint="eastAsia"/>
                <w:color w:val="auto"/>
                <w:highlight w:val="none"/>
              </w:rPr>
            </w:pPr>
          </w:p>
          <w:p>
            <w:pPr>
              <w:pStyle w:val="72"/>
              <w:ind w:firstLine="480"/>
              <w:rPr>
                <w:color w:val="auto"/>
                <w:highlight w:val="none"/>
              </w:rPr>
            </w:pPr>
            <w:r>
              <w:rPr>
                <w:rFonts w:hint="eastAsia"/>
                <w:color w:val="auto"/>
                <w:highlight w:val="none"/>
              </w:rPr>
              <w:t>（4）固体废物</w:t>
            </w:r>
          </w:p>
          <w:p>
            <w:pPr>
              <w:pStyle w:val="72"/>
              <w:ind w:firstLine="480"/>
              <w:rPr>
                <w:rFonts w:hint="default"/>
                <w:color w:val="auto"/>
                <w:highlight w:val="none"/>
                <w:lang w:val="en-US" w:eastAsia="zh-CN"/>
              </w:rPr>
            </w:pPr>
            <w:r>
              <w:rPr>
                <w:rFonts w:hint="eastAsia"/>
                <w:color w:val="auto"/>
                <w:highlight w:val="none"/>
                <w:lang w:val="en-US" w:eastAsia="zh-CN"/>
              </w:rPr>
              <w:t xml:space="preserve">根据现场调查，企业固体废物实施分类、分区收集，一般工业固废暂存于一般工业固废仓库，危废暂存于危废仓库。仓库设置总体符合相关标准要求，危废委托有资质的危险固废处置单位安全处置。  </w:t>
            </w:r>
          </w:p>
          <w:p>
            <w:pPr>
              <w:pStyle w:val="66"/>
              <w:numPr>
                <w:ilvl w:val="3"/>
                <w:numId w:val="0"/>
              </w:numPr>
              <w:rPr>
                <w:color w:val="auto"/>
                <w:highlight w:val="none"/>
              </w:rPr>
            </w:pPr>
            <w:r>
              <w:rPr>
                <w:rFonts w:hint="eastAsia"/>
                <w:color w:val="auto"/>
                <w:highlight w:val="none"/>
              </w:rPr>
              <w:t>2.5.4已建项目的环保投诉情况、事故和处罚情况</w:t>
            </w:r>
          </w:p>
          <w:p>
            <w:pPr>
              <w:pStyle w:val="72"/>
              <w:ind w:firstLine="480"/>
              <w:rPr>
                <w:color w:val="auto"/>
                <w:highlight w:val="none"/>
              </w:rPr>
            </w:pPr>
            <w:r>
              <w:rPr>
                <w:rFonts w:hint="eastAsia"/>
                <w:color w:val="auto"/>
                <w:highlight w:val="none"/>
              </w:rPr>
              <w:t>根据</w:t>
            </w:r>
            <w:r>
              <w:rPr>
                <w:rFonts w:hint="eastAsia"/>
                <w:color w:val="auto"/>
                <w:highlight w:val="none"/>
                <w:lang w:val="en-US" w:eastAsia="zh-CN"/>
              </w:rPr>
              <w:t>现场</w:t>
            </w:r>
            <w:r>
              <w:rPr>
                <w:rFonts w:hint="eastAsia"/>
                <w:color w:val="auto"/>
                <w:highlight w:val="none"/>
              </w:rPr>
              <w:t>了解的情况和网络查询，项目投产以来，未收到周边居民及企业的环境污染投诉事件，也未受到生态环境行政主管部门的处罚，未发生环境风险事件。</w:t>
            </w:r>
          </w:p>
          <w:p>
            <w:pPr>
              <w:pStyle w:val="66"/>
              <w:numPr>
                <w:ilvl w:val="3"/>
                <w:numId w:val="0"/>
              </w:numPr>
              <w:rPr>
                <w:color w:val="auto"/>
                <w:highlight w:val="none"/>
              </w:rPr>
            </w:pPr>
            <w:r>
              <w:rPr>
                <w:rFonts w:hint="eastAsia"/>
                <w:color w:val="auto"/>
                <w:highlight w:val="none"/>
              </w:rPr>
              <w:t>2.5.5已建项目环评批复落实情况存在的问题</w:t>
            </w:r>
          </w:p>
          <w:p>
            <w:pPr>
              <w:pStyle w:val="72"/>
              <w:ind w:firstLine="480"/>
              <w:rPr>
                <w:color w:val="auto"/>
                <w:highlight w:val="none"/>
              </w:rPr>
            </w:pPr>
            <w:r>
              <w:rPr>
                <w:rFonts w:hint="eastAsia"/>
                <w:color w:val="auto"/>
                <w:highlight w:val="none"/>
                <w:lang w:val="en-US" w:eastAsia="zh-CN"/>
              </w:rPr>
              <w:t>1、</w:t>
            </w:r>
            <w:r>
              <w:rPr>
                <w:rFonts w:hint="eastAsia"/>
                <w:color w:val="auto"/>
                <w:highlight w:val="none"/>
              </w:rPr>
              <w:t>平</w:t>
            </w:r>
            <w:r>
              <w:rPr>
                <w:rFonts w:hint="eastAsia"/>
                <w:color w:val="auto"/>
                <w:highlight w:val="none"/>
                <w:lang w:val="en-US" w:eastAsia="zh-CN"/>
              </w:rPr>
              <w:t>板</w:t>
            </w:r>
            <w:r>
              <w:rPr>
                <w:rFonts w:hint="eastAsia"/>
                <w:color w:val="auto"/>
                <w:highlight w:val="none"/>
              </w:rPr>
              <w:t>显示溅射靶材建设项目</w:t>
            </w:r>
            <w:r>
              <w:rPr>
                <w:rFonts w:hint="eastAsia"/>
                <w:color w:val="auto"/>
                <w:highlight w:val="none"/>
                <w:lang w:val="en-US" w:eastAsia="zh-CN"/>
              </w:rPr>
              <w:t>环评批复落实情况</w:t>
            </w:r>
          </w:p>
          <w:p>
            <w:pPr>
              <w:pStyle w:val="72"/>
              <w:ind w:firstLine="480"/>
              <w:rPr>
                <w:rFonts w:hint="eastAsia"/>
                <w:color w:val="auto"/>
                <w:highlight w:val="none"/>
              </w:rPr>
            </w:pPr>
            <w:r>
              <w:rPr>
                <w:rFonts w:hint="eastAsia"/>
                <w:color w:val="auto"/>
                <w:highlight w:val="none"/>
              </w:rPr>
              <w:t>平</w:t>
            </w:r>
            <w:r>
              <w:rPr>
                <w:rFonts w:hint="eastAsia"/>
                <w:color w:val="auto"/>
                <w:highlight w:val="none"/>
                <w:lang w:val="en-US" w:eastAsia="zh-CN"/>
              </w:rPr>
              <w:t>板</w:t>
            </w:r>
            <w:r>
              <w:rPr>
                <w:rFonts w:hint="eastAsia"/>
                <w:color w:val="auto"/>
                <w:highlight w:val="none"/>
              </w:rPr>
              <w:t>显示溅射靶材建设项目环评批复要求及落实情况见表2.5.</w:t>
            </w:r>
            <w:r>
              <w:rPr>
                <w:rFonts w:hint="eastAsia"/>
                <w:color w:val="auto"/>
                <w:highlight w:val="none"/>
                <w:lang w:val="en-US" w:eastAsia="zh-CN"/>
              </w:rPr>
              <w:t>7</w:t>
            </w:r>
            <w:r>
              <w:rPr>
                <w:rFonts w:hint="eastAsia"/>
                <w:color w:val="auto"/>
                <w:highlight w:val="none"/>
              </w:rPr>
              <w:t>。</w:t>
            </w:r>
          </w:p>
          <w:p>
            <w:pPr>
              <w:pStyle w:val="68"/>
              <w:rPr>
                <w:color w:val="auto"/>
                <w:highlight w:val="none"/>
              </w:rPr>
            </w:pPr>
            <w:r>
              <w:rPr>
                <w:rFonts w:hint="eastAsia"/>
                <w:color w:val="auto"/>
                <w:highlight w:val="none"/>
                <w:lang w:val="en-US" w:eastAsia="zh-CN"/>
              </w:rPr>
              <w:t>表</w:t>
            </w:r>
            <w:r>
              <w:rPr>
                <w:rFonts w:hint="eastAsia"/>
                <w:color w:val="auto"/>
                <w:highlight w:val="none"/>
              </w:rPr>
              <w:t>2.5.</w:t>
            </w:r>
            <w:r>
              <w:rPr>
                <w:rFonts w:hint="eastAsia"/>
                <w:color w:val="auto"/>
                <w:highlight w:val="none"/>
                <w:lang w:val="en-US" w:eastAsia="zh-CN"/>
              </w:rPr>
              <w:t>7</w:t>
            </w:r>
            <w:r>
              <w:rPr>
                <w:rFonts w:hint="eastAsia"/>
                <w:color w:val="auto"/>
                <w:highlight w:val="none"/>
              </w:rPr>
              <w:t>环评批复要求及落实情况一览表</w:t>
            </w:r>
          </w:p>
          <w:tbl>
            <w:tblPr>
              <w:tblStyle w:val="29"/>
              <w:tblW w:w="8414"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8"/>
              <w:gridCol w:w="897"/>
              <w:gridCol w:w="2534"/>
              <w:gridCol w:w="41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8" w:type="dxa"/>
                  <w:tcBorders>
                    <w:tl2br w:val="nil"/>
                    <w:tr2bl w:val="nil"/>
                  </w:tcBorders>
                  <w:vAlign w:val="center"/>
                </w:tcPr>
                <w:p>
                  <w:pPr>
                    <w:pStyle w:val="70"/>
                    <w:rPr>
                      <w:color w:val="auto"/>
                      <w:highlight w:val="none"/>
                    </w:rPr>
                  </w:pPr>
                  <w:r>
                    <w:rPr>
                      <w:rFonts w:hint="eastAsia"/>
                      <w:color w:val="auto"/>
                      <w:highlight w:val="none"/>
                    </w:rPr>
                    <w:t>项目名称和时间</w:t>
                  </w:r>
                </w:p>
              </w:tc>
              <w:tc>
                <w:tcPr>
                  <w:tcW w:w="897" w:type="dxa"/>
                  <w:tcBorders>
                    <w:tl2br w:val="nil"/>
                    <w:tr2bl w:val="nil"/>
                  </w:tcBorders>
                  <w:vAlign w:val="center"/>
                </w:tcPr>
                <w:p>
                  <w:pPr>
                    <w:pStyle w:val="70"/>
                    <w:rPr>
                      <w:color w:val="auto"/>
                      <w:highlight w:val="none"/>
                    </w:rPr>
                  </w:pPr>
                  <w:r>
                    <w:rPr>
                      <w:rFonts w:hint="eastAsia"/>
                      <w:color w:val="auto"/>
                      <w:highlight w:val="none"/>
                    </w:rPr>
                    <w:t>验收</w:t>
                  </w:r>
                  <w:r>
                    <w:rPr>
                      <w:rFonts w:hint="eastAsia"/>
                      <w:color w:val="auto"/>
                      <w:highlight w:val="none"/>
                      <w:lang w:val="en-US" w:eastAsia="zh-CN"/>
                    </w:rPr>
                    <w:t>报告编制</w:t>
                  </w:r>
                  <w:r>
                    <w:rPr>
                      <w:rFonts w:hint="eastAsia"/>
                      <w:color w:val="auto"/>
                      <w:highlight w:val="none"/>
                    </w:rPr>
                    <w:t>机构</w:t>
                  </w:r>
                </w:p>
              </w:tc>
              <w:tc>
                <w:tcPr>
                  <w:tcW w:w="2534" w:type="dxa"/>
                  <w:tcBorders>
                    <w:tl2br w:val="nil"/>
                    <w:tr2bl w:val="nil"/>
                  </w:tcBorders>
                  <w:vAlign w:val="center"/>
                </w:tcPr>
                <w:p>
                  <w:pPr>
                    <w:pStyle w:val="70"/>
                    <w:rPr>
                      <w:color w:val="auto"/>
                      <w:highlight w:val="none"/>
                    </w:rPr>
                  </w:pPr>
                  <w:r>
                    <w:rPr>
                      <w:rFonts w:hint="eastAsia"/>
                      <w:color w:val="auto"/>
                      <w:highlight w:val="none"/>
                    </w:rPr>
                    <w:t>环评及批复要求</w:t>
                  </w:r>
                </w:p>
              </w:tc>
              <w:tc>
                <w:tcPr>
                  <w:tcW w:w="4125" w:type="dxa"/>
                  <w:tcBorders>
                    <w:tl2br w:val="nil"/>
                    <w:tr2bl w:val="nil"/>
                  </w:tcBorders>
                  <w:vAlign w:val="center"/>
                </w:tcPr>
                <w:p>
                  <w:pPr>
                    <w:pStyle w:val="70"/>
                    <w:rPr>
                      <w:color w:val="auto"/>
                      <w:highlight w:val="none"/>
                    </w:rPr>
                  </w:pPr>
                  <w:r>
                    <w:rPr>
                      <w:rFonts w:hint="eastAsia"/>
                      <w:color w:val="auto"/>
                      <w:highlight w:val="none"/>
                    </w:rPr>
                    <w:t>验收时企业实际落实情况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8" w:type="dxa"/>
                  <w:vMerge w:val="restart"/>
                  <w:tcBorders>
                    <w:tl2br w:val="nil"/>
                    <w:tr2bl w:val="nil"/>
                  </w:tcBorders>
                  <w:vAlign w:val="center"/>
                </w:tcPr>
                <w:p>
                  <w:pPr>
                    <w:pStyle w:val="70"/>
                    <w:rPr>
                      <w:color w:val="auto"/>
                      <w:highlight w:val="none"/>
                    </w:rPr>
                  </w:pPr>
                  <w:r>
                    <w:rPr>
                      <w:rFonts w:hint="eastAsia"/>
                      <w:color w:val="auto"/>
                      <w:highlight w:val="none"/>
                    </w:rPr>
                    <w:t>福建阿石创新材料股份有限公司平</w:t>
                  </w:r>
                  <w:r>
                    <w:rPr>
                      <w:rFonts w:hint="eastAsia"/>
                      <w:color w:val="auto"/>
                      <w:highlight w:val="none"/>
                      <w:lang w:val="en-US" w:eastAsia="zh-CN"/>
                    </w:rPr>
                    <w:t>板</w:t>
                  </w:r>
                  <w:r>
                    <w:rPr>
                      <w:rFonts w:hint="eastAsia"/>
                      <w:color w:val="auto"/>
                      <w:highlight w:val="none"/>
                    </w:rPr>
                    <w:t>显示溅射靶材建设项目</w:t>
                  </w:r>
                </w:p>
                <w:p>
                  <w:pPr>
                    <w:pStyle w:val="70"/>
                    <w:rPr>
                      <w:color w:val="auto"/>
                      <w:highlight w:val="none"/>
                    </w:rPr>
                  </w:pPr>
                  <w:r>
                    <w:rPr>
                      <w:rFonts w:hint="eastAsia"/>
                      <w:color w:val="auto"/>
                      <w:highlight w:val="none"/>
                    </w:rPr>
                    <w:t>验收时间：2021年12月</w:t>
                  </w:r>
                </w:p>
              </w:tc>
              <w:tc>
                <w:tcPr>
                  <w:tcW w:w="897" w:type="dxa"/>
                  <w:vMerge w:val="restart"/>
                  <w:tcBorders>
                    <w:tl2br w:val="nil"/>
                    <w:tr2bl w:val="nil"/>
                  </w:tcBorders>
                  <w:vAlign w:val="center"/>
                </w:tcPr>
                <w:p>
                  <w:pPr>
                    <w:pStyle w:val="70"/>
                    <w:rPr>
                      <w:color w:val="auto"/>
                      <w:highlight w:val="none"/>
                    </w:rPr>
                  </w:pPr>
                  <w:r>
                    <w:rPr>
                      <w:rFonts w:hint="eastAsia"/>
                      <w:color w:val="auto"/>
                      <w:highlight w:val="none"/>
                    </w:rPr>
                    <w:t>福建阿石创新材料股份有限公司</w:t>
                  </w:r>
                </w:p>
              </w:tc>
              <w:tc>
                <w:tcPr>
                  <w:tcW w:w="2534" w:type="dxa"/>
                  <w:tcBorders>
                    <w:tl2br w:val="nil"/>
                    <w:tr2bl w:val="nil"/>
                  </w:tcBorders>
                  <w:vAlign w:val="center"/>
                </w:tcPr>
                <w:p>
                  <w:pPr>
                    <w:pStyle w:val="70"/>
                    <w:rPr>
                      <w:color w:val="auto"/>
                      <w:highlight w:val="none"/>
                    </w:rPr>
                  </w:pPr>
                  <w:r>
                    <w:rPr>
                      <w:rFonts w:hint="eastAsia"/>
                      <w:color w:val="auto"/>
                      <w:highlight w:val="none"/>
                    </w:rPr>
                    <w:t>年产各种靶材1200吨</w:t>
                  </w:r>
                </w:p>
              </w:tc>
              <w:tc>
                <w:tcPr>
                  <w:tcW w:w="4125" w:type="dxa"/>
                  <w:tcBorders>
                    <w:tl2br w:val="nil"/>
                    <w:tr2bl w:val="nil"/>
                  </w:tcBorders>
                  <w:vAlign w:val="center"/>
                </w:tcPr>
                <w:p>
                  <w:pPr>
                    <w:pStyle w:val="70"/>
                    <w:rPr>
                      <w:color w:val="auto"/>
                      <w:highlight w:val="none"/>
                    </w:rPr>
                  </w:pPr>
                  <w:r>
                    <w:rPr>
                      <w:rFonts w:hint="eastAsia"/>
                      <w:color w:val="auto"/>
                      <w:highlight w:val="none"/>
                    </w:rPr>
                    <w:t>年产各种靶材1200吨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8" w:type="dxa"/>
                  <w:vMerge w:val="continue"/>
                  <w:tcBorders>
                    <w:tl2br w:val="nil"/>
                    <w:tr2bl w:val="nil"/>
                  </w:tcBorders>
                  <w:vAlign w:val="center"/>
                </w:tcPr>
                <w:p>
                  <w:pPr>
                    <w:pStyle w:val="70"/>
                    <w:rPr>
                      <w:color w:val="auto"/>
                      <w:highlight w:val="none"/>
                    </w:rPr>
                  </w:pPr>
                </w:p>
              </w:tc>
              <w:tc>
                <w:tcPr>
                  <w:tcW w:w="897" w:type="dxa"/>
                  <w:vMerge w:val="continue"/>
                  <w:tcBorders>
                    <w:tl2br w:val="nil"/>
                    <w:tr2bl w:val="nil"/>
                  </w:tcBorders>
                  <w:vAlign w:val="center"/>
                </w:tcPr>
                <w:p>
                  <w:pPr>
                    <w:pStyle w:val="70"/>
                    <w:rPr>
                      <w:color w:val="auto"/>
                      <w:highlight w:val="none"/>
                    </w:rPr>
                  </w:pPr>
                </w:p>
              </w:tc>
              <w:tc>
                <w:tcPr>
                  <w:tcW w:w="2534" w:type="dxa"/>
                  <w:tcBorders>
                    <w:tl2br w:val="nil"/>
                    <w:tr2bl w:val="nil"/>
                  </w:tcBorders>
                  <w:vAlign w:val="center"/>
                </w:tcPr>
                <w:p>
                  <w:pPr>
                    <w:pStyle w:val="70"/>
                    <w:rPr>
                      <w:color w:val="auto"/>
                      <w:highlight w:val="none"/>
                    </w:rPr>
                  </w:pPr>
                  <w:r>
                    <w:rPr>
                      <w:rFonts w:hint="eastAsia"/>
                      <w:color w:val="auto"/>
                      <w:highlight w:val="none"/>
                    </w:rPr>
                    <w:t>厂区内应严格实行雨污分流，生产废水及生活污水应经有效处理达标后排入市政污水管网，并纳入滨海污水处理厂集中处理。</w:t>
                  </w:r>
                </w:p>
              </w:tc>
              <w:tc>
                <w:tcPr>
                  <w:tcW w:w="4125" w:type="dxa"/>
                  <w:tcBorders>
                    <w:tl2br w:val="nil"/>
                    <w:tr2bl w:val="nil"/>
                  </w:tcBorders>
                  <w:vAlign w:val="center"/>
                </w:tcPr>
                <w:p>
                  <w:pPr>
                    <w:pStyle w:val="70"/>
                    <w:rPr>
                      <w:color w:val="auto"/>
                      <w:highlight w:val="none"/>
                    </w:rPr>
                  </w:pPr>
                  <w:r>
                    <w:rPr>
                      <w:rFonts w:hint="eastAsia"/>
                      <w:color w:val="auto"/>
                      <w:highlight w:val="none"/>
                    </w:rPr>
                    <w:t>已落实。项目建设有生产污水处理站，生产废水、生活污水经预处理后排入滨海污水处理厂。项目收集管网达到防雨、防溢流、防渗漏的要求，污水处理区已采用钢筋混凝土硬化。根据验收监测结果可知，排入市政污水管网的生产废水和生活污水能达到《污水综合排放标准》（GB8978-1996）表4三级标准（氨氮执行《污水排入城镇下水道水质标准》（GB/T31962-2015）表1中的B等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8" w:type="dxa"/>
                  <w:vMerge w:val="continue"/>
                  <w:tcBorders>
                    <w:tl2br w:val="nil"/>
                    <w:tr2bl w:val="nil"/>
                  </w:tcBorders>
                  <w:vAlign w:val="center"/>
                </w:tcPr>
                <w:p>
                  <w:pPr>
                    <w:pStyle w:val="70"/>
                    <w:rPr>
                      <w:color w:val="auto"/>
                      <w:highlight w:val="none"/>
                    </w:rPr>
                  </w:pPr>
                </w:p>
              </w:tc>
              <w:tc>
                <w:tcPr>
                  <w:tcW w:w="897" w:type="dxa"/>
                  <w:vMerge w:val="continue"/>
                  <w:tcBorders>
                    <w:tl2br w:val="nil"/>
                    <w:tr2bl w:val="nil"/>
                  </w:tcBorders>
                  <w:vAlign w:val="center"/>
                </w:tcPr>
                <w:p>
                  <w:pPr>
                    <w:pStyle w:val="70"/>
                    <w:rPr>
                      <w:color w:val="auto"/>
                      <w:highlight w:val="none"/>
                    </w:rPr>
                  </w:pPr>
                </w:p>
              </w:tc>
              <w:tc>
                <w:tcPr>
                  <w:tcW w:w="2534" w:type="dxa"/>
                  <w:tcBorders>
                    <w:tl2br w:val="nil"/>
                    <w:tr2bl w:val="nil"/>
                  </w:tcBorders>
                  <w:vAlign w:val="center"/>
                </w:tcPr>
                <w:p>
                  <w:pPr>
                    <w:pStyle w:val="70"/>
                    <w:rPr>
                      <w:color w:val="auto"/>
                      <w:highlight w:val="none"/>
                    </w:rPr>
                  </w:pPr>
                  <w:r>
                    <w:rPr>
                      <w:rFonts w:hint="eastAsia"/>
                      <w:color w:val="auto"/>
                      <w:highlight w:val="none"/>
                    </w:rPr>
                    <w:t>生产过程中产生的颗粒物、油烟等废气应经收集净化处理，确保大气污染物达标排放。</w:t>
                  </w:r>
                </w:p>
              </w:tc>
              <w:tc>
                <w:tcPr>
                  <w:tcW w:w="4125" w:type="dxa"/>
                  <w:tcBorders>
                    <w:tl2br w:val="nil"/>
                    <w:tr2bl w:val="nil"/>
                  </w:tcBorders>
                  <w:vAlign w:val="center"/>
                </w:tcPr>
                <w:p>
                  <w:pPr>
                    <w:pStyle w:val="70"/>
                    <w:rPr>
                      <w:color w:val="auto"/>
                      <w:highlight w:val="none"/>
                    </w:rPr>
                  </w:pPr>
                  <w:r>
                    <w:rPr>
                      <w:rFonts w:hint="eastAsia"/>
                      <w:color w:val="auto"/>
                      <w:highlight w:val="none"/>
                    </w:rPr>
                    <w:t>已落实。项目喷砂、抛光、喷涂后产生的颗粒物经收集后由</w:t>
                  </w:r>
                  <w:r>
                    <w:rPr>
                      <w:rFonts w:hint="eastAsia"/>
                      <w:color w:val="auto"/>
                      <w:highlight w:val="none"/>
                      <w:lang w:val="en-US" w:eastAsia="zh-CN"/>
                    </w:rPr>
                    <w:t>滤筒</w:t>
                  </w:r>
                  <w:r>
                    <w:rPr>
                      <w:rFonts w:hint="eastAsia"/>
                      <w:color w:val="auto"/>
                      <w:highlight w:val="none"/>
                    </w:rPr>
                    <w:t>除尘设施或水喷淋除尘设施处理后由排气筒排放；油烟废气经油烟净化器处理后由排气筒排放。根据验收监测结果可知，项目排放的颗粒物可达到《大气污染物综合排放标准》（GB16297-1996）表2中二级及无组织排放监控浓度限值；食堂油烟废气可达到《饮食业油烟排放标准》（GB18483-2001）表2中的中型标准限值。各排气筒</w:t>
                  </w:r>
                  <w:r>
                    <w:rPr>
                      <w:rFonts w:hint="eastAsia"/>
                      <w:color w:val="auto"/>
                      <w:highlight w:val="none"/>
                      <w:lang w:eastAsia="zh-CN"/>
                    </w:rPr>
                    <w:t>均</w:t>
                  </w:r>
                  <w:r>
                    <w:rPr>
                      <w:rFonts w:hint="eastAsia"/>
                      <w:color w:val="auto"/>
                      <w:highlight w:val="none"/>
                    </w:rPr>
                    <w:t>按照相关标准规范设置。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8" w:type="dxa"/>
                  <w:vMerge w:val="continue"/>
                  <w:tcBorders>
                    <w:tl2br w:val="nil"/>
                    <w:tr2bl w:val="nil"/>
                  </w:tcBorders>
                  <w:vAlign w:val="center"/>
                </w:tcPr>
                <w:p>
                  <w:pPr>
                    <w:pStyle w:val="70"/>
                    <w:rPr>
                      <w:color w:val="auto"/>
                      <w:highlight w:val="none"/>
                    </w:rPr>
                  </w:pPr>
                </w:p>
              </w:tc>
              <w:tc>
                <w:tcPr>
                  <w:tcW w:w="897" w:type="dxa"/>
                  <w:vMerge w:val="continue"/>
                  <w:tcBorders>
                    <w:tl2br w:val="nil"/>
                    <w:tr2bl w:val="nil"/>
                  </w:tcBorders>
                  <w:vAlign w:val="center"/>
                </w:tcPr>
                <w:p>
                  <w:pPr>
                    <w:pStyle w:val="70"/>
                    <w:rPr>
                      <w:color w:val="auto"/>
                      <w:highlight w:val="none"/>
                    </w:rPr>
                  </w:pPr>
                </w:p>
              </w:tc>
              <w:tc>
                <w:tcPr>
                  <w:tcW w:w="2534" w:type="dxa"/>
                  <w:tcBorders>
                    <w:tl2br w:val="nil"/>
                    <w:tr2bl w:val="nil"/>
                  </w:tcBorders>
                  <w:vAlign w:val="center"/>
                </w:tcPr>
                <w:p>
                  <w:pPr>
                    <w:pStyle w:val="70"/>
                    <w:rPr>
                      <w:color w:val="auto"/>
                      <w:highlight w:val="none"/>
                    </w:rPr>
                  </w:pPr>
                  <w:r>
                    <w:rPr>
                      <w:rFonts w:hint="eastAsia"/>
                      <w:color w:val="auto"/>
                      <w:highlight w:val="none"/>
                    </w:rPr>
                    <w:t>应合理布局生产车间，对高噪声源采取消声、隔声、减震等综合治理措施，确保厂界外噪声达标排放。</w:t>
                  </w:r>
                </w:p>
              </w:tc>
              <w:tc>
                <w:tcPr>
                  <w:tcW w:w="4125" w:type="dxa"/>
                  <w:tcBorders>
                    <w:tl2br w:val="nil"/>
                    <w:tr2bl w:val="nil"/>
                  </w:tcBorders>
                  <w:vAlign w:val="center"/>
                </w:tcPr>
                <w:p>
                  <w:pPr>
                    <w:pStyle w:val="70"/>
                    <w:rPr>
                      <w:color w:val="auto"/>
                      <w:highlight w:val="none"/>
                    </w:rPr>
                  </w:pPr>
                  <w:r>
                    <w:rPr>
                      <w:rFonts w:hint="eastAsia"/>
                      <w:color w:val="auto"/>
                      <w:highlight w:val="none"/>
                    </w:rPr>
                    <w:t>已落实。项目采用厂房墙体和围墙进行隔声，并加强设备维护管理，降低噪声对周边环境影响。根据验收监测结果，厂界南侧昼间噪声值为57.4dB(A)~58.4dB(A</w:t>
                  </w:r>
                  <w:r>
                    <w:rPr>
                      <w:rFonts w:hint="eastAsia"/>
                      <w:color w:val="auto"/>
                      <w:highlight w:val="none"/>
                      <w:lang w:eastAsia="zh-CN"/>
                    </w:rPr>
                    <w:t>）</w:t>
                  </w:r>
                  <w:r>
                    <w:rPr>
                      <w:rFonts w:hint="eastAsia"/>
                      <w:color w:val="auto"/>
                      <w:highlight w:val="none"/>
                    </w:rPr>
                    <w:t>，能达到《工业企业厂界环境噪声排放标准》（GB12348-2008）4类标准要求，其余厂界昼间噪声值为57.2dB(A)~58.5dB(A</w:t>
                  </w:r>
                  <w:r>
                    <w:rPr>
                      <w:rFonts w:hint="eastAsia"/>
                      <w:color w:val="auto"/>
                      <w:highlight w:val="none"/>
                      <w:lang w:eastAsia="zh-CN"/>
                    </w:rPr>
                    <w:t>）</w:t>
                  </w:r>
                  <w:r>
                    <w:rPr>
                      <w:rFonts w:hint="eastAsia"/>
                      <w:color w:val="auto"/>
                      <w:highlight w:val="none"/>
                    </w:rPr>
                    <w:t>均能达到《工业企业厂界环境噪声排放标准》（GB12348-2008）3类标准要求。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58" w:type="dxa"/>
                  <w:vMerge w:val="continue"/>
                  <w:tcBorders>
                    <w:tl2br w:val="nil"/>
                    <w:tr2bl w:val="nil"/>
                  </w:tcBorders>
                  <w:vAlign w:val="center"/>
                </w:tcPr>
                <w:p>
                  <w:pPr>
                    <w:pStyle w:val="70"/>
                    <w:rPr>
                      <w:color w:val="auto"/>
                      <w:highlight w:val="none"/>
                    </w:rPr>
                  </w:pPr>
                </w:p>
              </w:tc>
              <w:tc>
                <w:tcPr>
                  <w:tcW w:w="897" w:type="dxa"/>
                  <w:vMerge w:val="continue"/>
                  <w:tcBorders>
                    <w:tl2br w:val="nil"/>
                    <w:tr2bl w:val="nil"/>
                  </w:tcBorders>
                  <w:vAlign w:val="center"/>
                </w:tcPr>
                <w:p>
                  <w:pPr>
                    <w:pStyle w:val="70"/>
                    <w:rPr>
                      <w:color w:val="auto"/>
                      <w:highlight w:val="none"/>
                    </w:rPr>
                  </w:pPr>
                </w:p>
              </w:tc>
              <w:tc>
                <w:tcPr>
                  <w:tcW w:w="2534" w:type="dxa"/>
                  <w:tcBorders>
                    <w:tl2br w:val="nil"/>
                    <w:tr2bl w:val="nil"/>
                  </w:tcBorders>
                  <w:vAlign w:val="center"/>
                </w:tcPr>
                <w:p>
                  <w:pPr>
                    <w:pStyle w:val="70"/>
                    <w:rPr>
                      <w:color w:val="auto"/>
                      <w:highlight w:val="none"/>
                    </w:rPr>
                  </w:pPr>
                  <w:r>
                    <w:rPr>
                      <w:rFonts w:hint="eastAsia"/>
                      <w:color w:val="auto"/>
                      <w:highlight w:val="none"/>
                    </w:rPr>
                    <w:t>生产过程中所产生的金属下脚料、不合格靶材及除尘系统粉尘等应回收综合利用；生产过程中产生的废机油、废切削液、废离子交换树脂及污水处理金属污泥等</w:t>
                  </w:r>
                  <w:r>
                    <w:rPr>
                      <w:rFonts w:hint="eastAsia"/>
                      <w:color w:val="auto"/>
                      <w:highlight w:val="none"/>
                      <w:lang w:eastAsia="zh-CN"/>
                    </w:rPr>
                    <w:t>属于</w:t>
                  </w:r>
                  <w:r>
                    <w:rPr>
                      <w:rFonts w:hint="eastAsia"/>
                      <w:color w:val="auto"/>
                      <w:highlight w:val="none"/>
                    </w:rPr>
                    <w:t>危险废物，应按规范委托有资质的单位妥善处置；生活垃圾应统一收集清运；严禁固体废弃物随意堆放或焚烧。</w:t>
                  </w:r>
                </w:p>
              </w:tc>
              <w:tc>
                <w:tcPr>
                  <w:tcW w:w="4125" w:type="dxa"/>
                  <w:tcBorders>
                    <w:tl2br w:val="nil"/>
                    <w:tr2bl w:val="nil"/>
                  </w:tcBorders>
                  <w:vAlign w:val="center"/>
                </w:tcPr>
                <w:p>
                  <w:pPr>
                    <w:pStyle w:val="70"/>
                    <w:rPr>
                      <w:color w:val="auto"/>
                      <w:highlight w:val="none"/>
                    </w:rPr>
                  </w:pPr>
                  <w:r>
                    <w:rPr>
                      <w:rFonts w:hint="eastAsia"/>
                      <w:color w:val="auto"/>
                      <w:highlight w:val="none"/>
                    </w:rPr>
                    <w:t>已落实。项目设置有废料仓库、垃圾暂存间、一般固废暂存场所、危废暂存间。一般固废暂存场所已严格按照《一般工业固体废物贮存和填埋污染控制标准》（GB18599-2020）的要求进行建设。危废暂存间已按照《危险废物贮存污染控制标准》（GB18597-2001）及其2013年修改单的相关规定进行设置。项目运营期间，生活垃圾由环卫部门统一清运处理；一般生产固废（金属下脚料、不合格靶材及除尘系统粉尘）集中收集后外售泉州美福金属有限公司进行回收；危险废物（</w:t>
                  </w:r>
                  <w:r>
                    <w:rPr>
                      <w:rFonts w:hint="eastAsia"/>
                      <w:color w:val="auto"/>
                      <w:highlight w:val="none"/>
                      <w:lang w:val="en-US" w:eastAsia="zh-CN"/>
                    </w:rPr>
                    <w:t>废矿物油、实验室废液</w:t>
                  </w:r>
                  <w:r>
                    <w:rPr>
                      <w:rFonts w:hint="eastAsia"/>
                      <w:color w:val="auto"/>
                      <w:highlight w:val="none"/>
                    </w:rPr>
                    <w:t>）暂存于危废间，待达到量后委托福建深投海峡环保科技有限公司进行转运处置。</w:t>
                  </w:r>
                </w:p>
              </w:tc>
            </w:tr>
          </w:tbl>
          <w:p>
            <w:pPr>
              <w:pStyle w:val="72"/>
              <w:numPr>
                <w:ilvl w:val="0"/>
                <w:numId w:val="8"/>
              </w:numPr>
              <w:ind w:firstLine="480"/>
              <w:rPr>
                <w:rFonts w:hint="eastAsia"/>
                <w:color w:val="auto"/>
                <w:highlight w:val="none"/>
                <w:lang w:val="en-US" w:eastAsia="zh-CN"/>
              </w:rPr>
            </w:pPr>
            <w:r>
              <w:rPr>
                <w:rFonts w:hint="eastAsia"/>
                <w:color w:val="auto"/>
                <w:highlight w:val="none"/>
                <w:lang w:val="en-US" w:eastAsia="zh-CN"/>
              </w:rPr>
              <w:t>超高清铜靶材项目环评批复及落实情况</w:t>
            </w:r>
          </w:p>
          <w:p>
            <w:pPr>
              <w:pStyle w:val="72"/>
              <w:keepNext w:val="0"/>
              <w:keepLines w:val="0"/>
              <w:pageBreakBefore w:val="0"/>
              <w:widowControl/>
              <w:kinsoku/>
              <w:wordWrap/>
              <w:overflowPunct/>
              <w:topLinePunct w:val="0"/>
              <w:autoSpaceDE/>
              <w:autoSpaceDN/>
              <w:bidi w:val="0"/>
              <w:adjustRightInd w:val="0"/>
              <w:snapToGrid w:val="0"/>
              <w:spacing w:after="0" w:line="240" w:lineRule="auto"/>
              <w:ind w:firstLine="480"/>
              <w:jc w:val="center"/>
              <w:textAlignment w:val="auto"/>
              <w:rPr>
                <w:rFonts w:hint="default"/>
                <w:color w:val="auto"/>
                <w:highlight w:val="none"/>
                <w:lang w:val="en-US"/>
              </w:rPr>
            </w:pPr>
            <w:r>
              <w:rPr>
                <w:rFonts w:hint="default"/>
                <w:b/>
                <w:bCs/>
                <w:color w:val="auto"/>
                <w:highlight w:val="none"/>
                <w:lang w:val="en-US"/>
              </w:rPr>
              <w:t>表</w:t>
            </w:r>
            <w:r>
              <w:rPr>
                <w:rFonts w:hint="eastAsia"/>
                <w:b/>
                <w:bCs/>
                <w:color w:val="auto"/>
                <w:highlight w:val="none"/>
                <w:lang w:val="en-US" w:eastAsia="zh-CN"/>
              </w:rPr>
              <w:t>2.5.8</w:t>
            </w:r>
            <w:r>
              <w:rPr>
                <w:rFonts w:hint="default"/>
                <w:b/>
                <w:bCs/>
                <w:color w:val="auto"/>
                <w:highlight w:val="none"/>
                <w:lang w:val="en-US"/>
              </w:rPr>
              <w:t xml:space="preserve"> 环评</w:t>
            </w:r>
            <w:r>
              <w:rPr>
                <w:rFonts w:hint="eastAsia"/>
                <w:b/>
                <w:bCs/>
                <w:color w:val="auto"/>
                <w:highlight w:val="none"/>
                <w:lang w:val="en-US" w:eastAsia="zh-CN"/>
              </w:rPr>
              <w:t>及审批</w:t>
            </w:r>
            <w:r>
              <w:rPr>
                <w:rFonts w:hint="default"/>
                <w:b/>
                <w:bCs/>
                <w:color w:val="auto"/>
                <w:highlight w:val="none"/>
                <w:lang w:val="en-US"/>
              </w:rPr>
              <w:t>意见落实情况</w:t>
            </w:r>
          </w:p>
          <w:tbl>
            <w:tblPr>
              <w:tblStyle w:val="28"/>
              <w:tblW w:w="8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012"/>
              <w:gridCol w:w="2607"/>
              <w:gridCol w:w="4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6"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项目名称</w:t>
                  </w:r>
                </w:p>
              </w:tc>
              <w:tc>
                <w:tcPr>
                  <w:tcW w:w="1012" w:type="dxa"/>
                  <w:noWrap w:val="0"/>
                  <w:vAlign w:val="center"/>
                </w:tcPr>
                <w:p>
                  <w:pPr>
                    <w:pStyle w:val="70"/>
                    <w:rPr>
                      <w:rFonts w:hint="default" w:eastAsia="宋体"/>
                      <w:color w:val="auto"/>
                      <w:highlight w:val="none"/>
                      <w:lang w:val="en-US" w:eastAsia="zh-CN"/>
                    </w:rPr>
                  </w:pPr>
                  <w:r>
                    <w:rPr>
                      <w:rFonts w:hint="eastAsia" w:eastAsia="宋体"/>
                      <w:color w:val="auto"/>
                      <w:highlight w:val="none"/>
                    </w:rPr>
                    <w:t>验收</w:t>
                  </w:r>
                  <w:r>
                    <w:rPr>
                      <w:rFonts w:hint="eastAsia" w:eastAsia="宋体"/>
                      <w:color w:val="auto"/>
                      <w:highlight w:val="none"/>
                      <w:lang w:val="en-US" w:eastAsia="zh-CN"/>
                    </w:rPr>
                    <w:t>报告编制</w:t>
                  </w:r>
                  <w:r>
                    <w:rPr>
                      <w:rFonts w:hint="eastAsia" w:eastAsia="宋体"/>
                      <w:color w:val="auto"/>
                      <w:highlight w:val="none"/>
                    </w:rPr>
                    <w:t>机构</w:t>
                  </w:r>
                </w:p>
              </w:tc>
              <w:tc>
                <w:tcPr>
                  <w:tcW w:w="2607" w:type="dxa"/>
                  <w:noWrap w:val="0"/>
                  <w:vAlign w:val="center"/>
                </w:tcPr>
                <w:p>
                  <w:pPr>
                    <w:pStyle w:val="70"/>
                    <w:rPr>
                      <w:rFonts w:hint="default" w:eastAsia="宋体"/>
                      <w:color w:val="auto"/>
                      <w:highlight w:val="none"/>
                      <w:lang w:val="en-US" w:eastAsia="zh-CN"/>
                    </w:rPr>
                  </w:pPr>
                  <w:r>
                    <w:rPr>
                      <w:rFonts w:hint="default" w:eastAsia="宋体"/>
                      <w:color w:val="auto"/>
                      <w:highlight w:val="none"/>
                      <w:lang w:val="en-US" w:eastAsia="zh-CN"/>
                    </w:rPr>
                    <w:t>环评</w:t>
                  </w:r>
                  <w:r>
                    <w:rPr>
                      <w:rFonts w:hint="eastAsia" w:eastAsia="宋体"/>
                      <w:color w:val="auto"/>
                      <w:highlight w:val="none"/>
                      <w:lang w:val="en-US" w:eastAsia="zh-CN"/>
                    </w:rPr>
                    <w:t>及</w:t>
                  </w:r>
                  <w:r>
                    <w:rPr>
                      <w:rFonts w:hint="default" w:eastAsia="宋体"/>
                      <w:color w:val="auto"/>
                      <w:highlight w:val="none"/>
                      <w:lang w:val="en-US" w:eastAsia="zh-CN"/>
                    </w:rPr>
                    <w:t>审批意见要求</w:t>
                  </w:r>
                </w:p>
              </w:tc>
              <w:tc>
                <w:tcPr>
                  <w:tcW w:w="4086" w:type="dxa"/>
                  <w:noWrap w:val="0"/>
                  <w:vAlign w:val="center"/>
                </w:tcPr>
                <w:p>
                  <w:pPr>
                    <w:pStyle w:val="70"/>
                    <w:rPr>
                      <w:rFonts w:hint="default" w:eastAsia="宋体"/>
                      <w:color w:val="auto"/>
                      <w:highlight w:val="none"/>
                      <w:lang w:val="en-US"/>
                    </w:rPr>
                  </w:pPr>
                  <w:r>
                    <w:rPr>
                      <w:rFonts w:hint="default" w:eastAsia="宋体"/>
                      <w:color w:val="auto"/>
                      <w:highlight w:val="none"/>
                      <w:lang w:val="en-US"/>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6" w:type="dxa"/>
                  <w:vMerge w:val="restart"/>
                  <w:noWrap w:val="0"/>
                  <w:vAlign w:val="center"/>
                </w:tcPr>
                <w:p>
                  <w:pPr>
                    <w:pStyle w:val="70"/>
                    <w:rPr>
                      <w:rFonts w:hint="default" w:eastAsia="宋体"/>
                      <w:color w:val="auto"/>
                      <w:highlight w:val="none"/>
                    </w:rPr>
                  </w:pPr>
                  <w:r>
                    <w:rPr>
                      <w:rFonts w:hint="eastAsia" w:eastAsia="宋体"/>
                      <w:color w:val="auto"/>
                      <w:highlight w:val="none"/>
                      <w:lang w:val="en-US" w:eastAsia="zh-CN"/>
                    </w:rPr>
                    <w:t>超高清显示用铜靶材产业化建设项目</w:t>
                  </w:r>
                </w:p>
                <w:p>
                  <w:pPr>
                    <w:pStyle w:val="70"/>
                    <w:rPr>
                      <w:rFonts w:hint="eastAsia" w:eastAsia="宋体"/>
                      <w:color w:val="auto"/>
                      <w:highlight w:val="none"/>
                      <w:lang w:val="en-US" w:eastAsia="zh-CN"/>
                    </w:rPr>
                  </w:pPr>
                  <w:r>
                    <w:rPr>
                      <w:rFonts w:hint="eastAsia" w:eastAsia="宋体"/>
                      <w:color w:val="auto"/>
                      <w:highlight w:val="none"/>
                      <w:lang w:val="en-US" w:eastAsia="zh-CN"/>
                    </w:rPr>
                    <w:t>（2025年6月完成阶段验收）</w:t>
                  </w:r>
                </w:p>
              </w:tc>
              <w:tc>
                <w:tcPr>
                  <w:tcW w:w="1012" w:type="dxa"/>
                  <w:vMerge w:val="restart"/>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福证通（福州市）环保科技有限公司</w:t>
                  </w:r>
                </w:p>
              </w:tc>
              <w:tc>
                <w:tcPr>
                  <w:tcW w:w="2607"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年产铜靶材2000吨</w:t>
                  </w:r>
                </w:p>
              </w:tc>
              <w:tc>
                <w:tcPr>
                  <w:tcW w:w="4086"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年产各种靶材900吨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6" w:type="dxa"/>
                  <w:vMerge w:val="continue"/>
                  <w:noWrap w:val="0"/>
                  <w:vAlign w:val="center"/>
                </w:tcPr>
                <w:p>
                  <w:pPr>
                    <w:pStyle w:val="70"/>
                    <w:rPr>
                      <w:rFonts w:hint="eastAsia" w:eastAsia="宋体"/>
                      <w:color w:val="auto"/>
                      <w:highlight w:val="none"/>
                      <w:lang w:val="en-US" w:eastAsia="zh-CN"/>
                    </w:rPr>
                  </w:pPr>
                </w:p>
              </w:tc>
              <w:tc>
                <w:tcPr>
                  <w:tcW w:w="1012" w:type="dxa"/>
                  <w:vMerge w:val="continue"/>
                  <w:noWrap w:val="0"/>
                  <w:vAlign w:val="center"/>
                </w:tcPr>
                <w:p>
                  <w:pPr>
                    <w:pStyle w:val="70"/>
                    <w:rPr>
                      <w:rFonts w:hint="default" w:eastAsia="宋体"/>
                      <w:color w:val="auto"/>
                      <w:highlight w:val="none"/>
                      <w:lang w:val="en-US" w:eastAsia="zh-CN"/>
                    </w:rPr>
                  </w:pPr>
                </w:p>
              </w:tc>
              <w:tc>
                <w:tcPr>
                  <w:tcW w:w="2607"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厂区内应严格实行雨污分流；生产废水及生活污水应经有效处理达标后排入市政污水管网，并纳入滨海污水处理厂集中处理。</w:t>
                  </w:r>
                </w:p>
              </w:tc>
              <w:tc>
                <w:tcPr>
                  <w:tcW w:w="4086"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实施雨污分流。项目生产废水依托已建设的生产污水处理站处理，生活污水经隔油池、化粪池处理后排入滨海污水处理厂。 项目收集管网达到防雨、防溢流、防渗漏的要求，污水处理区已采用钢筋混凝土硬化。根据验收监测结果可知，排入市政污水管网的生活污水能达到《污水综合排放标准》</w:t>
                  </w:r>
                  <w:r>
                    <w:rPr>
                      <w:rFonts w:hint="default" w:eastAsia="宋体"/>
                      <w:color w:val="auto"/>
                      <w:highlight w:val="none"/>
                      <w:lang w:val="en-US" w:eastAsia="zh-CN"/>
                    </w:rPr>
                    <w:t>(GB8978-1996)</w:t>
                  </w:r>
                  <w:r>
                    <w:rPr>
                      <w:rFonts w:hint="eastAsia" w:eastAsia="宋体"/>
                      <w:color w:val="auto"/>
                      <w:highlight w:val="none"/>
                      <w:lang w:val="en-US" w:eastAsia="zh-CN"/>
                    </w:rPr>
                    <w:t xml:space="preserve">表 </w:t>
                  </w:r>
                  <w:r>
                    <w:rPr>
                      <w:rFonts w:hint="default" w:eastAsia="宋体"/>
                      <w:color w:val="auto"/>
                      <w:highlight w:val="none"/>
                      <w:lang w:val="en-US" w:eastAsia="zh-CN"/>
                    </w:rPr>
                    <w:t xml:space="preserve">4 </w:t>
                  </w:r>
                  <w:r>
                    <w:rPr>
                      <w:rFonts w:hint="eastAsia" w:eastAsia="宋体"/>
                      <w:color w:val="auto"/>
                      <w:highlight w:val="none"/>
                      <w:lang w:val="en-US" w:eastAsia="zh-CN"/>
                    </w:rPr>
                    <w:t>三级标准</w:t>
                  </w:r>
                  <w:r>
                    <w:rPr>
                      <w:rFonts w:hint="default" w:eastAsia="宋体"/>
                      <w:color w:val="auto"/>
                      <w:highlight w:val="none"/>
                      <w:lang w:val="en-US" w:eastAsia="zh-CN"/>
                    </w:rPr>
                    <w:t>(</w:t>
                  </w:r>
                  <w:r>
                    <w:rPr>
                      <w:rFonts w:hint="eastAsia" w:eastAsia="宋体"/>
                      <w:color w:val="auto"/>
                      <w:highlight w:val="none"/>
                      <w:lang w:val="en-US" w:eastAsia="zh-CN"/>
                    </w:rPr>
                    <w:t>氨氮执行《污水排入城镇下水道水质标准》</w:t>
                  </w:r>
                  <w:r>
                    <w:rPr>
                      <w:rFonts w:hint="default" w:eastAsia="宋体"/>
                      <w:color w:val="auto"/>
                      <w:highlight w:val="none"/>
                      <w:lang w:val="en-US" w:eastAsia="zh-CN"/>
                    </w:rPr>
                    <w:t>(GB/T 31962-2015)</w:t>
                  </w:r>
                  <w:r>
                    <w:rPr>
                      <w:rFonts w:hint="eastAsia" w:eastAsia="宋体"/>
                      <w:color w:val="auto"/>
                      <w:highlight w:val="none"/>
                      <w:lang w:val="en-US" w:eastAsia="zh-CN"/>
                    </w:rPr>
                    <w:t xml:space="preserve">表 </w:t>
                  </w:r>
                  <w:r>
                    <w:rPr>
                      <w:rFonts w:hint="default" w:eastAsia="宋体"/>
                      <w:color w:val="auto"/>
                      <w:highlight w:val="none"/>
                      <w:lang w:val="en-US" w:eastAsia="zh-CN"/>
                    </w:rPr>
                    <w:t xml:space="preserve">1B </w:t>
                  </w:r>
                  <w:r>
                    <w:rPr>
                      <w:rFonts w:hint="eastAsia" w:eastAsia="宋体"/>
                      <w:color w:val="auto"/>
                      <w:highlight w:val="none"/>
                      <w:lang w:val="en-US" w:eastAsia="zh-CN"/>
                    </w:rPr>
                    <w:t>等级标准</w:t>
                  </w:r>
                  <w:r>
                    <w:rPr>
                      <w:rFonts w:hint="default" w:eastAsia="宋体"/>
                      <w:color w:val="auto"/>
                      <w:highlight w:val="none"/>
                      <w:lang w:val="en-US" w:eastAsia="zh-CN"/>
                    </w:rPr>
                    <w:t>)</w:t>
                  </w:r>
                  <w:r>
                    <w:rPr>
                      <w:rFonts w:hint="eastAsia" w:eastAsia="宋体"/>
                      <w:color w:val="auto"/>
                      <w:highlight w:val="none"/>
                      <w:lang w:val="en-US" w:eastAsia="zh-CN"/>
                    </w:rPr>
                    <w:t>，生产废水符合《电子工业水污染物排放标准》（</w:t>
                  </w:r>
                  <w:r>
                    <w:rPr>
                      <w:rFonts w:hint="default" w:eastAsia="宋体"/>
                      <w:color w:val="auto"/>
                      <w:highlight w:val="none"/>
                      <w:lang w:val="en-US" w:eastAsia="zh-CN"/>
                    </w:rPr>
                    <w:t>GB 39731-2020</w:t>
                  </w:r>
                  <w:r>
                    <w:rPr>
                      <w:rFonts w:hint="eastAsia" w:eastAsia="宋体"/>
                      <w:color w:val="auto"/>
                      <w:highlight w:val="none"/>
                      <w:lang w:val="en-US" w:eastAsia="zh-CN"/>
                    </w:rPr>
                    <w:t>）表1间接排放标准。（标准更新）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6" w:type="dxa"/>
                  <w:vMerge w:val="continue"/>
                  <w:noWrap w:val="0"/>
                  <w:vAlign w:val="center"/>
                </w:tcPr>
                <w:p>
                  <w:pPr>
                    <w:pStyle w:val="70"/>
                    <w:rPr>
                      <w:rFonts w:hint="default" w:eastAsia="宋体"/>
                      <w:color w:val="auto"/>
                      <w:highlight w:val="none"/>
                      <w:lang w:val="en-US" w:eastAsia="zh-CN"/>
                    </w:rPr>
                  </w:pPr>
                </w:p>
              </w:tc>
              <w:tc>
                <w:tcPr>
                  <w:tcW w:w="1012" w:type="dxa"/>
                  <w:vMerge w:val="continue"/>
                  <w:noWrap w:val="0"/>
                  <w:vAlign w:val="center"/>
                </w:tcPr>
                <w:p>
                  <w:pPr>
                    <w:pStyle w:val="70"/>
                    <w:rPr>
                      <w:rFonts w:hint="default" w:eastAsia="宋体"/>
                      <w:color w:val="auto"/>
                      <w:highlight w:val="none"/>
                      <w:lang w:val="en-US" w:eastAsia="zh-CN"/>
                    </w:rPr>
                  </w:pPr>
                </w:p>
              </w:tc>
              <w:tc>
                <w:tcPr>
                  <w:tcW w:w="2607"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生产过程中产生的颗粒物应经收集净化处理，确保大气污染物达标排放。</w:t>
                  </w:r>
                </w:p>
              </w:tc>
              <w:tc>
                <w:tcPr>
                  <w:tcW w:w="4086"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设置专门的抛光房、喷砂房，抛光房、喷砂房工作时密闭，车间内安装集尘系统，工作配套口罩等劳保用品，根据验收监测结果，研磨、喷砂工序粉尘（颗粒物）经收集后，采取水喷淋湿法除尘，经处理后的尾气排放可符合《大气污染物综合排放标准》(GB16297-1996)表2中二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736" w:type="dxa"/>
                  <w:vMerge w:val="continue"/>
                  <w:noWrap w:val="0"/>
                  <w:vAlign w:val="center"/>
                </w:tcPr>
                <w:p>
                  <w:pPr>
                    <w:pStyle w:val="70"/>
                    <w:rPr>
                      <w:rFonts w:hint="eastAsia" w:eastAsia="宋体"/>
                      <w:color w:val="auto"/>
                      <w:highlight w:val="none"/>
                      <w:lang w:val="en-US" w:eastAsia="zh-CN"/>
                    </w:rPr>
                  </w:pPr>
                </w:p>
              </w:tc>
              <w:tc>
                <w:tcPr>
                  <w:tcW w:w="1012" w:type="dxa"/>
                  <w:vMerge w:val="continue"/>
                  <w:noWrap w:val="0"/>
                  <w:vAlign w:val="center"/>
                </w:tcPr>
                <w:p>
                  <w:pPr>
                    <w:pStyle w:val="70"/>
                    <w:rPr>
                      <w:rFonts w:hint="eastAsia" w:eastAsia="宋体"/>
                      <w:color w:val="auto"/>
                      <w:highlight w:val="none"/>
                      <w:lang w:val="en-US" w:eastAsia="zh-CN"/>
                    </w:rPr>
                  </w:pPr>
                </w:p>
              </w:tc>
              <w:tc>
                <w:tcPr>
                  <w:tcW w:w="2607" w:type="dxa"/>
                  <w:noWrap w:val="0"/>
                  <w:vAlign w:val="center"/>
                </w:tcPr>
                <w:p>
                  <w:pPr>
                    <w:pStyle w:val="70"/>
                    <w:rPr>
                      <w:rFonts w:hint="eastAsia" w:eastAsia="宋体"/>
                      <w:color w:val="auto"/>
                      <w:highlight w:val="none"/>
                      <w:lang w:val="en-US" w:eastAsia="zh-CN"/>
                    </w:rPr>
                  </w:pPr>
                  <w:r>
                    <w:rPr>
                      <w:rFonts w:hint="eastAsia" w:eastAsia="宋体"/>
                      <w:color w:val="auto"/>
                      <w:highlight w:val="none"/>
                      <w:lang w:val="en-US" w:eastAsia="zh-CN"/>
                    </w:rPr>
                    <w:t>应合理布局生产车间，对高噪声源采取消声、隔音、减震等综合治理措施，确保厂界外噪声达标排放。</w:t>
                  </w:r>
                </w:p>
              </w:tc>
              <w:tc>
                <w:tcPr>
                  <w:tcW w:w="4086" w:type="dxa"/>
                  <w:noWrap w:val="0"/>
                  <w:vAlign w:val="center"/>
                </w:tcPr>
                <w:p>
                  <w:pPr>
                    <w:pStyle w:val="70"/>
                    <w:rPr>
                      <w:rFonts w:hint="eastAsia" w:eastAsia="宋体"/>
                      <w:color w:val="auto"/>
                      <w:highlight w:val="none"/>
                      <w:lang w:val="en-US" w:eastAsia="zh-CN"/>
                    </w:rPr>
                  </w:pPr>
                  <w:r>
                    <w:rPr>
                      <w:rFonts w:hint="eastAsia" w:eastAsia="宋体"/>
                      <w:color w:val="auto"/>
                      <w:highlight w:val="none"/>
                      <w:lang w:val="en-US" w:eastAsia="zh-CN"/>
                    </w:rPr>
                    <w:t>车间主要机械设备采取减振措施，除尘系统风机等布置于屋顶，经厂房隔声、设备减振等综合治理措施，厂界昼间噪声级为56.3~58.7dB(A)、夜间噪声为46.3~47.6dB(A)可符合《工业企业厂界环境噪声排放标准》 (GB12348-2008) 3、4 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6" w:type="dxa"/>
                  <w:vMerge w:val="continue"/>
                  <w:noWrap w:val="0"/>
                  <w:vAlign w:val="center"/>
                </w:tcPr>
                <w:p>
                  <w:pPr>
                    <w:pStyle w:val="70"/>
                    <w:rPr>
                      <w:rFonts w:hint="default" w:eastAsia="宋体"/>
                      <w:color w:val="auto"/>
                      <w:highlight w:val="none"/>
                      <w:lang w:val="en-US" w:eastAsia="zh-CN"/>
                    </w:rPr>
                  </w:pPr>
                </w:p>
              </w:tc>
              <w:tc>
                <w:tcPr>
                  <w:tcW w:w="1012" w:type="dxa"/>
                  <w:vMerge w:val="continue"/>
                  <w:noWrap w:val="0"/>
                  <w:vAlign w:val="center"/>
                </w:tcPr>
                <w:p>
                  <w:pPr>
                    <w:pStyle w:val="70"/>
                    <w:rPr>
                      <w:rFonts w:hint="eastAsia" w:eastAsia="宋体"/>
                      <w:color w:val="auto"/>
                      <w:highlight w:val="none"/>
                      <w:lang w:val="en-US" w:eastAsia="zh-CN"/>
                    </w:rPr>
                  </w:pPr>
                </w:p>
              </w:tc>
              <w:tc>
                <w:tcPr>
                  <w:tcW w:w="2607"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生产过程中所产生的边角料、金属屑、不合格靶材、解绑固体废物及除尘系统粉尘等应回收综合利用；生产过程中产生的废机油、废切削液、废离子交换树脂及污水处理金属污泥等属危险废物，应按规范委托有资质的单位妥善处置；生活垃圾应统一收集并及时由环卫部门清运；严禁固体废弃物随意堆放或焚烧。</w:t>
                  </w:r>
                </w:p>
              </w:tc>
              <w:tc>
                <w:tcPr>
                  <w:tcW w:w="4086"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根据企业产生的固废，对照《危险废物名录》（2025版）判定，生产过程中所产生的边角料、金属屑、不合格靶材、解绑固体废物等属于一般工业固废，在厂内回收综合利用，废离子交换树脂、研磨与抛光工序粉尘及除尘污泥等属于一般工业固废，委托福州市长乐区宏鑫环境服务有限公司处置；生活垃圾由环卫部门统一收集清运。厂内一般工业固废、危险固废分类、分区堆放于厂内已有的一般工业固废仓库和危险废物仓库，贮存及转运过程 严格按照</w:t>
                  </w:r>
                  <w:r>
                    <w:rPr>
                      <w:rFonts w:hint="default" w:eastAsia="宋体"/>
                      <w:color w:val="auto"/>
                      <w:highlight w:val="none"/>
                      <w:lang w:val="en-US" w:eastAsia="zh-CN"/>
                    </w:rPr>
                    <w:t>《一般工业固体废物贮存和填埋污染控制标准》（GB18599-2020）</w:t>
                  </w:r>
                  <w:r>
                    <w:rPr>
                      <w:rFonts w:hint="eastAsia" w:eastAsia="宋体"/>
                      <w:color w:val="auto"/>
                      <w:highlight w:val="none"/>
                      <w:lang w:val="en-US" w:eastAsia="zh-CN"/>
                    </w:rPr>
                    <w:t>、</w:t>
                  </w:r>
                  <w:r>
                    <w:rPr>
                      <w:rFonts w:hint="default" w:eastAsia="宋体"/>
                      <w:color w:val="auto"/>
                      <w:highlight w:val="none"/>
                      <w:lang w:val="en-US" w:eastAsia="zh-CN"/>
                    </w:rPr>
                    <w:t>《危险废物贮存污染控制标准》（GB18597-20</w:t>
                  </w:r>
                  <w:r>
                    <w:rPr>
                      <w:rFonts w:hint="eastAsia" w:eastAsia="宋体"/>
                      <w:color w:val="auto"/>
                      <w:highlight w:val="none"/>
                      <w:lang w:val="en-US" w:eastAsia="zh-CN"/>
                    </w:rPr>
                    <w:t>23</w:t>
                  </w:r>
                  <w:r>
                    <w:rPr>
                      <w:rFonts w:hint="default" w:eastAsia="宋体"/>
                      <w:color w:val="auto"/>
                      <w:highlight w:val="none"/>
                      <w:lang w:val="en-US" w:eastAsia="zh-CN"/>
                    </w:rPr>
                    <w:t>）</w:t>
                  </w:r>
                  <w:r>
                    <w:rPr>
                      <w:rFonts w:hint="eastAsia" w:eastAsia="宋体"/>
                      <w:color w:val="auto"/>
                      <w:highlight w:val="none"/>
                      <w:lang w:val="en-US" w:eastAsia="zh-CN"/>
                    </w:rPr>
                    <w:t>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6" w:type="dxa"/>
                  <w:vMerge w:val="continue"/>
                  <w:noWrap w:val="0"/>
                  <w:vAlign w:val="center"/>
                </w:tcPr>
                <w:p>
                  <w:pPr>
                    <w:pStyle w:val="70"/>
                    <w:rPr>
                      <w:rFonts w:hint="eastAsia" w:eastAsia="宋体"/>
                      <w:color w:val="auto"/>
                      <w:highlight w:val="none"/>
                      <w:lang w:val="en-US" w:eastAsia="zh-CN"/>
                    </w:rPr>
                  </w:pPr>
                </w:p>
              </w:tc>
              <w:tc>
                <w:tcPr>
                  <w:tcW w:w="1012" w:type="dxa"/>
                  <w:vMerge w:val="continue"/>
                  <w:noWrap w:val="0"/>
                  <w:vAlign w:val="center"/>
                </w:tcPr>
                <w:p>
                  <w:pPr>
                    <w:pStyle w:val="70"/>
                    <w:rPr>
                      <w:rFonts w:hint="eastAsia" w:eastAsia="宋体"/>
                      <w:color w:val="auto"/>
                      <w:highlight w:val="none"/>
                      <w:lang w:val="en-US" w:eastAsia="zh-CN"/>
                    </w:rPr>
                  </w:pPr>
                </w:p>
              </w:tc>
              <w:tc>
                <w:tcPr>
                  <w:tcW w:w="2607"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生产废水及生活污水排放执行《污水综合排放标准》(GB8978-1996)表4中三级标准其中氨氮执行《污水排入城镇下水道水质标准》(GB/T31962-2015)表一中的B等级标准；颗粒物排放执行《大气污染物综合排放标准》(GB16297-1996)表2中二级及无组织排放监控浓度限值</w:t>
                  </w:r>
                  <w:r>
                    <w:rPr>
                      <w:rFonts w:hint="eastAsia"/>
                      <w:color w:val="auto"/>
                      <w:highlight w:val="none"/>
                      <w:lang w:val="en-US" w:eastAsia="zh-CN"/>
                    </w:rPr>
                    <w:t>；</w:t>
                  </w:r>
                  <w:r>
                    <w:rPr>
                      <w:rFonts w:hint="eastAsia" w:eastAsia="宋体"/>
                      <w:color w:val="auto"/>
                      <w:highlight w:val="none"/>
                      <w:lang w:val="en-US" w:eastAsia="zh-CN"/>
                    </w:rPr>
                    <w:t>厂界噪声排放执行《工业企业厂界环境噪声排放标准》(GB12348-2008)中3类标准，临漳湖路一侧执行4类标准。</w:t>
                  </w:r>
                </w:p>
              </w:tc>
              <w:tc>
                <w:tcPr>
                  <w:tcW w:w="4086"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根据监测结果，各项污染物均可达标排放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6" w:type="dxa"/>
                  <w:vMerge w:val="continue"/>
                  <w:noWrap w:val="0"/>
                  <w:vAlign w:val="center"/>
                </w:tcPr>
                <w:p>
                  <w:pPr>
                    <w:pStyle w:val="70"/>
                    <w:rPr>
                      <w:rFonts w:hint="eastAsia" w:eastAsia="宋体"/>
                      <w:color w:val="auto"/>
                      <w:highlight w:val="none"/>
                      <w:lang w:val="en-US" w:eastAsia="zh-CN"/>
                    </w:rPr>
                  </w:pPr>
                </w:p>
              </w:tc>
              <w:tc>
                <w:tcPr>
                  <w:tcW w:w="1012" w:type="dxa"/>
                  <w:vMerge w:val="continue"/>
                  <w:noWrap w:val="0"/>
                  <w:vAlign w:val="center"/>
                </w:tcPr>
                <w:p>
                  <w:pPr>
                    <w:pStyle w:val="70"/>
                    <w:rPr>
                      <w:rFonts w:hint="eastAsia" w:eastAsia="宋体"/>
                      <w:color w:val="auto"/>
                      <w:highlight w:val="none"/>
                      <w:lang w:val="en-US" w:eastAsia="zh-CN"/>
                    </w:rPr>
                  </w:pPr>
                </w:p>
              </w:tc>
              <w:tc>
                <w:tcPr>
                  <w:tcW w:w="2607"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该项目主要污染物允许排放量为</w:t>
                  </w:r>
                  <w:r>
                    <w:rPr>
                      <w:rFonts w:hint="eastAsia"/>
                      <w:color w:val="auto"/>
                      <w:highlight w:val="none"/>
                      <w:lang w:val="en-US" w:eastAsia="zh-CN"/>
                    </w:rPr>
                    <w:t>：</w:t>
                  </w:r>
                  <w:r>
                    <w:rPr>
                      <w:rFonts w:hint="eastAsia" w:eastAsia="宋体"/>
                      <w:color w:val="auto"/>
                      <w:highlight w:val="none"/>
                      <w:lang w:val="en-US" w:eastAsia="zh-CN"/>
                    </w:rPr>
                    <w:t>COD0.045t/a</w:t>
                  </w:r>
                </w:p>
              </w:tc>
              <w:tc>
                <w:tcPr>
                  <w:tcW w:w="4086"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新增少量纯水制备系统浓水，生产废水排放量约为30t/a，COD排放量约为0.0015t/a，项目已由海峡排污权中心获得0.045t/aCOD排污权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6" w:type="dxa"/>
                  <w:vMerge w:val="continue"/>
                  <w:noWrap w:val="0"/>
                  <w:vAlign w:val="center"/>
                </w:tcPr>
                <w:p>
                  <w:pPr>
                    <w:pStyle w:val="70"/>
                    <w:rPr>
                      <w:rFonts w:hint="eastAsia" w:eastAsia="宋体"/>
                      <w:color w:val="auto"/>
                      <w:highlight w:val="none"/>
                      <w:lang w:val="en-US" w:eastAsia="zh-CN"/>
                    </w:rPr>
                  </w:pPr>
                </w:p>
              </w:tc>
              <w:tc>
                <w:tcPr>
                  <w:tcW w:w="1012" w:type="dxa"/>
                  <w:vMerge w:val="continue"/>
                  <w:noWrap w:val="0"/>
                  <w:vAlign w:val="center"/>
                </w:tcPr>
                <w:p>
                  <w:pPr>
                    <w:pStyle w:val="70"/>
                    <w:rPr>
                      <w:rFonts w:hint="eastAsia" w:eastAsia="宋体"/>
                      <w:color w:val="auto"/>
                      <w:highlight w:val="none"/>
                      <w:lang w:val="en-US" w:eastAsia="zh-CN"/>
                    </w:rPr>
                  </w:pPr>
                </w:p>
              </w:tc>
              <w:tc>
                <w:tcPr>
                  <w:tcW w:w="2607"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该项目竣工后，应按要求做好项目竣工环保验收工作</w:t>
                  </w:r>
                </w:p>
              </w:tc>
              <w:tc>
                <w:tcPr>
                  <w:tcW w:w="4086" w:type="dxa"/>
                  <w:noWrap w:val="0"/>
                  <w:vAlign w:val="center"/>
                </w:tcPr>
                <w:p>
                  <w:pPr>
                    <w:pStyle w:val="70"/>
                    <w:rPr>
                      <w:rFonts w:hint="default" w:eastAsia="宋体"/>
                      <w:color w:val="auto"/>
                      <w:highlight w:val="none"/>
                      <w:lang w:val="en-US" w:eastAsia="zh-CN"/>
                    </w:rPr>
                  </w:pPr>
                  <w:r>
                    <w:rPr>
                      <w:rFonts w:hint="eastAsia" w:eastAsia="宋体"/>
                      <w:color w:val="auto"/>
                      <w:highlight w:val="none"/>
                      <w:lang w:val="en-US" w:eastAsia="zh-CN"/>
                    </w:rPr>
                    <w:t>按要求实施</w:t>
                  </w:r>
                </w:p>
              </w:tc>
            </w:tr>
          </w:tbl>
          <w:p>
            <w:pPr>
              <w:pStyle w:val="72"/>
              <w:ind w:firstLine="480"/>
              <w:rPr>
                <w:rFonts w:hint="eastAsia"/>
                <w:color w:val="auto"/>
                <w:highlight w:val="none"/>
              </w:rPr>
            </w:pPr>
            <w:r>
              <w:rPr>
                <w:rFonts w:hint="eastAsia"/>
                <w:color w:val="auto"/>
                <w:highlight w:val="none"/>
              </w:rPr>
              <w:t>由表</w:t>
            </w:r>
            <w:r>
              <w:rPr>
                <w:rFonts w:hint="eastAsia"/>
                <w:color w:val="auto"/>
                <w:highlight w:val="none"/>
                <w:lang w:val="en-US" w:eastAsia="zh-CN"/>
              </w:rPr>
              <w:t>2.5.7、表2.5.8</w:t>
            </w:r>
            <w:r>
              <w:rPr>
                <w:rFonts w:hint="eastAsia"/>
                <w:color w:val="auto"/>
                <w:highlight w:val="none"/>
              </w:rPr>
              <w:t>可知，平</w:t>
            </w:r>
            <w:r>
              <w:rPr>
                <w:rFonts w:hint="eastAsia"/>
                <w:color w:val="auto"/>
                <w:highlight w:val="none"/>
                <w:lang w:val="en-US" w:eastAsia="zh-CN"/>
              </w:rPr>
              <w:t>板</w:t>
            </w:r>
            <w:r>
              <w:rPr>
                <w:rFonts w:hint="eastAsia"/>
                <w:color w:val="auto"/>
                <w:highlight w:val="none"/>
              </w:rPr>
              <w:t>显示溅射靶材建设项目</w:t>
            </w:r>
            <w:r>
              <w:rPr>
                <w:rFonts w:hint="eastAsia"/>
                <w:color w:val="auto"/>
                <w:highlight w:val="none"/>
                <w:lang w:eastAsia="zh-CN"/>
              </w:rPr>
              <w:t>、</w:t>
            </w:r>
            <w:r>
              <w:rPr>
                <w:rFonts w:hint="eastAsia"/>
                <w:color w:val="auto"/>
                <w:highlight w:val="none"/>
                <w:lang w:val="en-US" w:eastAsia="zh-CN"/>
              </w:rPr>
              <w:t>高清铜靶材建设项目严格落实环保“三同时”及环评批复</w:t>
            </w:r>
            <w:r>
              <w:rPr>
                <w:rFonts w:hint="eastAsia"/>
                <w:color w:val="auto"/>
                <w:highlight w:val="none"/>
              </w:rPr>
              <w:t>要求。</w:t>
            </w:r>
          </w:p>
          <w:p>
            <w:pPr>
              <w:pStyle w:val="64"/>
              <w:numPr>
                <w:ilvl w:val="2"/>
                <w:numId w:val="0"/>
              </w:numPr>
              <w:tabs>
                <w:tab w:val="clear" w:pos="2160"/>
              </w:tabs>
              <w:rPr>
                <w:color w:val="auto"/>
                <w:highlight w:val="none"/>
              </w:rPr>
            </w:pPr>
            <w:r>
              <w:rPr>
                <w:rFonts w:hint="eastAsia"/>
                <w:color w:val="auto"/>
                <w:highlight w:val="none"/>
              </w:rPr>
              <w:t>2.</w:t>
            </w:r>
            <w:r>
              <w:rPr>
                <w:rFonts w:hint="eastAsia"/>
                <w:color w:val="auto"/>
                <w:highlight w:val="none"/>
                <w:lang w:val="en-US" w:eastAsia="zh-CN"/>
              </w:rPr>
              <w:t>6</w:t>
            </w:r>
            <w:r>
              <w:rPr>
                <w:rFonts w:hint="eastAsia"/>
                <w:color w:val="auto"/>
                <w:highlight w:val="none"/>
              </w:rPr>
              <w:t>现有工程存在的主要问题及拟采取措施</w:t>
            </w:r>
          </w:p>
          <w:p>
            <w:pPr>
              <w:pStyle w:val="72"/>
              <w:numPr>
                <w:ilvl w:val="0"/>
                <w:numId w:val="9"/>
              </w:numPr>
              <w:ind w:firstLine="480"/>
              <w:rPr>
                <w:rFonts w:hint="eastAsia"/>
                <w:color w:val="auto"/>
                <w:highlight w:val="none"/>
                <w:lang w:val="en-US" w:eastAsia="zh-CN"/>
              </w:rPr>
            </w:pPr>
            <w:r>
              <w:rPr>
                <w:rFonts w:hint="eastAsia"/>
                <w:color w:val="auto"/>
                <w:highlight w:val="none"/>
                <w:lang w:val="en-US" w:eastAsia="zh-CN"/>
              </w:rPr>
              <w:t>现有工程废气处理效率偏低，企业应加强设备管理和维护，及时更换滤筒，定期清理喷淋塔循环水池底泥；</w:t>
            </w:r>
          </w:p>
          <w:p>
            <w:pPr>
              <w:pStyle w:val="72"/>
              <w:numPr>
                <w:ilvl w:val="0"/>
                <w:numId w:val="9"/>
              </w:numPr>
              <w:ind w:firstLine="480"/>
              <w:rPr>
                <w:rFonts w:hint="eastAsia"/>
                <w:color w:val="auto"/>
                <w:highlight w:val="none"/>
                <w:lang w:val="en-US" w:eastAsia="zh-CN"/>
              </w:rPr>
            </w:pPr>
            <w:r>
              <w:rPr>
                <w:rFonts w:hint="eastAsia"/>
                <w:color w:val="auto"/>
                <w:highlight w:val="none"/>
                <w:lang w:val="en-US" w:eastAsia="zh-CN"/>
              </w:rPr>
              <w:t>旋转靶材抛光工序配套2套湿法除尘设施，其中1套采取水喷淋除尘，尾气经25m高排气筒排放；另1套采取水浴除尘，未配套排气筒，建议该套设施进行改造，采取水喷淋或滤筒除尘，规范化排污口建设。</w:t>
            </w:r>
          </w:p>
          <w:p>
            <w:pPr>
              <w:pStyle w:val="72"/>
              <w:numPr>
                <w:ilvl w:val="0"/>
                <w:numId w:val="9"/>
              </w:numPr>
              <w:ind w:firstLine="480"/>
              <w:rPr>
                <w:rFonts w:hint="default"/>
                <w:color w:val="auto"/>
                <w:highlight w:val="none"/>
                <w:lang w:val="en-US" w:eastAsia="zh-CN"/>
              </w:rPr>
            </w:pPr>
            <w:r>
              <w:rPr>
                <w:rFonts w:hint="eastAsia"/>
                <w:color w:val="auto"/>
                <w:highlight w:val="none"/>
                <w:lang w:val="en-US" w:eastAsia="zh-CN"/>
              </w:rPr>
              <w:t>加强废气排污口标志牌建设。</w:t>
            </w:r>
          </w:p>
          <w:p>
            <w:pPr>
              <w:pStyle w:val="72"/>
              <w:numPr>
                <w:ilvl w:val="0"/>
                <w:numId w:val="9"/>
              </w:numPr>
              <w:ind w:firstLine="480"/>
              <w:rPr>
                <w:rFonts w:hint="default"/>
                <w:color w:val="auto"/>
                <w:highlight w:val="none"/>
                <w:lang w:val="en-US" w:eastAsia="zh-CN"/>
              </w:rPr>
            </w:pPr>
            <w:r>
              <w:rPr>
                <w:rFonts w:hint="eastAsia"/>
                <w:color w:val="auto"/>
                <w:highlight w:val="none"/>
                <w:lang w:val="en-US" w:eastAsia="zh-CN"/>
              </w:rPr>
              <w:t>完善一般工业固废管理台账。</w:t>
            </w:r>
          </w:p>
          <w:p>
            <w:pPr>
              <w:pStyle w:val="72"/>
              <w:numPr>
                <w:ilvl w:val="0"/>
                <w:numId w:val="9"/>
              </w:numPr>
              <w:ind w:firstLine="480"/>
              <w:rPr>
                <w:rFonts w:hint="default"/>
                <w:color w:val="auto"/>
                <w:highlight w:val="none"/>
                <w:lang w:val="en-US" w:eastAsia="zh-CN"/>
              </w:rPr>
            </w:pPr>
            <w:r>
              <w:rPr>
                <w:rFonts w:hint="eastAsia"/>
                <w:color w:val="auto"/>
                <w:highlight w:val="none"/>
                <w:lang w:val="en-US" w:eastAsia="zh-CN"/>
              </w:rPr>
              <w:t>加强应急设施建设及应急环境管理。</w:t>
            </w:r>
          </w:p>
          <w:p>
            <w:pPr>
              <w:pStyle w:val="64"/>
              <w:numPr>
                <w:ilvl w:val="2"/>
                <w:numId w:val="0"/>
              </w:numPr>
              <w:tabs>
                <w:tab w:val="clear" w:pos="2160"/>
              </w:tabs>
              <w:rPr>
                <w:rFonts w:hint="eastAsia" w:eastAsia="黑体"/>
                <w:color w:val="auto"/>
                <w:highlight w:val="none"/>
                <w:lang w:val="en-US" w:eastAsia="zh-CN"/>
              </w:rPr>
            </w:pPr>
            <w:r>
              <w:rPr>
                <w:rFonts w:hint="eastAsia"/>
                <w:color w:val="auto"/>
                <w:highlight w:val="none"/>
              </w:rPr>
              <w:t>2.</w:t>
            </w:r>
            <w:r>
              <w:rPr>
                <w:rFonts w:hint="eastAsia"/>
                <w:color w:val="auto"/>
                <w:highlight w:val="none"/>
                <w:lang w:val="en-US" w:eastAsia="zh-CN"/>
              </w:rPr>
              <w:t>7</w:t>
            </w:r>
            <w:r>
              <w:rPr>
                <w:rFonts w:hint="eastAsia"/>
                <w:color w:val="auto"/>
                <w:highlight w:val="none"/>
              </w:rPr>
              <w:t>现有工程污染物排放量</w:t>
            </w:r>
          </w:p>
          <w:p>
            <w:pPr>
              <w:pStyle w:val="72"/>
              <w:ind w:firstLine="480"/>
              <w:rPr>
                <w:rFonts w:hint="eastAsia"/>
                <w:color w:val="auto"/>
                <w:highlight w:val="none"/>
                <w:lang w:val="en-US" w:eastAsia="zh-CN"/>
              </w:rPr>
            </w:pPr>
            <w:r>
              <w:rPr>
                <w:rFonts w:hint="eastAsia"/>
                <w:color w:val="auto"/>
                <w:highlight w:val="none"/>
                <w:lang w:val="en-US" w:eastAsia="zh-CN"/>
              </w:rPr>
              <w:t>（1）废气</w:t>
            </w:r>
          </w:p>
          <w:p>
            <w:pPr>
              <w:pStyle w:val="72"/>
              <w:ind w:firstLine="480"/>
              <w:rPr>
                <w:rFonts w:hint="eastAsia"/>
                <w:color w:val="auto"/>
                <w:highlight w:val="none"/>
                <w:lang w:val="en-US" w:eastAsia="zh-CN"/>
              </w:rPr>
            </w:pPr>
            <w:r>
              <w:rPr>
                <w:rFonts w:hint="eastAsia"/>
                <w:color w:val="auto"/>
                <w:highlight w:val="none"/>
                <w:lang w:val="en-US" w:eastAsia="zh-CN"/>
              </w:rPr>
              <w:t>现有工程废气排放情况见表2.6.1。</w:t>
            </w:r>
          </w:p>
          <w:p>
            <w:pPr>
              <w:pStyle w:val="68"/>
              <w:bidi w:val="0"/>
              <w:rPr>
                <w:rFonts w:hint="default"/>
                <w:color w:val="auto"/>
                <w:highlight w:val="none"/>
                <w:lang w:val="en-US" w:eastAsia="zh-CN"/>
              </w:rPr>
            </w:pPr>
            <w:r>
              <w:rPr>
                <w:rFonts w:hint="eastAsia"/>
                <w:color w:val="auto"/>
                <w:highlight w:val="none"/>
                <w:lang w:val="en-US" w:eastAsia="zh-CN"/>
              </w:rPr>
              <w:t>表2.6.1现有工程废气排放量（单位：t/a）</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9"/>
              <w:gridCol w:w="1685"/>
              <w:gridCol w:w="1777"/>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3359" w:type="dxa"/>
                  <w:vMerge w:val="restart"/>
                  <w:vAlign w:val="center"/>
                </w:tcPr>
                <w:p>
                  <w:pPr>
                    <w:pStyle w:val="70"/>
                    <w:bidi w:val="0"/>
                    <w:jc w:val="center"/>
                    <w:rPr>
                      <w:rFonts w:hint="default"/>
                      <w:color w:val="auto"/>
                      <w:highlight w:val="none"/>
                      <w:lang w:val="en-US" w:eastAsia="zh-CN"/>
                    </w:rPr>
                  </w:pPr>
                  <w:r>
                    <w:rPr>
                      <w:rFonts w:hint="eastAsia"/>
                      <w:color w:val="auto"/>
                      <w:highlight w:val="none"/>
                      <w:lang w:val="en-US" w:eastAsia="zh-CN"/>
                    </w:rPr>
                    <w:t>污染物名称</w:t>
                  </w:r>
                </w:p>
              </w:tc>
              <w:tc>
                <w:tcPr>
                  <w:tcW w:w="3462" w:type="dxa"/>
                  <w:gridSpan w:val="2"/>
                  <w:vAlign w:val="center"/>
                </w:tcPr>
                <w:p>
                  <w:pPr>
                    <w:pStyle w:val="70"/>
                    <w:bidi w:val="0"/>
                    <w:jc w:val="center"/>
                    <w:rPr>
                      <w:rFonts w:hint="eastAsia" w:eastAsia="宋体"/>
                      <w:color w:val="auto"/>
                      <w:highlight w:val="none"/>
                      <w:lang w:val="en-US" w:eastAsia="zh-CN"/>
                    </w:rPr>
                  </w:pPr>
                </w:p>
              </w:tc>
              <w:tc>
                <w:tcPr>
                  <w:tcW w:w="1491" w:type="dxa"/>
                  <w:vMerge w:val="restart"/>
                  <w:vAlign w:val="center"/>
                </w:tcPr>
                <w:p>
                  <w:pPr>
                    <w:pStyle w:val="70"/>
                    <w:bidi w:val="0"/>
                    <w:jc w:val="center"/>
                    <w:rPr>
                      <w:rFonts w:hint="default" w:eastAsia="宋体"/>
                      <w:color w:val="auto"/>
                      <w:highlight w:val="none"/>
                      <w:lang w:val="en-US" w:eastAsia="zh-CN"/>
                    </w:rPr>
                  </w:pPr>
                  <w:r>
                    <w:rPr>
                      <w:rFonts w:hint="eastAsia"/>
                      <w:color w:val="auto"/>
                      <w:highlight w:val="none"/>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359" w:type="dxa"/>
                  <w:vMerge w:val="continue"/>
                  <w:vAlign w:val="center"/>
                </w:tcPr>
                <w:p>
                  <w:pPr>
                    <w:pStyle w:val="70"/>
                    <w:bidi w:val="0"/>
                    <w:jc w:val="center"/>
                    <w:rPr>
                      <w:rFonts w:hint="eastAsia"/>
                      <w:color w:val="auto"/>
                      <w:highlight w:val="none"/>
                      <w:lang w:val="en-US" w:eastAsia="zh-CN"/>
                    </w:rPr>
                  </w:pPr>
                </w:p>
              </w:tc>
              <w:tc>
                <w:tcPr>
                  <w:tcW w:w="1685" w:type="dxa"/>
                  <w:tcBorders>
                    <w:right w:val="single" w:color="000000" w:sz="6" w:space="0"/>
                  </w:tcBorders>
                  <w:vAlign w:val="center"/>
                </w:tcPr>
                <w:p>
                  <w:pPr>
                    <w:pStyle w:val="70"/>
                    <w:bidi w:val="0"/>
                    <w:jc w:val="center"/>
                    <w:rPr>
                      <w:rFonts w:hint="default"/>
                      <w:color w:val="auto"/>
                      <w:highlight w:val="none"/>
                      <w:lang w:val="en-US" w:eastAsia="zh-CN"/>
                    </w:rPr>
                  </w:pPr>
                  <w:r>
                    <w:rPr>
                      <w:rFonts w:hint="eastAsia"/>
                      <w:color w:val="auto"/>
                      <w:highlight w:val="none"/>
                      <w:lang w:val="en-US" w:eastAsia="zh-CN"/>
                    </w:rPr>
                    <w:t>已建工程</w:t>
                  </w:r>
                </w:p>
              </w:tc>
              <w:tc>
                <w:tcPr>
                  <w:tcW w:w="1777" w:type="dxa"/>
                  <w:tcBorders>
                    <w:left w:val="single" w:color="000000" w:sz="6" w:space="0"/>
                  </w:tcBorders>
                  <w:vAlign w:val="center"/>
                </w:tcPr>
                <w:p>
                  <w:pPr>
                    <w:pStyle w:val="70"/>
                    <w:bidi w:val="0"/>
                    <w:jc w:val="center"/>
                    <w:rPr>
                      <w:rFonts w:hint="default"/>
                      <w:color w:val="auto"/>
                      <w:highlight w:val="none"/>
                      <w:lang w:val="en-US" w:eastAsia="zh-CN"/>
                    </w:rPr>
                  </w:pPr>
                  <w:r>
                    <w:rPr>
                      <w:rFonts w:hint="eastAsia"/>
                      <w:color w:val="auto"/>
                      <w:highlight w:val="none"/>
                      <w:lang w:val="en-US" w:eastAsia="zh-CN"/>
                    </w:rPr>
                    <w:t>在建、拟建工程</w:t>
                  </w:r>
                </w:p>
              </w:tc>
              <w:tc>
                <w:tcPr>
                  <w:tcW w:w="1491" w:type="dxa"/>
                  <w:vMerge w:val="continue"/>
                  <w:vAlign w:val="center"/>
                </w:tcPr>
                <w:p>
                  <w:pPr>
                    <w:pStyle w:val="70"/>
                    <w:bidi w:val="0"/>
                    <w:jc w:val="center"/>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359" w:type="dxa"/>
                  <w:vAlign w:val="center"/>
                </w:tcPr>
                <w:p>
                  <w:pPr>
                    <w:pStyle w:val="70"/>
                    <w:bidi w:val="0"/>
                    <w:jc w:val="center"/>
                    <w:rPr>
                      <w:rFonts w:hint="default"/>
                      <w:color w:val="auto"/>
                      <w:highlight w:val="none"/>
                      <w:lang w:val="en-US" w:eastAsia="zh-CN"/>
                    </w:rPr>
                  </w:pPr>
                  <w:r>
                    <w:rPr>
                      <w:rFonts w:hint="eastAsia"/>
                      <w:color w:val="auto"/>
                      <w:highlight w:val="none"/>
                      <w:lang w:val="en-US" w:eastAsia="zh-CN"/>
                    </w:rPr>
                    <w:t>颗粒物</w:t>
                  </w:r>
                </w:p>
              </w:tc>
              <w:tc>
                <w:tcPr>
                  <w:tcW w:w="1685" w:type="dxa"/>
                  <w:tcBorders>
                    <w:right w:val="single" w:color="000000" w:sz="6" w:space="0"/>
                  </w:tcBorders>
                  <w:vAlign w:val="center"/>
                </w:tcPr>
                <w:p>
                  <w:pPr>
                    <w:pStyle w:val="70"/>
                    <w:bidi w:val="0"/>
                    <w:jc w:val="center"/>
                    <w:rPr>
                      <w:rFonts w:hint="default"/>
                      <w:color w:val="auto"/>
                      <w:highlight w:val="none"/>
                      <w:lang w:val="en-US" w:eastAsia="zh-CN"/>
                    </w:rPr>
                  </w:pPr>
                  <w:r>
                    <w:rPr>
                      <w:rFonts w:hint="eastAsia"/>
                      <w:color w:val="auto"/>
                      <w:highlight w:val="none"/>
                      <w:lang w:val="en-US" w:eastAsia="zh-CN"/>
                    </w:rPr>
                    <w:t>1.217</w:t>
                  </w:r>
                </w:p>
              </w:tc>
              <w:tc>
                <w:tcPr>
                  <w:tcW w:w="1777" w:type="dxa"/>
                  <w:tcBorders>
                    <w:left w:val="single" w:color="000000" w:sz="6" w:space="0"/>
                  </w:tcBorders>
                  <w:vAlign w:val="center"/>
                </w:tcPr>
                <w:p>
                  <w:pPr>
                    <w:pStyle w:val="70"/>
                    <w:bidi w:val="0"/>
                    <w:jc w:val="center"/>
                    <w:rPr>
                      <w:rFonts w:hint="default"/>
                      <w:color w:val="auto"/>
                      <w:highlight w:val="none"/>
                      <w:lang w:val="en-US" w:eastAsia="zh-CN"/>
                    </w:rPr>
                  </w:pPr>
                  <w:r>
                    <w:rPr>
                      <w:rFonts w:hint="eastAsia"/>
                      <w:color w:val="auto"/>
                      <w:highlight w:val="none"/>
                      <w:lang w:val="en-US" w:eastAsia="zh-CN"/>
                    </w:rPr>
                    <w:t>1.2104</w:t>
                  </w:r>
                </w:p>
              </w:tc>
              <w:tc>
                <w:tcPr>
                  <w:tcW w:w="1491" w:type="dxa"/>
                  <w:vAlign w:val="center"/>
                </w:tcPr>
                <w:p>
                  <w:pPr>
                    <w:pStyle w:val="70"/>
                    <w:bidi w:val="0"/>
                    <w:jc w:val="center"/>
                    <w:rPr>
                      <w:rFonts w:hint="default"/>
                      <w:color w:val="auto"/>
                      <w:highlight w:val="none"/>
                      <w:lang w:val="en-US" w:eastAsia="zh-CN"/>
                    </w:rPr>
                  </w:pPr>
                  <w:r>
                    <w:rPr>
                      <w:rFonts w:hint="eastAsia"/>
                      <w:color w:val="auto"/>
                      <w:highlight w:val="none"/>
                      <w:lang w:val="en-US" w:eastAsia="zh-CN"/>
                    </w:rPr>
                    <w:t>2.4274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359" w:type="dxa"/>
                  <w:shd w:val="clear" w:color="auto" w:fill="auto"/>
                  <w:vAlign w:val="center"/>
                </w:tcPr>
                <w:p>
                  <w:pPr>
                    <w:pStyle w:val="70"/>
                    <w:bidi w:val="0"/>
                    <w:jc w:val="center"/>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VOCs</w:t>
                  </w:r>
                </w:p>
              </w:tc>
              <w:tc>
                <w:tcPr>
                  <w:tcW w:w="1685" w:type="dxa"/>
                  <w:tcBorders>
                    <w:right w:val="single" w:color="000000" w:sz="6" w:space="0"/>
                  </w:tcBorders>
                  <w:vAlign w:val="center"/>
                </w:tcPr>
                <w:p>
                  <w:pPr>
                    <w:pStyle w:val="70"/>
                    <w:bidi w:val="0"/>
                    <w:jc w:val="center"/>
                    <w:rPr>
                      <w:rFonts w:hint="eastAsia"/>
                      <w:color w:val="auto"/>
                      <w:highlight w:val="none"/>
                      <w:lang w:val="en-US" w:eastAsia="zh-CN"/>
                    </w:rPr>
                  </w:pPr>
                  <w:r>
                    <w:rPr>
                      <w:rFonts w:hint="eastAsia"/>
                      <w:color w:val="auto"/>
                      <w:highlight w:val="none"/>
                      <w:lang w:val="en-US" w:eastAsia="zh-CN"/>
                    </w:rPr>
                    <w:t>/</w:t>
                  </w:r>
                </w:p>
              </w:tc>
              <w:tc>
                <w:tcPr>
                  <w:tcW w:w="1777" w:type="dxa"/>
                  <w:tcBorders>
                    <w:left w:val="single" w:color="000000" w:sz="6" w:space="0"/>
                  </w:tcBorders>
                  <w:vAlign w:val="center"/>
                </w:tcPr>
                <w:p>
                  <w:pPr>
                    <w:pStyle w:val="70"/>
                    <w:bidi w:val="0"/>
                    <w:jc w:val="center"/>
                    <w:rPr>
                      <w:rFonts w:hint="eastAsia"/>
                      <w:color w:val="auto"/>
                      <w:highlight w:val="none"/>
                      <w:lang w:val="en-US" w:eastAsia="zh-CN"/>
                    </w:rPr>
                  </w:pPr>
                  <w:r>
                    <w:rPr>
                      <w:rFonts w:hint="eastAsia"/>
                      <w:color w:val="auto"/>
                      <w:highlight w:val="none"/>
                      <w:lang w:val="en-US" w:eastAsia="zh-CN"/>
                    </w:rPr>
                    <w:t>0.896</w:t>
                  </w:r>
                </w:p>
              </w:tc>
              <w:tc>
                <w:tcPr>
                  <w:tcW w:w="1491" w:type="dxa"/>
                  <w:vAlign w:val="center"/>
                </w:tcPr>
                <w:p>
                  <w:pPr>
                    <w:pStyle w:val="70"/>
                    <w:bidi w:val="0"/>
                    <w:jc w:val="center"/>
                    <w:rPr>
                      <w:rFonts w:hint="default"/>
                      <w:color w:val="auto"/>
                      <w:highlight w:val="none"/>
                      <w:lang w:val="en-US" w:eastAsia="zh-CN"/>
                    </w:rPr>
                  </w:pPr>
                  <w:r>
                    <w:rPr>
                      <w:rFonts w:hint="eastAsia"/>
                      <w:color w:val="auto"/>
                      <w:highlight w:val="none"/>
                      <w:lang w:val="en-US" w:eastAsia="zh-CN"/>
                    </w:rPr>
                    <w:t>0.896</w:t>
                  </w:r>
                </w:p>
              </w:tc>
            </w:tr>
          </w:tbl>
          <w:p>
            <w:pPr>
              <w:pStyle w:val="72"/>
              <w:bidi w:val="0"/>
              <w:rPr>
                <w:rFonts w:hint="default"/>
                <w:color w:val="auto"/>
                <w:highlight w:val="none"/>
                <w:lang w:val="en-US" w:eastAsia="zh-CN"/>
              </w:rPr>
            </w:pPr>
            <w:r>
              <w:rPr>
                <w:rFonts w:hint="eastAsia"/>
                <w:color w:val="auto"/>
                <w:highlight w:val="none"/>
                <w:lang w:val="en-US" w:eastAsia="zh-CN"/>
              </w:rPr>
              <w:t>备注：已建工程按2025年度自行监测数据核算，在建、拟建工程参考环评计算结果。</w:t>
            </w:r>
          </w:p>
          <w:p>
            <w:pPr>
              <w:pStyle w:val="72"/>
              <w:bidi w:val="0"/>
              <w:rPr>
                <w:rFonts w:hint="eastAsia"/>
                <w:color w:val="auto"/>
                <w:highlight w:val="none"/>
                <w:lang w:val="en-US" w:eastAsia="zh-CN"/>
              </w:rPr>
            </w:pPr>
            <w:r>
              <w:rPr>
                <w:rFonts w:hint="eastAsia"/>
                <w:color w:val="auto"/>
                <w:highlight w:val="none"/>
                <w:lang w:val="en-US" w:eastAsia="zh-CN"/>
              </w:rPr>
              <w:t>（2）废水</w:t>
            </w:r>
          </w:p>
          <w:p>
            <w:pPr>
              <w:pStyle w:val="72"/>
              <w:bidi w:val="0"/>
              <w:rPr>
                <w:rFonts w:hint="eastAsia"/>
                <w:color w:val="auto"/>
                <w:highlight w:val="none"/>
              </w:rPr>
            </w:pPr>
            <w:r>
              <w:rPr>
                <w:rFonts w:hint="eastAsia"/>
                <w:color w:val="auto"/>
                <w:highlight w:val="none"/>
                <w:lang w:val="en-US" w:eastAsia="zh-CN"/>
              </w:rPr>
              <w:t>根据平板显示溅射靶材建设项目环保竣工验收报告，项目生产废水排放量为1440t/a，生活污水排放量约为2400t/a；根据项目环评，</w:t>
            </w:r>
            <w:r>
              <w:rPr>
                <w:rFonts w:hint="eastAsia"/>
                <w:color w:val="auto"/>
                <w:highlight w:val="none"/>
              </w:rPr>
              <w:t>超高清显示用铜靶材产业化建设项目</w:t>
            </w:r>
            <w:r>
              <w:rPr>
                <w:rFonts w:hint="eastAsia"/>
                <w:color w:val="auto"/>
                <w:highlight w:val="none"/>
                <w:lang w:val="en-US" w:eastAsia="zh-CN"/>
              </w:rPr>
              <w:t>达产后生产废水排放量为900t/a，生活污水排放量为1800t/a；</w:t>
            </w:r>
            <w:r>
              <w:rPr>
                <w:rFonts w:hint="eastAsia"/>
                <w:color w:val="auto"/>
                <w:highlight w:val="none"/>
              </w:rPr>
              <w:t>半导体用金属及合金靶材研发及产业化建设项目</w:t>
            </w:r>
            <w:r>
              <w:rPr>
                <w:rFonts w:hint="eastAsia"/>
                <w:color w:val="auto"/>
                <w:highlight w:val="none"/>
                <w:lang w:val="en-US" w:eastAsia="zh-CN"/>
              </w:rPr>
              <w:t>生产废水排放量为247.68t/a，生活污水排放量为540t/a</w:t>
            </w:r>
            <w:r>
              <w:rPr>
                <w:rFonts w:hint="eastAsia"/>
                <w:color w:val="auto"/>
                <w:highlight w:val="none"/>
                <w:lang w:eastAsia="zh-CN"/>
              </w:rPr>
              <w:t>，</w:t>
            </w:r>
            <w:r>
              <w:rPr>
                <w:rFonts w:hint="eastAsia" w:eastAsia="宋体"/>
                <w:color w:val="auto"/>
                <w:highlight w:val="none"/>
              </w:rPr>
              <w:t>年产500吨电子材料绿色生产与回收</w:t>
            </w:r>
            <w:r>
              <w:rPr>
                <w:rFonts w:hint="eastAsia" w:eastAsia="宋体"/>
                <w:color w:val="auto"/>
                <w:highlight w:val="none"/>
                <w:lang w:val="en-US" w:eastAsia="zh-CN"/>
              </w:rPr>
              <w:t>项目不产生生产废水，生活污水排放量为1080t/a。考虑到验收和自行监测时水质变化较大，但企业排放口水质均能达到排放标准要求，因此，评价计算现有工程污染物排放量时按照间排放标准限值来计算，生活污水取《污水综合排放标准》</w:t>
            </w:r>
            <w:r>
              <w:rPr>
                <w:rFonts w:hint="default" w:eastAsia="宋体"/>
                <w:color w:val="auto"/>
                <w:highlight w:val="none"/>
                <w:lang w:val="en-US" w:eastAsia="zh-CN"/>
              </w:rPr>
              <w:t>(GB8978-1996)</w:t>
            </w:r>
            <w:r>
              <w:rPr>
                <w:rFonts w:hint="eastAsia" w:eastAsia="宋体"/>
                <w:color w:val="auto"/>
                <w:highlight w:val="none"/>
                <w:lang w:val="en-US" w:eastAsia="zh-CN"/>
              </w:rPr>
              <w:t xml:space="preserve">表 </w:t>
            </w:r>
            <w:r>
              <w:rPr>
                <w:rFonts w:hint="default" w:eastAsia="宋体"/>
                <w:color w:val="auto"/>
                <w:highlight w:val="none"/>
                <w:lang w:val="en-US" w:eastAsia="zh-CN"/>
              </w:rPr>
              <w:t xml:space="preserve">4 </w:t>
            </w:r>
            <w:r>
              <w:rPr>
                <w:rFonts w:hint="eastAsia" w:eastAsia="宋体"/>
                <w:color w:val="auto"/>
                <w:highlight w:val="none"/>
                <w:lang w:val="en-US" w:eastAsia="zh-CN"/>
              </w:rPr>
              <w:t>三级标准和《污水排入城镇下水道水质标准》</w:t>
            </w:r>
            <w:r>
              <w:rPr>
                <w:rFonts w:hint="default" w:eastAsia="宋体"/>
                <w:color w:val="auto"/>
                <w:highlight w:val="none"/>
                <w:lang w:val="en-US" w:eastAsia="zh-CN"/>
              </w:rPr>
              <w:t>(GB/T 31962-2015)</w:t>
            </w:r>
            <w:r>
              <w:rPr>
                <w:rFonts w:hint="eastAsia" w:eastAsia="宋体"/>
                <w:color w:val="auto"/>
                <w:highlight w:val="none"/>
                <w:lang w:val="en-US" w:eastAsia="zh-CN"/>
              </w:rPr>
              <w:t xml:space="preserve">表 </w:t>
            </w:r>
            <w:r>
              <w:rPr>
                <w:rFonts w:hint="default" w:eastAsia="宋体"/>
                <w:color w:val="auto"/>
                <w:highlight w:val="none"/>
                <w:lang w:val="en-US" w:eastAsia="zh-CN"/>
              </w:rPr>
              <w:t xml:space="preserve">1B </w:t>
            </w:r>
            <w:r>
              <w:rPr>
                <w:rFonts w:hint="eastAsia" w:eastAsia="宋体"/>
                <w:color w:val="auto"/>
                <w:highlight w:val="none"/>
                <w:lang w:val="en-US" w:eastAsia="zh-CN"/>
              </w:rPr>
              <w:t>等级标准，即COD500mg/L，氨氮45mg/L，生产废水按照《电子工业水污染物排放标准》（</w:t>
            </w:r>
            <w:r>
              <w:rPr>
                <w:rFonts w:hint="default" w:eastAsia="宋体"/>
                <w:color w:val="auto"/>
                <w:highlight w:val="none"/>
                <w:lang w:val="en-US" w:eastAsia="zh-CN"/>
              </w:rPr>
              <w:t>GB 39731-2020</w:t>
            </w:r>
            <w:r>
              <w:rPr>
                <w:rFonts w:hint="eastAsia" w:eastAsia="宋体"/>
                <w:color w:val="auto"/>
                <w:highlight w:val="none"/>
                <w:lang w:val="en-US" w:eastAsia="zh-CN"/>
              </w:rPr>
              <w:t>）表1间接排放标准，即COD500mg/L，石油类20mg/L。</w:t>
            </w:r>
            <w:r>
              <w:rPr>
                <w:rFonts w:hint="eastAsia"/>
                <w:color w:val="auto"/>
                <w:highlight w:val="none"/>
                <w:lang w:val="en-US" w:eastAsia="zh-CN"/>
              </w:rPr>
              <w:t>现有工程生产废水排放情况</w:t>
            </w:r>
            <w:r>
              <w:rPr>
                <w:rFonts w:hint="eastAsia"/>
                <w:color w:val="auto"/>
                <w:highlight w:val="none"/>
              </w:rPr>
              <w:t>见表2.6.</w:t>
            </w:r>
            <w:r>
              <w:rPr>
                <w:rFonts w:hint="eastAsia"/>
                <w:color w:val="auto"/>
                <w:highlight w:val="none"/>
                <w:lang w:val="en-US" w:eastAsia="zh-CN"/>
              </w:rPr>
              <w:t>3</w:t>
            </w:r>
            <w:r>
              <w:rPr>
                <w:rFonts w:hint="eastAsia"/>
                <w:color w:val="auto"/>
                <w:highlight w:val="none"/>
              </w:rPr>
              <w:t>。</w:t>
            </w:r>
          </w:p>
          <w:p>
            <w:pPr>
              <w:pStyle w:val="68"/>
              <w:bidi w:val="0"/>
              <w:rPr>
                <w:rFonts w:hint="eastAsia"/>
                <w:color w:val="auto"/>
                <w:highlight w:val="none"/>
                <w:lang w:val="en-US" w:eastAsia="zh-CN"/>
              </w:rPr>
            </w:pPr>
          </w:p>
          <w:p>
            <w:pPr>
              <w:pStyle w:val="68"/>
              <w:bidi w:val="0"/>
              <w:rPr>
                <w:rFonts w:hint="eastAsia"/>
                <w:color w:val="auto"/>
                <w:highlight w:val="none"/>
                <w:lang w:val="en-US" w:eastAsia="zh-CN"/>
              </w:rPr>
            </w:pPr>
          </w:p>
          <w:p>
            <w:pPr>
              <w:pStyle w:val="68"/>
              <w:bidi w:val="0"/>
              <w:rPr>
                <w:rFonts w:hint="eastAsia"/>
                <w:color w:val="auto"/>
                <w:highlight w:val="none"/>
                <w:lang w:val="en-US" w:eastAsia="zh-CN"/>
              </w:rPr>
            </w:pPr>
          </w:p>
          <w:p>
            <w:pPr>
              <w:pStyle w:val="68"/>
              <w:bidi w:val="0"/>
              <w:rPr>
                <w:rFonts w:hint="eastAsia"/>
                <w:color w:val="auto"/>
                <w:highlight w:val="none"/>
                <w:lang w:val="en-US" w:eastAsia="zh-CN"/>
              </w:rPr>
            </w:pPr>
          </w:p>
          <w:p>
            <w:pPr>
              <w:pStyle w:val="68"/>
              <w:bidi w:val="0"/>
              <w:rPr>
                <w:rFonts w:hint="default"/>
                <w:color w:val="auto"/>
                <w:highlight w:val="none"/>
                <w:lang w:val="en-US" w:eastAsia="zh-CN"/>
              </w:rPr>
            </w:pPr>
            <w:r>
              <w:rPr>
                <w:rFonts w:hint="eastAsia"/>
                <w:color w:val="auto"/>
                <w:highlight w:val="none"/>
                <w:lang w:val="en-US" w:eastAsia="zh-CN"/>
              </w:rPr>
              <w:t>表2.6.3现有工程生产废水排放情况</w:t>
            </w:r>
          </w:p>
          <w:tbl>
            <w:tblPr>
              <w:tblStyle w:val="29"/>
              <w:tblW w:w="8439" w:type="dxa"/>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3"/>
              <w:gridCol w:w="939"/>
              <w:gridCol w:w="1161"/>
              <w:gridCol w:w="1529"/>
              <w:gridCol w:w="1568"/>
              <w:gridCol w:w="1471"/>
              <w:gridCol w:w="9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74" w:hRule="atLeast"/>
              </w:trPr>
              <w:tc>
                <w:tcPr>
                  <w:tcW w:w="1742" w:type="dxa"/>
                  <w:gridSpan w:val="2"/>
                  <w:tcBorders>
                    <w:tl2br w:val="nil"/>
                    <w:tr2bl w:val="nil"/>
                  </w:tcBorders>
                  <w:vAlign w:val="center"/>
                </w:tcPr>
                <w:p>
                  <w:pPr>
                    <w:pStyle w:val="70"/>
                    <w:bidi w:val="0"/>
                    <w:jc w:val="center"/>
                    <w:rPr>
                      <w:rFonts w:hint="default"/>
                      <w:color w:val="auto"/>
                      <w:highlight w:val="none"/>
                      <w:lang w:val="en-US" w:eastAsia="zh-CN"/>
                    </w:rPr>
                  </w:pPr>
                  <w:r>
                    <w:rPr>
                      <w:rFonts w:hint="eastAsia"/>
                      <w:color w:val="auto"/>
                      <w:highlight w:val="none"/>
                      <w:lang w:val="en-US" w:eastAsia="zh-CN"/>
                    </w:rPr>
                    <w:t>污染物（t/a）</w:t>
                  </w:r>
                </w:p>
              </w:tc>
              <w:tc>
                <w:tcPr>
                  <w:tcW w:w="1161" w:type="dxa"/>
                  <w:tcBorders>
                    <w:tl2br w:val="nil"/>
                    <w:tr2bl w:val="nil"/>
                  </w:tcBorders>
                  <w:vAlign w:val="center"/>
                </w:tcPr>
                <w:p>
                  <w:pPr>
                    <w:pStyle w:val="70"/>
                    <w:bidi w:val="0"/>
                    <w:jc w:val="center"/>
                    <w:rPr>
                      <w:rFonts w:hint="default"/>
                      <w:color w:val="auto"/>
                      <w:highlight w:val="none"/>
                      <w:lang w:val="en-US" w:eastAsia="zh-CN"/>
                    </w:rPr>
                  </w:pPr>
                  <w:r>
                    <w:rPr>
                      <w:rFonts w:hint="default"/>
                      <w:color w:val="auto"/>
                      <w:highlight w:val="none"/>
                      <w:lang w:val="en-US" w:eastAsia="zh-CN"/>
                    </w:rPr>
                    <w:t>平</w:t>
                  </w:r>
                  <w:r>
                    <w:rPr>
                      <w:rFonts w:hint="eastAsia"/>
                      <w:color w:val="auto"/>
                      <w:highlight w:val="none"/>
                      <w:lang w:val="en-US" w:eastAsia="zh-CN"/>
                    </w:rPr>
                    <w:t>板</w:t>
                  </w:r>
                  <w:r>
                    <w:rPr>
                      <w:rFonts w:hint="default"/>
                      <w:color w:val="auto"/>
                      <w:highlight w:val="none"/>
                      <w:lang w:val="en-US" w:eastAsia="zh-CN"/>
                    </w:rPr>
                    <w:t>显示溅射靶材建设项目</w:t>
                  </w:r>
                </w:p>
                <w:p>
                  <w:pPr>
                    <w:pStyle w:val="70"/>
                    <w:bidi w:val="0"/>
                    <w:jc w:val="center"/>
                    <w:rPr>
                      <w:rFonts w:hint="default"/>
                      <w:color w:val="auto"/>
                      <w:highlight w:val="none"/>
                      <w:lang w:val="en-US" w:eastAsia="zh-CN"/>
                    </w:rPr>
                  </w:pPr>
                  <w:r>
                    <w:rPr>
                      <w:rFonts w:hint="eastAsia"/>
                      <w:color w:val="auto"/>
                      <w:highlight w:val="none"/>
                      <w:lang w:val="en-US" w:eastAsia="zh-CN"/>
                    </w:rPr>
                    <w:t>（已建）</w:t>
                  </w:r>
                </w:p>
              </w:tc>
              <w:tc>
                <w:tcPr>
                  <w:tcW w:w="1529" w:type="dxa"/>
                  <w:tcBorders>
                    <w:tl2br w:val="nil"/>
                    <w:tr2bl w:val="nil"/>
                  </w:tcBorders>
                  <w:vAlign w:val="center"/>
                </w:tcPr>
                <w:p>
                  <w:pPr>
                    <w:pStyle w:val="70"/>
                    <w:bidi w:val="0"/>
                    <w:jc w:val="center"/>
                    <w:rPr>
                      <w:rFonts w:hint="eastAsia" w:eastAsia="宋体"/>
                      <w:color w:val="auto"/>
                      <w:highlight w:val="none"/>
                      <w:lang w:val="en-US" w:eastAsia="zh-CN"/>
                    </w:rPr>
                  </w:pPr>
                  <w:r>
                    <w:rPr>
                      <w:rFonts w:hint="eastAsia"/>
                      <w:color w:val="auto"/>
                      <w:highlight w:val="none"/>
                    </w:rPr>
                    <w:t>超高清显示用铜靶材产业化建设项目</w:t>
                  </w:r>
                  <w:r>
                    <w:rPr>
                      <w:rFonts w:hint="eastAsia"/>
                      <w:color w:val="auto"/>
                      <w:highlight w:val="none"/>
                      <w:lang w:val="en-US" w:eastAsia="zh-CN"/>
                    </w:rPr>
                    <w:t>（部分建成）</w:t>
                  </w:r>
                </w:p>
              </w:tc>
              <w:tc>
                <w:tcPr>
                  <w:tcW w:w="1568" w:type="dxa"/>
                  <w:tcBorders>
                    <w:tl2br w:val="nil"/>
                    <w:tr2bl w:val="nil"/>
                  </w:tcBorders>
                  <w:vAlign w:val="center"/>
                </w:tcPr>
                <w:p>
                  <w:pPr>
                    <w:pStyle w:val="70"/>
                    <w:bidi w:val="0"/>
                    <w:jc w:val="center"/>
                    <w:rPr>
                      <w:rFonts w:hint="eastAsia" w:eastAsia="宋体"/>
                      <w:color w:val="auto"/>
                      <w:highlight w:val="none"/>
                      <w:lang w:val="en-US" w:eastAsia="zh-CN"/>
                    </w:rPr>
                  </w:pPr>
                  <w:r>
                    <w:rPr>
                      <w:rFonts w:hint="eastAsia"/>
                      <w:color w:val="auto"/>
                      <w:highlight w:val="none"/>
                    </w:rPr>
                    <w:t>半导体用金属及合金靶材研发及产业化建设项目</w:t>
                  </w:r>
                  <w:r>
                    <w:rPr>
                      <w:rFonts w:hint="eastAsia"/>
                      <w:color w:val="auto"/>
                      <w:highlight w:val="none"/>
                      <w:lang w:eastAsia="zh-CN"/>
                    </w:rPr>
                    <w:t>（</w:t>
                  </w:r>
                  <w:r>
                    <w:rPr>
                      <w:rFonts w:hint="eastAsia"/>
                      <w:color w:val="auto"/>
                      <w:highlight w:val="none"/>
                      <w:lang w:val="en-US" w:eastAsia="zh-CN"/>
                    </w:rPr>
                    <w:t>在建</w:t>
                  </w:r>
                  <w:r>
                    <w:rPr>
                      <w:rFonts w:hint="eastAsia"/>
                      <w:color w:val="auto"/>
                      <w:highlight w:val="none"/>
                      <w:lang w:eastAsia="zh-CN"/>
                    </w:rPr>
                    <w:t>）</w:t>
                  </w:r>
                </w:p>
              </w:tc>
              <w:tc>
                <w:tcPr>
                  <w:tcW w:w="1471" w:type="dxa"/>
                  <w:tcBorders>
                    <w:tl2br w:val="nil"/>
                    <w:tr2bl w:val="nil"/>
                  </w:tcBorders>
                  <w:vAlign w:val="center"/>
                </w:tcPr>
                <w:p>
                  <w:pPr>
                    <w:pStyle w:val="70"/>
                    <w:bidi w:val="0"/>
                    <w:jc w:val="center"/>
                    <w:rPr>
                      <w:rFonts w:hint="eastAsia" w:eastAsia="宋体"/>
                      <w:color w:val="auto"/>
                      <w:highlight w:val="none"/>
                      <w:lang w:val="en-US" w:eastAsia="zh-CN"/>
                    </w:rPr>
                  </w:pPr>
                  <w:r>
                    <w:rPr>
                      <w:rFonts w:hint="eastAsia" w:eastAsia="宋体"/>
                      <w:color w:val="auto"/>
                      <w:highlight w:val="none"/>
                    </w:rPr>
                    <w:t>年产500吨电子材料绿色生产与回收</w:t>
                  </w:r>
                  <w:r>
                    <w:rPr>
                      <w:rFonts w:hint="eastAsia" w:eastAsia="宋体"/>
                      <w:color w:val="auto"/>
                      <w:highlight w:val="none"/>
                      <w:lang w:val="en-US" w:eastAsia="zh-CN"/>
                    </w:rPr>
                    <w:t>项目（在建）</w:t>
                  </w:r>
                </w:p>
              </w:tc>
              <w:tc>
                <w:tcPr>
                  <w:tcW w:w="968" w:type="dxa"/>
                  <w:tcBorders>
                    <w:tl2br w:val="nil"/>
                    <w:tr2bl w:val="nil"/>
                  </w:tcBorders>
                  <w:vAlign w:val="center"/>
                </w:tcPr>
                <w:p>
                  <w:pPr>
                    <w:pStyle w:val="70"/>
                    <w:bidi w:val="0"/>
                    <w:jc w:val="center"/>
                    <w:rPr>
                      <w:rFonts w:hint="default" w:eastAsia="宋体"/>
                      <w:color w:val="auto"/>
                      <w:highlight w:val="none"/>
                      <w:lang w:val="en-US" w:eastAsia="zh-CN"/>
                    </w:rPr>
                  </w:pPr>
                  <w:r>
                    <w:rPr>
                      <w:rFonts w:hint="eastAsia"/>
                      <w:color w:val="auto"/>
                      <w:highlight w:val="none"/>
                      <w:lang w:val="en-US" w:eastAsia="zh-CN"/>
                    </w:rPr>
                    <w:t>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6" w:hRule="atLeast"/>
              </w:trPr>
              <w:tc>
                <w:tcPr>
                  <w:tcW w:w="1742" w:type="dxa"/>
                  <w:gridSpan w:val="2"/>
                  <w:tcBorders>
                    <w:tl2br w:val="nil"/>
                    <w:tr2bl w:val="nil"/>
                  </w:tcBorders>
                  <w:vAlign w:val="center"/>
                </w:tcPr>
                <w:p>
                  <w:pPr>
                    <w:pStyle w:val="70"/>
                    <w:bidi w:val="0"/>
                    <w:jc w:val="center"/>
                    <w:rPr>
                      <w:rFonts w:hint="default"/>
                      <w:color w:val="auto"/>
                      <w:highlight w:val="none"/>
                      <w:lang w:val="en-US" w:eastAsia="zh-CN"/>
                    </w:rPr>
                  </w:pPr>
                  <w:r>
                    <w:rPr>
                      <w:rFonts w:hint="eastAsia"/>
                      <w:color w:val="auto"/>
                      <w:highlight w:val="none"/>
                      <w:lang w:val="en-US" w:eastAsia="zh-CN"/>
                    </w:rPr>
                    <w:t>生产废水排放量</w:t>
                  </w:r>
                </w:p>
              </w:tc>
              <w:tc>
                <w:tcPr>
                  <w:tcW w:w="1161"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1440</w:t>
                  </w:r>
                </w:p>
              </w:tc>
              <w:tc>
                <w:tcPr>
                  <w:tcW w:w="1529"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900</w:t>
                  </w:r>
                </w:p>
              </w:tc>
              <w:tc>
                <w:tcPr>
                  <w:tcW w:w="1568"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247.68</w:t>
                  </w:r>
                </w:p>
              </w:tc>
              <w:tc>
                <w:tcPr>
                  <w:tcW w:w="1471"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68" w:type="dxa"/>
                  <w:tcBorders>
                    <w:tl2br w:val="nil"/>
                    <w:tr2bl w:val="nil"/>
                  </w:tcBorders>
                  <w:vAlign w:val="center"/>
                </w:tcPr>
                <w:p>
                  <w:pPr>
                    <w:keepNext w:val="0"/>
                    <w:keepLines w:val="0"/>
                    <w:widowControl/>
                    <w:suppressLineNumbers w:val="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2587.68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5" w:hRule="atLeast"/>
              </w:trPr>
              <w:tc>
                <w:tcPr>
                  <w:tcW w:w="803" w:type="dxa"/>
                  <w:vMerge w:val="restart"/>
                  <w:tcBorders>
                    <w:right w:val="single" w:color="auto" w:sz="4" w:space="0"/>
                    <w:tl2br w:val="nil"/>
                    <w:tr2bl w:val="nil"/>
                  </w:tcBorders>
                  <w:vAlign w:val="center"/>
                </w:tcPr>
                <w:p>
                  <w:pPr>
                    <w:pStyle w:val="70"/>
                    <w:bidi w:val="0"/>
                    <w:jc w:val="center"/>
                    <w:rPr>
                      <w:rFonts w:hint="default"/>
                      <w:color w:val="auto"/>
                      <w:highlight w:val="none"/>
                      <w:lang w:val="en-US" w:eastAsia="zh-CN"/>
                    </w:rPr>
                  </w:pPr>
                  <w:r>
                    <w:rPr>
                      <w:rFonts w:hint="eastAsia"/>
                      <w:color w:val="auto"/>
                      <w:highlight w:val="none"/>
                      <w:lang w:val="en-US" w:eastAsia="zh-CN"/>
                    </w:rPr>
                    <w:t>厂区污水排放口</w:t>
                  </w:r>
                </w:p>
              </w:tc>
              <w:tc>
                <w:tcPr>
                  <w:tcW w:w="939" w:type="dxa"/>
                  <w:tcBorders>
                    <w:left w:val="single" w:color="auto" w:sz="4" w:space="0"/>
                    <w:tl2br w:val="nil"/>
                    <w:tr2bl w:val="nil"/>
                  </w:tcBorders>
                  <w:vAlign w:val="center"/>
                </w:tcPr>
                <w:p>
                  <w:pPr>
                    <w:pStyle w:val="70"/>
                    <w:bidi w:val="0"/>
                    <w:jc w:val="center"/>
                    <w:rPr>
                      <w:rFonts w:hint="eastAsia"/>
                      <w:color w:val="auto"/>
                      <w:highlight w:val="none"/>
                      <w:lang w:val="en-US" w:eastAsia="zh-CN"/>
                    </w:rPr>
                  </w:pPr>
                  <w:r>
                    <w:rPr>
                      <w:rFonts w:hint="eastAsia"/>
                      <w:color w:val="auto"/>
                      <w:highlight w:val="none"/>
                      <w:lang w:val="en-US" w:eastAsia="zh-CN"/>
                    </w:rPr>
                    <w:t>COD</w:t>
                  </w:r>
                </w:p>
              </w:tc>
              <w:tc>
                <w:tcPr>
                  <w:tcW w:w="1161" w:type="dxa"/>
                  <w:tcBorders>
                    <w:tl2br w:val="nil"/>
                    <w:tr2bl w:val="nil"/>
                  </w:tcBorders>
                  <w:vAlign w:val="center"/>
                </w:tcPr>
                <w:p>
                  <w:pPr>
                    <w:keepNext w:val="0"/>
                    <w:keepLines w:val="0"/>
                    <w:widowControl/>
                    <w:suppressLineNumbers w:val="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0.72</w:t>
                  </w:r>
                </w:p>
              </w:tc>
              <w:tc>
                <w:tcPr>
                  <w:tcW w:w="1529" w:type="dxa"/>
                  <w:tcBorders>
                    <w:tl2br w:val="nil"/>
                    <w:tr2bl w:val="nil"/>
                  </w:tcBorders>
                  <w:vAlign w:val="center"/>
                </w:tcPr>
                <w:p>
                  <w:pPr>
                    <w:keepNext w:val="0"/>
                    <w:keepLines w:val="0"/>
                    <w:widowControl/>
                    <w:suppressLineNumbers w:val="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0.45</w:t>
                  </w:r>
                </w:p>
              </w:tc>
              <w:tc>
                <w:tcPr>
                  <w:tcW w:w="1568"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0.124 </w:t>
                  </w:r>
                </w:p>
              </w:tc>
              <w:tc>
                <w:tcPr>
                  <w:tcW w:w="1471"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68"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1.294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5" w:hRule="atLeast"/>
              </w:trPr>
              <w:tc>
                <w:tcPr>
                  <w:tcW w:w="803" w:type="dxa"/>
                  <w:vMerge w:val="continue"/>
                  <w:tcBorders>
                    <w:right w:val="single" w:color="auto" w:sz="4" w:space="0"/>
                    <w:tl2br w:val="nil"/>
                    <w:tr2bl w:val="nil"/>
                  </w:tcBorders>
                  <w:vAlign w:val="center"/>
                </w:tcPr>
                <w:p>
                  <w:pPr>
                    <w:pStyle w:val="70"/>
                    <w:bidi w:val="0"/>
                    <w:jc w:val="center"/>
                    <w:rPr>
                      <w:rFonts w:hint="default"/>
                      <w:color w:val="auto"/>
                      <w:highlight w:val="none"/>
                      <w:lang w:val="en-US" w:eastAsia="zh-CN"/>
                    </w:rPr>
                  </w:pPr>
                </w:p>
              </w:tc>
              <w:tc>
                <w:tcPr>
                  <w:tcW w:w="939" w:type="dxa"/>
                  <w:tcBorders>
                    <w:left w:val="single" w:color="auto" w:sz="4" w:space="0"/>
                    <w:tl2br w:val="nil"/>
                    <w:tr2bl w:val="nil"/>
                  </w:tcBorders>
                  <w:vAlign w:val="center"/>
                </w:tcPr>
                <w:p>
                  <w:pPr>
                    <w:pStyle w:val="70"/>
                    <w:bidi w:val="0"/>
                    <w:jc w:val="center"/>
                    <w:rPr>
                      <w:rFonts w:hint="eastAsia"/>
                      <w:color w:val="auto"/>
                      <w:highlight w:val="none"/>
                      <w:lang w:val="en-US" w:eastAsia="zh-CN"/>
                    </w:rPr>
                  </w:pPr>
                  <w:r>
                    <w:rPr>
                      <w:rFonts w:hint="eastAsia"/>
                      <w:color w:val="auto"/>
                      <w:highlight w:val="none"/>
                      <w:lang w:val="en-US" w:eastAsia="zh-CN"/>
                    </w:rPr>
                    <w:t>SS</w:t>
                  </w:r>
                </w:p>
              </w:tc>
              <w:tc>
                <w:tcPr>
                  <w:tcW w:w="1161" w:type="dxa"/>
                  <w:tcBorders>
                    <w:tl2br w:val="nil"/>
                    <w:tr2bl w:val="nil"/>
                  </w:tcBorders>
                  <w:vAlign w:val="center"/>
                </w:tcPr>
                <w:p>
                  <w:pPr>
                    <w:keepNext w:val="0"/>
                    <w:keepLines w:val="0"/>
                    <w:widowControl/>
                    <w:suppressLineNumbers w:val="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0.576</w:t>
                  </w:r>
                </w:p>
              </w:tc>
              <w:tc>
                <w:tcPr>
                  <w:tcW w:w="1529" w:type="dxa"/>
                  <w:tcBorders>
                    <w:tl2br w:val="nil"/>
                    <w:tr2bl w:val="nil"/>
                  </w:tcBorders>
                  <w:vAlign w:val="center"/>
                </w:tcPr>
                <w:p>
                  <w:pPr>
                    <w:keepNext w:val="0"/>
                    <w:keepLines w:val="0"/>
                    <w:widowControl/>
                    <w:suppressLineNumbers w:val="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0.36</w:t>
                  </w:r>
                </w:p>
              </w:tc>
              <w:tc>
                <w:tcPr>
                  <w:tcW w:w="1568"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0.099 </w:t>
                  </w:r>
                </w:p>
              </w:tc>
              <w:tc>
                <w:tcPr>
                  <w:tcW w:w="147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968"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1.035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803" w:type="dxa"/>
                  <w:vMerge w:val="continue"/>
                  <w:tcBorders>
                    <w:right w:val="single" w:color="auto" w:sz="4" w:space="0"/>
                    <w:tl2br w:val="nil"/>
                    <w:tr2bl w:val="nil"/>
                  </w:tcBorders>
                  <w:vAlign w:val="center"/>
                </w:tcPr>
                <w:p>
                  <w:pPr>
                    <w:pStyle w:val="70"/>
                    <w:bidi w:val="0"/>
                    <w:jc w:val="center"/>
                    <w:rPr>
                      <w:rFonts w:hint="default"/>
                      <w:color w:val="auto"/>
                      <w:highlight w:val="none"/>
                      <w:lang w:val="en-US" w:eastAsia="zh-CN"/>
                    </w:rPr>
                  </w:pPr>
                </w:p>
              </w:tc>
              <w:tc>
                <w:tcPr>
                  <w:tcW w:w="939" w:type="dxa"/>
                  <w:tcBorders>
                    <w:left w:val="single" w:color="auto" w:sz="4" w:space="0"/>
                    <w:tl2br w:val="nil"/>
                    <w:tr2bl w:val="nil"/>
                  </w:tcBorders>
                  <w:vAlign w:val="center"/>
                </w:tcPr>
                <w:p>
                  <w:pPr>
                    <w:pStyle w:val="70"/>
                    <w:bidi w:val="0"/>
                    <w:jc w:val="center"/>
                    <w:rPr>
                      <w:rFonts w:hint="eastAsia"/>
                      <w:color w:val="auto"/>
                      <w:highlight w:val="none"/>
                      <w:lang w:val="en-US" w:eastAsia="zh-CN"/>
                    </w:rPr>
                  </w:pPr>
                  <w:r>
                    <w:rPr>
                      <w:rFonts w:hint="eastAsia"/>
                      <w:color w:val="auto"/>
                      <w:highlight w:val="none"/>
                      <w:lang w:val="en-US" w:eastAsia="zh-CN"/>
                    </w:rPr>
                    <w:t>石油类</w:t>
                  </w:r>
                </w:p>
              </w:tc>
              <w:tc>
                <w:tcPr>
                  <w:tcW w:w="1161" w:type="dxa"/>
                  <w:tcBorders>
                    <w:tl2br w:val="nil"/>
                    <w:tr2bl w:val="nil"/>
                  </w:tcBorders>
                  <w:vAlign w:val="center"/>
                </w:tcPr>
                <w:p>
                  <w:pPr>
                    <w:keepNext w:val="0"/>
                    <w:keepLines w:val="0"/>
                    <w:widowControl/>
                    <w:suppressLineNumbers w:val="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0.0288</w:t>
                  </w:r>
                </w:p>
              </w:tc>
              <w:tc>
                <w:tcPr>
                  <w:tcW w:w="1529" w:type="dxa"/>
                  <w:tcBorders>
                    <w:tl2br w:val="nil"/>
                    <w:tr2bl w:val="nil"/>
                  </w:tcBorders>
                  <w:vAlign w:val="center"/>
                </w:tcPr>
                <w:p>
                  <w:pPr>
                    <w:keepNext w:val="0"/>
                    <w:keepLines w:val="0"/>
                    <w:widowControl/>
                    <w:suppressLineNumbers w:val="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0.018</w:t>
                  </w:r>
                </w:p>
              </w:tc>
              <w:tc>
                <w:tcPr>
                  <w:tcW w:w="1568"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0.005 </w:t>
                  </w:r>
                </w:p>
              </w:tc>
              <w:tc>
                <w:tcPr>
                  <w:tcW w:w="147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68"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0.052 </w:t>
                  </w:r>
                </w:p>
              </w:tc>
            </w:tr>
          </w:tbl>
          <w:p>
            <w:pPr>
              <w:pStyle w:val="72"/>
              <w:bidi w:val="0"/>
              <w:rPr>
                <w:rFonts w:hint="default"/>
                <w:color w:val="auto"/>
                <w:highlight w:val="none"/>
                <w:lang w:val="en-US" w:eastAsia="zh-CN"/>
              </w:rPr>
            </w:pPr>
            <w:r>
              <w:rPr>
                <w:rFonts w:hint="eastAsia"/>
                <w:color w:val="auto"/>
                <w:highlight w:val="none"/>
                <w:lang w:val="en-US" w:eastAsia="zh-CN"/>
              </w:rPr>
              <w:t>备注：</w:t>
            </w:r>
          </w:p>
          <w:p>
            <w:pPr>
              <w:pStyle w:val="72"/>
              <w:bidi w:val="0"/>
              <w:rPr>
                <w:rFonts w:hint="eastAsia"/>
                <w:color w:val="auto"/>
                <w:highlight w:val="none"/>
                <w:lang w:val="en-US" w:eastAsia="zh-CN"/>
              </w:rPr>
            </w:pPr>
            <w:r>
              <w:rPr>
                <w:rFonts w:hint="eastAsia"/>
                <w:color w:val="auto"/>
                <w:highlight w:val="none"/>
                <w:lang w:val="en-US" w:eastAsia="zh-CN"/>
              </w:rPr>
              <w:t>现有工程生活污水排放情况，见表2.6.4。</w:t>
            </w:r>
          </w:p>
          <w:p>
            <w:pPr>
              <w:pStyle w:val="68"/>
              <w:bidi w:val="0"/>
              <w:rPr>
                <w:rFonts w:hint="eastAsia"/>
                <w:color w:val="auto"/>
                <w:highlight w:val="none"/>
                <w:lang w:val="en-US" w:eastAsia="zh-CN"/>
              </w:rPr>
            </w:pPr>
            <w:r>
              <w:rPr>
                <w:rFonts w:hint="eastAsia"/>
                <w:color w:val="auto"/>
                <w:highlight w:val="none"/>
                <w:lang w:val="en-US" w:eastAsia="zh-CN"/>
              </w:rPr>
              <w:t>表2.6.4现有工程生活污水排放情况</w:t>
            </w:r>
          </w:p>
          <w:tbl>
            <w:tblPr>
              <w:tblStyle w:val="28"/>
              <w:tblW w:w="8416" w:type="dxa"/>
              <w:tblInd w:w="-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1"/>
              <w:gridCol w:w="1564"/>
              <w:gridCol w:w="1582"/>
              <w:gridCol w:w="1429"/>
              <w:gridCol w:w="1659"/>
              <w:gridCol w:w="9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3" w:hRule="atLeast"/>
              </w:trPr>
              <w:tc>
                <w:tcPr>
                  <w:tcW w:w="1271" w:type="dxa"/>
                  <w:tcBorders>
                    <w:top w:val="single" w:color="000000" w:sz="6" w:space="0"/>
                    <w:left w:val="single" w:color="000000" w:sz="6"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污染物（</w:t>
                  </w:r>
                  <w:r>
                    <w:rPr>
                      <w:rFonts w:hint="default" w:ascii="Times New Roman" w:hAnsi="Times New Roman" w:eastAsia="宋体" w:cs="Times New Roman"/>
                      <w:i w:val="0"/>
                      <w:iCs w:val="0"/>
                      <w:color w:val="auto"/>
                      <w:kern w:val="0"/>
                      <w:sz w:val="21"/>
                      <w:szCs w:val="21"/>
                      <w:highlight w:val="none"/>
                      <w:u w:val="none"/>
                      <w:lang w:val="en-US" w:eastAsia="zh-CN" w:bidi="ar"/>
                    </w:rPr>
                    <w:t>t/a</w:t>
                  </w:r>
                  <w:r>
                    <w:rPr>
                      <w:rStyle w:val="93"/>
                      <w:color w:val="auto"/>
                      <w:highlight w:val="none"/>
                      <w:lang w:val="en-US" w:eastAsia="zh-CN" w:bidi="ar"/>
                    </w:rPr>
                    <w:t>）</w:t>
                  </w:r>
                </w:p>
              </w:tc>
              <w:tc>
                <w:tcPr>
                  <w:tcW w:w="1564" w:type="dxa"/>
                  <w:tcBorders>
                    <w:top w:val="single" w:color="000000" w:sz="6"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平板显示溅射靶材建设项目</w:t>
                  </w:r>
                  <w:r>
                    <w:rPr>
                      <w:rStyle w:val="93"/>
                      <w:color w:val="auto"/>
                      <w:highlight w:val="none"/>
                      <w:lang w:val="en-US" w:eastAsia="zh-CN" w:bidi="ar"/>
                    </w:rPr>
                    <w:t>（已建）</w:t>
                  </w:r>
                </w:p>
              </w:tc>
              <w:tc>
                <w:tcPr>
                  <w:tcW w:w="1582" w:type="dxa"/>
                  <w:tcBorders>
                    <w:top w:val="single" w:color="000000" w:sz="6"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超高清显示用铜靶材产业化建设项目（部分建成）</w:t>
                  </w:r>
                </w:p>
              </w:tc>
              <w:tc>
                <w:tcPr>
                  <w:tcW w:w="1429" w:type="dxa"/>
                  <w:tcBorders>
                    <w:top w:val="single" w:color="000000" w:sz="6"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半导体用金属及合金靶材研发及产业化建设项目（在建）</w:t>
                  </w:r>
                </w:p>
              </w:tc>
              <w:tc>
                <w:tcPr>
                  <w:tcW w:w="1659" w:type="dxa"/>
                  <w:tcBorders>
                    <w:top w:val="single" w:color="000000" w:sz="6"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年产</w:t>
                  </w:r>
                  <w:r>
                    <w:rPr>
                      <w:rFonts w:hint="default" w:ascii="Times New Roman" w:hAnsi="Times New Roman" w:eastAsia="宋体" w:cs="Times New Roman"/>
                      <w:i w:val="0"/>
                      <w:iCs w:val="0"/>
                      <w:color w:val="auto"/>
                      <w:kern w:val="0"/>
                      <w:sz w:val="21"/>
                      <w:szCs w:val="21"/>
                      <w:highlight w:val="none"/>
                      <w:u w:val="none"/>
                      <w:lang w:val="en-US" w:eastAsia="zh-CN" w:bidi="ar"/>
                    </w:rPr>
                    <w:t>500</w:t>
                  </w:r>
                  <w:r>
                    <w:rPr>
                      <w:rStyle w:val="93"/>
                      <w:color w:val="auto"/>
                      <w:highlight w:val="none"/>
                      <w:lang w:val="en-US" w:eastAsia="zh-CN" w:bidi="ar"/>
                    </w:rPr>
                    <w:t>吨电子材料绿色生产与回收项目（在建）</w:t>
                  </w:r>
                </w:p>
              </w:tc>
              <w:tc>
                <w:tcPr>
                  <w:tcW w:w="911" w:type="dxa"/>
                  <w:tcBorders>
                    <w:top w:val="single" w:color="000000" w:sz="6" w:space="0"/>
                    <w:left w:val="single" w:color="000000" w:sz="4" w:space="0"/>
                    <w:bottom w:val="single" w:color="000000" w:sz="4" w:space="0"/>
                    <w:right w:val="single" w:color="000000" w:sz="6"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271" w:type="dxa"/>
                  <w:tcBorders>
                    <w:top w:val="single" w:color="000000" w:sz="4" w:space="0"/>
                    <w:left w:val="single" w:color="000000" w:sz="6"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水量</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2400</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1800</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540</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1080</w:t>
                  </w:r>
                </w:p>
              </w:tc>
              <w:tc>
                <w:tcPr>
                  <w:tcW w:w="911" w:type="dxa"/>
                  <w:tcBorders>
                    <w:top w:val="single" w:color="000000" w:sz="4" w:space="0"/>
                    <w:left w:val="single" w:color="000000" w:sz="4" w:space="0"/>
                    <w:bottom w:val="single" w:color="000000" w:sz="4" w:space="0"/>
                    <w:right w:val="single" w:color="000000" w:sz="6"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271" w:type="dxa"/>
                  <w:tcBorders>
                    <w:top w:val="single" w:color="000000" w:sz="4" w:space="0"/>
                    <w:left w:val="single" w:color="000000" w:sz="6"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0.9</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0.27</w:t>
                  </w:r>
                </w:p>
              </w:tc>
              <w:tc>
                <w:tcPr>
                  <w:tcW w:w="16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0.54</w:t>
                  </w:r>
                </w:p>
              </w:tc>
              <w:tc>
                <w:tcPr>
                  <w:tcW w:w="911" w:type="dxa"/>
                  <w:tcBorders>
                    <w:top w:val="single" w:color="000000" w:sz="4" w:space="0"/>
                    <w:left w:val="single" w:color="000000" w:sz="4" w:space="0"/>
                    <w:bottom w:val="single" w:color="000000" w:sz="4" w:space="0"/>
                    <w:right w:val="single" w:color="000000" w:sz="6"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1271" w:type="dxa"/>
                  <w:tcBorders>
                    <w:top w:val="single" w:color="000000" w:sz="4" w:space="0"/>
                    <w:left w:val="single" w:color="000000" w:sz="6" w:space="0"/>
                    <w:bottom w:val="single" w:color="000000" w:sz="6"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氨氮</w:t>
                  </w:r>
                </w:p>
              </w:tc>
              <w:tc>
                <w:tcPr>
                  <w:tcW w:w="1564" w:type="dxa"/>
                  <w:tcBorders>
                    <w:top w:val="single" w:color="000000" w:sz="4" w:space="0"/>
                    <w:left w:val="single" w:color="000000" w:sz="4" w:space="0"/>
                    <w:bottom w:val="single" w:color="000000" w:sz="6"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0.108</w:t>
                  </w:r>
                </w:p>
              </w:tc>
              <w:tc>
                <w:tcPr>
                  <w:tcW w:w="1582" w:type="dxa"/>
                  <w:tcBorders>
                    <w:top w:val="single" w:color="000000" w:sz="4" w:space="0"/>
                    <w:left w:val="single" w:color="000000" w:sz="4" w:space="0"/>
                    <w:bottom w:val="single" w:color="000000" w:sz="6"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0.081</w:t>
                  </w:r>
                </w:p>
              </w:tc>
              <w:tc>
                <w:tcPr>
                  <w:tcW w:w="1429" w:type="dxa"/>
                  <w:tcBorders>
                    <w:top w:val="single" w:color="000000" w:sz="4" w:space="0"/>
                    <w:left w:val="single" w:color="000000" w:sz="4" w:space="0"/>
                    <w:bottom w:val="single" w:color="000000" w:sz="6"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0.0243</w:t>
                  </w:r>
                </w:p>
              </w:tc>
              <w:tc>
                <w:tcPr>
                  <w:tcW w:w="1659" w:type="dxa"/>
                  <w:tcBorders>
                    <w:top w:val="single" w:color="000000" w:sz="4" w:space="0"/>
                    <w:left w:val="single" w:color="000000" w:sz="4" w:space="0"/>
                    <w:bottom w:val="single" w:color="000000" w:sz="6"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0.0486</w:t>
                  </w:r>
                </w:p>
              </w:tc>
              <w:tc>
                <w:tcPr>
                  <w:tcW w:w="911" w:type="dxa"/>
                  <w:tcBorders>
                    <w:top w:val="single" w:color="000000" w:sz="4" w:space="0"/>
                    <w:left w:val="single" w:color="000000" w:sz="4" w:space="0"/>
                    <w:bottom w:val="single" w:color="000000" w:sz="6" w:space="0"/>
                    <w:right w:val="single" w:color="000000" w:sz="6"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0.262</w:t>
                  </w:r>
                </w:p>
              </w:tc>
            </w:tr>
          </w:tbl>
          <w:p>
            <w:pPr>
              <w:pStyle w:val="72"/>
              <w:bidi w:val="0"/>
              <w:rPr>
                <w:rFonts w:hint="eastAsia"/>
                <w:color w:val="auto"/>
                <w:highlight w:val="none"/>
                <w:lang w:val="en-US" w:eastAsia="zh-CN"/>
              </w:rPr>
            </w:pPr>
          </w:p>
          <w:p>
            <w:pPr>
              <w:pStyle w:val="72"/>
              <w:bidi w:val="0"/>
              <w:rPr>
                <w:rFonts w:hint="eastAsia"/>
                <w:color w:val="auto"/>
                <w:highlight w:val="none"/>
                <w:lang w:val="en-US" w:eastAsia="zh-CN"/>
              </w:rPr>
            </w:pPr>
            <w:r>
              <w:rPr>
                <w:rFonts w:hint="eastAsia"/>
                <w:color w:val="auto"/>
                <w:highlight w:val="none"/>
                <w:lang w:val="en-US" w:eastAsia="zh-CN"/>
              </w:rPr>
              <w:t>（3）固废</w:t>
            </w:r>
          </w:p>
          <w:p>
            <w:pPr>
              <w:pStyle w:val="72"/>
              <w:ind w:firstLine="480"/>
              <w:rPr>
                <w:rFonts w:hint="default"/>
                <w:color w:val="auto"/>
                <w:highlight w:val="none"/>
                <w:lang w:val="en-US" w:eastAsia="zh-CN"/>
              </w:rPr>
            </w:pPr>
            <w:r>
              <w:rPr>
                <w:rFonts w:hint="eastAsia"/>
                <w:color w:val="auto"/>
                <w:highlight w:val="none"/>
                <w:lang w:val="en-US" w:eastAsia="zh-CN"/>
              </w:rPr>
              <w:t>根据现有工程固体废物管理台账及项目环评，现有工程工业固废产生及处置情况见表2.6.5。其中一般工业固废产生量合计为1673.2665t/a，危险废物产生量合计为6.4578t/a，生活垃圾合计产生量为52.5t/a。</w:t>
            </w:r>
          </w:p>
          <w:p>
            <w:pPr>
              <w:pStyle w:val="68"/>
              <w:rPr>
                <w:color w:val="auto"/>
                <w:highlight w:val="none"/>
              </w:rPr>
            </w:pPr>
            <w:r>
              <w:rPr>
                <w:rFonts w:hint="eastAsia"/>
                <w:color w:val="auto"/>
                <w:highlight w:val="none"/>
              </w:rPr>
              <w:t>表2.5.8本项目现有工程固废产生情况一览表</w:t>
            </w:r>
          </w:p>
          <w:tbl>
            <w:tblPr>
              <w:tblStyle w:val="29"/>
              <w:tblW w:w="8351" w:type="dxa"/>
              <w:tblInd w:w="8"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19"/>
              <w:gridCol w:w="817"/>
              <w:gridCol w:w="1958"/>
              <w:gridCol w:w="1087"/>
              <w:gridCol w:w="1170"/>
              <w:gridCol w:w="1020"/>
              <w:gridCol w:w="16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3394" w:type="dxa"/>
                  <w:gridSpan w:val="3"/>
                  <w:vMerge w:val="restart"/>
                  <w:tcBorders>
                    <w:tl2br w:val="nil"/>
                    <w:tr2bl w:val="nil"/>
                  </w:tcBorders>
                  <w:vAlign w:val="center"/>
                </w:tcPr>
                <w:p>
                  <w:pPr>
                    <w:pStyle w:val="70"/>
                    <w:rPr>
                      <w:color w:val="auto"/>
                      <w:highlight w:val="none"/>
                    </w:rPr>
                  </w:pPr>
                  <w:r>
                    <w:rPr>
                      <w:rFonts w:hint="eastAsia"/>
                      <w:color w:val="auto"/>
                      <w:highlight w:val="none"/>
                    </w:rPr>
                    <w:t>项目</w:t>
                  </w:r>
                </w:p>
              </w:tc>
              <w:tc>
                <w:tcPr>
                  <w:tcW w:w="3277" w:type="dxa"/>
                  <w:gridSpan w:val="3"/>
                  <w:tcBorders>
                    <w:tl2br w:val="nil"/>
                    <w:tr2bl w:val="nil"/>
                  </w:tcBorders>
                  <w:vAlign w:val="center"/>
                </w:tcPr>
                <w:p>
                  <w:pPr>
                    <w:pStyle w:val="70"/>
                    <w:rPr>
                      <w:color w:val="auto"/>
                      <w:highlight w:val="none"/>
                    </w:rPr>
                  </w:pPr>
                  <w:r>
                    <w:rPr>
                      <w:rFonts w:hint="eastAsia"/>
                      <w:color w:val="auto"/>
                      <w:highlight w:val="none"/>
                    </w:rPr>
                    <w:t>产生量（t/a）</w:t>
                  </w:r>
                </w:p>
              </w:tc>
              <w:tc>
                <w:tcPr>
                  <w:tcW w:w="1680"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处置去向</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3394" w:type="dxa"/>
                  <w:gridSpan w:val="3"/>
                  <w:vMerge w:val="continue"/>
                  <w:tcBorders>
                    <w:tl2br w:val="nil"/>
                    <w:tr2bl w:val="nil"/>
                  </w:tcBorders>
                  <w:vAlign w:val="center"/>
                </w:tcPr>
                <w:p>
                  <w:pPr>
                    <w:pStyle w:val="70"/>
                    <w:rPr>
                      <w:color w:val="auto"/>
                      <w:highlight w:val="none"/>
                    </w:rPr>
                  </w:pPr>
                </w:p>
              </w:tc>
              <w:tc>
                <w:tcPr>
                  <w:tcW w:w="1087"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已建工程</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在建工程</w:t>
                  </w:r>
                </w:p>
              </w:tc>
              <w:tc>
                <w:tcPr>
                  <w:tcW w:w="10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合计</w:t>
                  </w:r>
                </w:p>
              </w:tc>
              <w:tc>
                <w:tcPr>
                  <w:tcW w:w="1680" w:type="dxa"/>
                  <w:vMerge w:val="restart"/>
                  <w:tcBorders>
                    <w:tl2br w:val="nil"/>
                    <w:tr2bl w:val="nil"/>
                  </w:tcBorders>
                  <w:vAlign w:val="center"/>
                </w:tcPr>
                <w:p>
                  <w:pPr>
                    <w:pStyle w:val="70"/>
                    <w:rPr>
                      <w:color w:val="auto"/>
                      <w:highlight w:val="none"/>
                    </w:rPr>
                  </w:pPr>
                  <w:r>
                    <w:rPr>
                      <w:rFonts w:hint="eastAsia"/>
                      <w:color w:val="auto"/>
                      <w:highlight w:val="none"/>
                    </w:rPr>
                    <w:t>外售泉州美福金属有限公司进行回收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restart"/>
                  <w:tcBorders>
                    <w:tl2br w:val="nil"/>
                    <w:tr2bl w:val="nil"/>
                  </w:tcBorders>
                  <w:vAlign w:val="center"/>
                </w:tcPr>
                <w:p>
                  <w:pPr>
                    <w:pStyle w:val="70"/>
                    <w:rPr>
                      <w:rFonts w:hint="eastAsia"/>
                      <w:color w:val="auto"/>
                      <w:highlight w:val="none"/>
                    </w:rPr>
                  </w:pPr>
                  <w:r>
                    <w:rPr>
                      <w:rFonts w:hint="eastAsia"/>
                      <w:color w:val="auto"/>
                      <w:highlight w:val="none"/>
                    </w:rPr>
                    <w:t>固废</w:t>
                  </w:r>
                </w:p>
              </w:tc>
              <w:tc>
                <w:tcPr>
                  <w:tcW w:w="817" w:type="dxa"/>
                  <w:vMerge w:val="restart"/>
                  <w:tcBorders>
                    <w:tl2br w:val="nil"/>
                    <w:tr2bl w:val="nil"/>
                  </w:tcBorders>
                  <w:vAlign w:val="center"/>
                </w:tcPr>
                <w:p>
                  <w:pPr>
                    <w:pStyle w:val="70"/>
                    <w:rPr>
                      <w:rFonts w:hint="eastAsia"/>
                      <w:color w:val="auto"/>
                      <w:highlight w:val="none"/>
                    </w:rPr>
                  </w:pPr>
                  <w:r>
                    <w:rPr>
                      <w:rFonts w:hint="eastAsia"/>
                      <w:color w:val="auto"/>
                      <w:highlight w:val="none"/>
                    </w:rPr>
                    <w:t>一般固废</w:t>
                  </w:r>
                </w:p>
              </w:tc>
              <w:tc>
                <w:tcPr>
                  <w:tcW w:w="1958"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金属下脚料</w:t>
                  </w: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1543.142</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26.4</w:t>
                  </w:r>
                </w:p>
              </w:tc>
              <w:tc>
                <w:tcPr>
                  <w:tcW w:w="10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1569.542</w:t>
                  </w:r>
                </w:p>
              </w:tc>
              <w:tc>
                <w:tcPr>
                  <w:tcW w:w="1680" w:type="dxa"/>
                  <w:vMerge w:val="continue"/>
                  <w:tcBorders>
                    <w:tl2br w:val="nil"/>
                    <w:tr2bl w:val="nil"/>
                  </w:tcBorders>
                  <w:vAlign w:val="center"/>
                </w:tcPr>
                <w:p>
                  <w:pPr>
                    <w:pStyle w:val="70"/>
                    <w:rPr>
                      <w:rFonts w:hint="eastAsia"/>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color w:val="auto"/>
                      <w:highlight w:val="none"/>
                    </w:rPr>
                  </w:pPr>
                  <w:r>
                    <w:rPr>
                      <w:rFonts w:hint="eastAsia"/>
                      <w:color w:val="auto"/>
                      <w:highlight w:val="none"/>
                    </w:rPr>
                    <w:t>不合格靶材</w:t>
                  </w:r>
                </w:p>
              </w:tc>
              <w:tc>
                <w:tcPr>
                  <w:tcW w:w="1087"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12.25</w:t>
                  </w:r>
                </w:p>
              </w:tc>
              <w:tc>
                <w:tcPr>
                  <w:tcW w:w="10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40.25</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除尘系统粉尘</w:t>
                  </w: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11.4</w:t>
                  </w:r>
                </w:p>
              </w:tc>
              <w:tc>
                <w:tcPr>
                  <w:tcW w:w="10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13.3</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rFonts w:hint="eastAsia"/>
                      <w:color w:val="auto"/>
                      <w:highlight w:val="none"/>
                    </w:rPr>
                  </w:pPr>
                  <w:r>
                    <w:rPr>
                      <w:rFonts w:hint="eastAsia"/>
                      <w:color w:val="auto"/>
                      <w:highlight w:val="none"/>
                      <w:lang w:val="en-US" w:eastAsia="zh-CN"/>
                    </w:rPr>
                    <w:t>尘泥</w:t>
                  </w:r>
                </w:p>
              </w:tc>
              <w:tc>
                <w:tcPr>
                  <w:tcW w:w="108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10.05</w:t>
                  </w:r>
                </w:p>
              </w:tc>
              <w:tc>
                <w:tcPr>
                  <w:tcW w:w="11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10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15.05</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rPr>
                    <w:t>解绑固体废物</w:t>
                  </w: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02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p>
              </w:tc>
              <w:tc>
                <w:tcPr>
                  <w:tcW w:w="195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金属屑</w:t>
                  </w: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9.5</w:t>
                  </w:r>
                </w:p>
              </w:tc>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w:t>
                  </w:r>
                </w:p>
              </w:tc>
              <w:tc>
                <w:tcPr>
                  <w:tcW w:w="1020" w:type="dxa"/>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废无尘布</w:t>
                  </w: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color w:val="auto"/>
                      <w:kern w:val="2"/>
                      <w:sz w:val="21"/>
                      <w:szCs w:val="22"/>
                      <w:highlight w:val="none"/>
                      <w:lang w:val="en-US" w:eastAsia="zh-CN" w:bidi="ar-SA"/>
                    </w:rPr>
                  </w:pPr>
                </w:p>
              </w:tc>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0.0025</w:t>
                  </w:r>
                </w:p>
              </w:tc>
              <w:tc>
                <w:tcPr>
                  <w:tcW w:w="1020" w:type="dxa"/>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0.0025</w:t>
                  </w:r>
                </w:p>
              </w:tc>
              <w:tc>
                <w:tcPr>
                  <w:tcW w:w="1680" w:type="dxa"/>
                  <w:vMerge w:val="restar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福州市长乐区宏鑫环境服务有限公司</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废滤筒/布袋</w:t>
                  </w: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0.2</w:t>
                  </w:r>
                </w:p>
              </w:tc>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0.112</w:t>
                  </w:r>
                </w:p>
              </w:tc>
              <w:tc>
                <w:tcPr>
                  <w:tcW w:w="1020" w:type="dxa"/>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0.312</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废包装材料</w:t>
                  </w: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0.2</w:t>
                  </w:r>
                </w:p>
              </w:tc>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0.5</w:t>
                  </w:r>
                </w:p>
              </w:tc>
              <w:tc>
                <w:tcPr>
                  <w:tcW w:w="1020" w:type="dxa"/>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0.7</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废白砂纸</w:t>
                  </w: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0.01</w:t>
                  </w:r>
                </w:p>
              </w:tc>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w:t>
                  </w:r>
                </w:p>
              </w:tc>
              <w:tc>
                <w:tcPr>
                  <w:tcW w:w="1020" w:type="dxa"/>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rFonts w:hint="eastAsia"/>
                      <w:color w:val="auto"/>
                      <w:highlight w:val="none"/>
                      <w:lang w:val="en-US" w:eastAsia="zh-CN"/>
                    </w:rPr>
                  </w:pPr>
                  <w:r>
                    <w:rPr>
                      <w:rFonts w:hint="eastAsia"/>
                      <w:color w:val="auto"/>
                      <w:highlight w:val="none"/>
                      <w:lang w:val="en-US" w:eastAsia="zh-CN"/>
                    </w:rPr>
                    <w:t>废砂</w:t>
                  </w: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20</w:t>
                  </w:r>
                </w:p>
              </w:tc>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w:t>
                  </w:r>
                </w:p>
              </w:tc>
              <w:tc>
                <w:tcPr>
                  <w:tcW w:w="1020" w:type="dxa"/>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rFonts w:hint="eastAsia"/>
                      <w:color w:val="auto"/>
                      <w:highlight w:val="none"/>
                      <w:lang w:val="en-US" w:eastAsia="zh-CN"/>
                    </w:rPr>
                  </w:pPr>
                  <w:r>
                    <w:rPr>
                      <w:rFonts w:hint="eastAsia"/>
                      <w:color w:val="auto"/>
                      <w:highlight w:val="none"/>
                      <w:lang w:val="en-US" w:eastAsia="zh-CN"/>
                    </w:rPr>
                    <w:t>纯水站膜组件</w:t>
                  </w:r>
                </w:p>
              </w:tc>
              <w:tc>
                <w:tcPr>
                  <w:tcW w:w="1087"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0.1</w:t>
                  </w:r>
                </w:p>
              </w:tc>
              <w:tc>
                <w:tcPr>
                  <w:tcW w:w="1170" w:type="dxa"/>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s="Times New Roman"/>
                      <w:color w:val="auto"/>
                      <w:kern w:val="2"/>
                      <w:sz w:val="21"/>
                      <w:szCs w:val="22"/>
                      <w:highlight w:val="none"/>
                      <w:lang w:val="en-US" w:eastAsia="zh-CN" w:bidi="ar-SA"/>
                    </w:rPr>
                  </w:pPr>
                  <w:r>
                    <w:rPr>
                      <w:rFonts w:hint="eastAsia" w:eastAsia="宋体" w:cs="Times New Roman"/>
                      <w:color w:val="auto"/>
                      <w:kern w:val="2"/>
                      <w:sz w:val="21"/>
                      <w:szCs w:val="22"/>
                      <w:highlight w:val="none"/>
                      <w:lang w:val="en-US" w:eastAsia="zh-CN" w:bidi="ar-SA"/>
                    </w:rPr>
                    <w:t>0</w:t>
                  </w:r>
                </w:p>
              </w:tc>
              <w:tc>
                <w:tcPr>
                  <w:tcW w:w="1020" w:type="dxa"/>
                  <w:tcBorders>
                    <w:tl2br w:val="nil"/>
                    <w:tr2bl w:val="nil"/>
                  </w:tcBorders>
                  <w:shd w:val="clear" w:color="auto" w:fill="auto"/>
                  <w:vAlign w:val="center"/>
                </w:tcPr>
                <w:p>
                  <w:pPr>
                    <w:keepNext w:val="0"/>
                    <w:keepLines w:val="0"/>
                    <w:widowControl/>
                    <w:suppressLineNumbers w:val="0"/>
                    <w:jc w:val="center"/>
                    <w:textAlignment w:val="center"/>
                    <w:rPr>
                      <w:rFonts w:hint="eastAsia"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19" w:type="dxa"/>
                  <w:vMerge w:val="continue"/>
                  <w:tcBorders>
                    <w:tl2br w:val="nil"/>
                    <w:tr2bl w:val="nil"/>
                  </w:tcBorders>
                  <w:vAlign w:val="center"/>
                </w:tcPr>
                <w:p>
                  <w:pPr>
                    <w:pStyle w:val="70"/>
                    <w:rPr>
                      <w:color w:val="auto"/>
                      <w:highlight w:val="none"/>
                    </w:rPr>
                  </w:pPr>
                </w:p>
              </w:tc>
              <w:tc>
                <w:tcPr>
                  <w:tcW w:w="817" w:type="dxa"/>
                  <w:vMerge w:val="restart"/>
                  <w:tcBorders>
                    <w:tl2br w:val="nil"/>
                    <w:tr2bl w:val="nil"/>
                  </w:tcBorders>
                  <w:vAlign w:val="center"/>
                </w:tcPr>
                <w:p>
                  <w:pPr>
                    <w:pStyle w:val="70"/>
                    <w:rPr>
                      <w:color w:val="auto"/>
                      <w:highlight w:val="none"/>
                    </w:rPr>
                  </w:pPr>
                  <w:r>
                    <w:rPr>
                      <w:rFonts w:hint="eastAsia"/>
                      <w:color w:val="auto"/>
                      <w:highlight w:val="none"/>
                    </w:rPr>
                    <w:t>危险废物</w:t>
                  </w:r>
                </w:p>
              </w:tc>
              <w:tc>
                <w:tcPr>
                  <w:tcW w:w="1958"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废切削液</w:t>
                  </w:r>
                </w:p>
              </w:tc>
              <w:tc>
                <w:tcPr>
                  <w:tcW w:w="1087" w:type="dxa"/>
                  <w:tcBorders>
                    <w:tl2br w:val="nil"/>
                    <w:tr2bl w:val="nil"/>
                  </w:tcBorders>
                  <w:vAlign w:val="center"/>
                </w:tcPr>
                <w:p>
                  <w:pPr>
                    <w:pStyle w:val="70"/>
                    <w:rPr>
                      <w:rFonts w:hint="eastAsia" w:eastAsia="宋体"/>
                      <w:color w:val="auto"/>
                      <w:highlight w:val="none"/>
                      <w:lang w:val="en-US" w:eastAsia="zh-CN"/>
                    </w:rPr>
                  </w:pPr>
                  <w:r>
                    <w:rPr>
                      <w:rFonts w:hint="eastAsia"/>
                      <w:color w:val="auto"/>
                      <w:highlight w:val="none"/>
                      <w:lang w:val="en-US" w:eastAsia="zh-CN"/>
                    </w:rPr>
                    <w:t>3</w:t>
                  </w:r>
                </w:p>
              </w:tc>
              <w:tc>
                <w:tcPr>
                  <w:tcW w:w="1170"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1.25</w:t>
                  </w:r>
                </w:p>
              </w:tc>
              <w:tc>
                <w:tcPr>
                  <w:tcW w:w="1020" w:type="dxa"/>
                  <w:tcBorders>
                    <w:tl2br w:val="nil"/>
                    <w:tr2bl w:val="nil"/>
                  </w:tcBorders>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4.25</w:t>
                  </w:r>
                </w:p>
              </w:tc>
              <w:tc>
                <w:tcPr>
                  <w:tcW w:w="1680" w:type="dxa"/>
                  <w:vMerge w:val="restart"/>
                  <w:tcBorders>
                    <w:tl2br w:val="nil"/>
                    <w:tr2bl w:val="nil"/>
                  </w:tcBorders>
                  <w:vAlign w:val="center"/>
                </w:tcPr>
                <w:p>
                  <w:pPr>
                    <w:pStyle w:val="70"/>
                    <w:rPr>
                      <w:color w:val="auto"/>
                      <w:highlight w:val="none"/>
                    </w:rPr>
                  </w:pPr>
                  <w:r>
                    <w:rPr>
                      <w:rFonts w:hint="eastAsia"/>
                      <w:color w:val="auto"/>
                      <w:highlight w:val="none"/>
                    </w:rPr>
                    <w:t>委托福建</w:t>
                  </w:r>
                  <w:r>
                    <w:rPr>
                      <w:rFonts w:hint="eastAsia"/>
                      <w:color w:val="auto"/>
                      <w:highlight w:val="none"/>
                      <w:lang w:val="en-US" w:eastAsia="zh-CN"/>
                    </w:rPr>
                    <w:t>兴业东江</w:t>
                  </w:r>
                  <w:r>
                    <w:rPr>
                      <w:rFonts w:hint="eastAsia"/>
                      <w:color w:val="auto"/>
                      <w:highlight w:val="none"/>
                    </w:rPr>
                    <w:t>环保科技有限公司</w:t>
                  </w:r>
                  <w:r>
                    <w:rPr>
                      <w:rFonts w:hint="eastAsia"/>
                      <w:color w:val="auto"/>
                      <w:highlight w:val="none"/>
                      <w:lang w:val="en-US" w:eastAsia="zh-CN"/>
                    </w:rPr>
                    <w:t>等有资质的单位</w:t>
                  </w:r>
                  <w:r>
                    <w:rPr>
                      <w:rFonts w:hint="eastAsia"/>
                      <w:color w:val="auto"/>
                      <w:highlight w:val="none"/>
                    </w:rPr>
                    <w:t>进行转运处置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rFonts w:hint="eastAsia"/>
                      <w:color w:val="auto"/>
                      <w:highlight w:val="none"/>
                    </w:rPr>
                  </w:pPr>
                </w:p>
              </w:tc>
              <w:tc>
                <w:tcPr>
                  <w:tcW w:w="1958"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废活性炭</w:t>
                  </w:r>
                </w:p>
              </w:tc>
              <w:tc>
                <w:tcPr>
                  <w:tcW w:w="1087"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0</w:t>
                  </w:r>
                </w:p>
              </w:tc>
              <w:tc>
                <w:tcPr>
                  <w:tcW w:w="1170"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3.5</w:t>
                  </w:r>
                </w:p>
              </w:tc>
              <w:tc>
                <w:tcPr>
                  <w:tcW w:w="10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3.5</w:t>
                  </w:r>
                </w:p>
              </w:tc>
              <w:tc>
                <w:tcPr>
                  <w:tcW w:w="1680" w:type="dxa"/>
                  <w:vMerge w:val="continue"/>
                  <w:tcBorders>
                    <w:tl2br w:val="nil"/>
                    <w:tr2bl w:val="nil"/>
                  </w:tcBorders>
                  <w:vAlign w:val="center"/>
                </w:tcPr>
                <w:p>
                  <w:pPr>
                    <w:pStyle w:val="70"/>
                    <w:rPr>
                      <w:rFonts w:hint="eastAsia"/>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rFonts w:hint="eastAsia"/>
                      <w:color w:val="auto"/>
                      <w:highlight w:val="none"/>
                    </w:rPr>
                  </w:pPr>
                </w:p>
              </w:tc>
              <w:tc>
                <w:tcPr>
                  <w:tcW w:w="1958"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废矿物油</w:t>
                  </w:r>
                </w:p>
              </w:tc>
              <w:tc>
                <w:tcPr>
                  <w:tcW w:w="1087" w:type="dxa"/>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1.39</w:t>
                  </w:r>
                </w:p>
              </w:tc>
              <w:tc>
                <w:tcPr>
                  <w:tcW w:w="1170" w:type="dxa"/>
                  <w:tcBorders>
                    <w:tl2br w:val="nil"/>
                    <w:tr2bl w:val="nil"/>
                  </w:tcBorders>
                  <w:shd w:val="clear" w:color="auto" w:fill="auto"/>
                  <w:vAlign w:val="center"/>
                </w:tcPr>
                <w:p>
                  <w:pPr>
                    <w:pStyle w:val="70"/>
                    <w:rPr>
                      <w:rFonts w:hint="default"/>
                      <w:color w:val="auto"/>
                      <w:highlight w:val="none"/>
                      <w:lang w:val="en-US" w:eastAsia="zh-CN"/>
                    </w:rPr>
                  </w:pPr>
                  <w:r>
                    <w:rPr>
                      <w:rFonts w:hint="eastAsia"/>
                      <w:color w:val="auto"/>
                      <w:highlight w:val="none"/>
                      <w:lang w:val="en-US" w:eastAsia="zh-CN"/>
                    </w:rPr>
                    <w:t>0</w:t>
                  </w:r>
                </w:p>
              </w:tc>
              <w:tc>
                <w:tcPr>
                  <w:tcW w:w="1020" w:type="dxa"/>
                  <w:tcBorders>
                    <w:tl2br w:val="nil"/>
                    <w:tr2bl w:val="nil"/>
                  </w:tcBorders>
                  <w:shd w:val="clear" w:color="auto" w:fill="auto"/>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1.39</w:t>
                  </w:r>
                </w:p>
              </w:tc>
              <w:tc>
                <w:tcPr>
                  <w:tcW w:w="1680" w:type="dxa"/>
                  <w:vMerge w:val="continue"/>
                  <w:tcBorders>
                    <w:tl2br w:val="nil"/>
                    <w:tr2bl w:val="nil"/>
                  </w:tcBorders>
                  <w:vAlign w:val="center"/>
                </w:tcPr>
                <w:p>
                  <w:pPr>
                    <w:pStyle w:val="70"/>
                    <w:rPr>
                      <w:rFonts w:hint="eastAsia"/>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color w:val="auto"/>
                      <w:highlight w:val="none"/>
                    </w:rPr>
                  </w:pPr>
                  <w:r>
                    <w:rPr>
                      <w:rFonts w:hint="eastAsia"/>
                      <w:color w:val="auto"/>
                      <w:highlight w:val="none"/>
                    </w:rPr>
                    <w:t>实验室废液</w:t>
                  </w:r>
                </w:p>
              </w:tc>
              <w:tc>
                <w:tcPr>
                  <w:tcW w:w="1087"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57</w:t>
                  </w:r>
                </w:p>
              </w:tc>
              <w:tc>
                <w:tcPr>
                  <w:tcW w:w="1170"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0.0328</w:t>
                  </w:r>
                </w:p>
              </w:tc>
              <w:tc>
                <w:tcPr>
                  <w:tcW w:w="1020" w:type="dxa"/>
                  <w:tcBorders>
                    <w:tl2br w:val="nil"/>
                    <w:tr2bl w:val="nil"/>
                  </w:tcBorders>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0.6028</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rFonts w:hint="eastAsia"/>
                      <w:color w:val="auto"/>
                      <w:highlight w:val="none"/>
                    </w:rPr>
                  </w:pPr>
                  <w:r>
                    <w:rPr>
                      <w:rFonts w:hint="eastAsia"/>
                      <w:color w:val="auto"/>
                      <w:highlight w:val="none"/>
                    </w:rPr>
                    <w:t>污水站金属污泥</w:t>
                  </w:r>
                </w:p>
              </w:tc>
              <w:tc>
                <w:tcPr>
                  <w:tcW w:w="1087"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0.1</w:t>
                  </w:r>
                </w:p>
              </w:tc>
              <w:tc>
                <w:tcPr>
                  <w:tcW w:w="1170"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0.1</w:t>
                  </w:r>
                </w:p>
              </w:tc>
              <w:tc>
                <w:tcPr>
                  <w:tcW w:w="1020" w:type="dxa"/>
                  <w:tcBorders>
                    <w:tl2br w:val="nil"/>
                    <w:tr2bl w:val="nil"/>
                  </w:tcBorders>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19" w:type="dxa"/>
                  <w:vMerge w:val="continue"/>
                  <w:tcBorders>
                    <w:tl2br w:val="nil"/>
                    <w:tr2bl w:val="nil"/>
                  </w:tcBorders>
                  <w:vAlign w:val="center"/>
                </w:tcPr>
                <w:p>
                  <w:pPr>
                    <w:pStyle w:val="70"/>
                    <w:rPr>
                      <w:color w:val="auto"/>
                      <w:highlight w:val="none"/>
                    </w:rPr>
                  </w:pPr>
                </w:p>
              </w:tc>
              <w:tc>
                <w:tcPr>
                  <w:tcW w:w="817" w:type="dxa"/>
                  <w:vMerge w:val="continue"/>
                  <w:tcBorders>
                    <w:tl2br w:val="nil"/>
                    <w:tr2bl w:val="nil"/>
                  </w:tcBorders>
                  <w:vAlign w:val="center"/>
                </w:tcPr>
                <w:p>
                  <w:pPr>
                    <w:pStyle w:val="70"/>
                    <w:rPr>
                      <w:color w:val="auto"/>
                      <w:highlight w:val="none"/>
                    </w:rPr>
                  </w:pPr>
                </w:p>
              </w:tc>
              <w:tc>
                <w:tcPr>
                  <w:tcW w:w="1958"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废硝酸瓶</w:t>
                  </w:r>
                </w:p>
              </w:tc>
              <w:tc>
                <w:tcPr>
                  <w:tcW w:w="1087"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0</w:t>
                  </w:r>
                </w:p>
              </w:tc>
              <w:tc>
                <w:tcPr>
                  <w:tcW w:w="1170"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0.015</w:t>
                  </w:r>
                </w:p>
              </w:tc>
              <w:tc>
                <w:tcPr>
                  <w:tcW w:w="1020" w:type="dxa"/>
                  <w:tcBorders>
                    <w:tl2br w:val="nil"/>
                    <w:tr2bl w:val="nil"/>
                  </w:tcBorders>
                  <w:vAlign w:val="center"/>
                </w:tcPr>
                <w:p>
                  <w:pPr>
                    <w:keepNext w:val="0"/>
                    <w:keepLines w:val="0"/>
                    <w:widowControl/>
                    <w:suppressLineNumbers w:val="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0.015</w:t>
                  </w:r>
                </w:p>
              </w:tc>
              <w:tc>
                <w:tcPr>
                  <w:tcW w:w="1680"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c>
                <w:tcPr>
                  <w:tcW w:w="619" w:type="dxa"/>
                  <w:vMerge w:val="continue"/>
                  <w:tcBorders>
                    <w:tl2br w:val="nil"/>
                    <w:tr2bl w:val="nil"/>
                  </w:tcBorders>
                  <w:vAlign w:val="center"/>
                </w:tcPr>
                <w:p>
                  <w:pPr>
                    <w:pStyle w:val="70"/>
                    <w:rPr>
                      <w:color w:val="auto"/>
                      <w:highlight w:val="none"/>
                    </w:rPr>
                  </w:pPr>
                </w:p>
              </w:tc>
              <w:tc>
                <w:tcPr>
                  <w:tcW w:w="2775" w:type="dxa"/>
                  <w:gridSpan w:val="2"/>
                  <w:tcBorders>
                    <w:tl2br w:val="nil"/>
                    <w:tr2bl w:val="nil"/>
                  </w:tcBorders>
                  <w:vAlign w:val="center"/>
                </w:tcPr>
                <w:p>
                  <w:pPr>
                    <w:pStyle w:val="70"/>
                    <w:rPr>
                      <w:color w:val="auto"/>
                      <w:highlight w:val="none"/>
                    </w:rPr>
                  </w:pPr>
                  <w:r>
                    <w:rPr>
                      <w:rFonts w:hint="eastAsia"/>
                      <w:color w:val="auto"/>
                      <w:highlight w:val="none"/>
                    </w:rPr>
                    <w:t>生活垃圾</w:t>
                  </w:r>
                </w:p>
              </w:tc>
              <w:tc>
                <w:tcPr>
                  <w:tcW w:w="1087"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39</w:t>
                  </w:r>
                </w:p>
              </w:tc>
              <w:tc>
                <w:tcPr>
                  <w:tcW w:w="1170"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13.5</w:t>
                  </w:r>
                </w:p>
              </w:tc>
              <w:tc>
                <w:tcPr>
                  <w:tcW w:w="1020" w:type="dxa"/>
                  <w:tcBorders>
                    <w:tl2br w:val="nil"/>
                    <w:tr2bl w:val="nil"/>
                  </w:tcBorders>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52.5</w:t>
                  </w:r>
                </w:p>
              </w:tc>
              <w:tc>
                <w:tcPr>
                  <w:tcW w:w="1680" w:type="dxa"/>
                  <w:tcBorders>
                    <w:tl2br w:val="nil"/>
                    <w:tr2bl w:val="nil"/>
                  </w:tcBorders>
                  <w:vAlign w:val="center"/>
                </w:tcPr>
                <w:p>
                  <w:pPr>
                    <w:pStyle w:val="70"/>
                    <w:rPr>
                      <w:color w:val="auto"/>
                      <w:highlight w:val="none"/>
                    </w:rPr>
                  </w:pPr>
                  <w:r>
                    <w:rPr>
                      <w:rFonts w:hint="eastAsia"/>
                      <w:color w:val="auto"/>
                      <w:highlight w:val="none"/>
                    </w:rPr>
                    <w:t>环卫部门统一清运</w:t>
                  </w:r>
                </w:p>
              </w:tc>
            </w:tr>
          </w:tbl>
          <w:p>
            <w:pPr>
              <w:pStyle w:val="72"/>
              <w:numPr>
                <w:ilvl w:val="0"/>
                <w:numId w:val="9"/>
              </w:numPr>
              <w:bidi w:val="0"/>
              <w:ind w:left="0" w:leftChars="0" w:firstLine="480" w:firstLineChars="200"/>
              <w:rPr>
                <w:rFonts w:hint="eastAsia"/>
                <w:color w:val="auto"/>
                <w:highlight w:val="none"/>
                <w:lang w:val="en-US" w:eastAsia="zh-CN"/>
              </w:rPr>
            </w:pPr>
            <w:r>
              <w:rPr>
                <w:rFonts w:hint="eastAsia"/>
                <w:color w:val="auto"/>
                <w:highlight w:val="none"/>
                <w:lang w:val="en-US" w:eastAsia="zh-CN"/>
              </w:rPr>
              <w:t>小结</w:t>
            </w:r>
          </w:p>
          <w:p>
            <w:pPr>
              <w:pStyle w:val="68"/>
              <w:rPr>
                <w:rFonts w:hint="eastAsia" w:eastAsia="黑体"/>
                <w:color w:val="auto"/>
                <w:highlight w:val="none"/>
                <w:lang w:val="en-US" w:eastAsia="zh-CN"/>
              </w:rPr>
            </w:pPr>
            <w:r>
              <w:rPr>
                <w:rFonts w:hint="eastAsia"/>
                <w:color w:val="auto"/>
                <w:highlight w:val="none"/>
              </w:rPr>
              <w:t>表2.6.</w:t>
            </w:r>
            <w:r>
              <w:rPr>
                <w:rFonts w:hint="eastAsia"/>
                <w:color w:val="auto"/>
                <w:highlight w:val="none"/>
                <w:lang w:val="en-US" w:eastAsia="zh-CN"/>
              </w:rPr>
              <w:t>5</w:t>
            </w:r>
            <w:r>
              <w:rPr>
                <w:rFonts w:hint="eastAsia"/>
                <w:color w:val="auto"/>
                <w:highlight w:val="none"/>
              </w:rPr>
              <w:t>现有工程污染物排放情况</w:t>
            </w:r>
            <w:r>
              <w:rPr>
                <w:rFonts w:hint="eastAsia"/>
                <w:color w:val="auto"/>
                <w:highlight w:val="none"/>
                <w:lang w:val="en-US" w:eastAsia="zh-CN"/>
              </w:rPr>
              <w:t>汇总表</w:t>
            </w:r>
          </w:p>
          <w:tbl>
            <w:tblPr>
              <w:tblStyle w:val="29"/>
              <w:tblW w:w="4997" w:type="pct"/>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67"/>
              <w:gridCol w:w="3448"/>
              <w:gridCol w:w="1282"/>
              <w:gridCol w:w="1600"/>
              <w:gridCol w:w="12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58" w:type="pct"/>
                  <w:gridSpan w:val="2"/>
                  <w:vMerge w:val="restart"/>
                  <w:tcBorders>
                    <w:tl2br w:val="nil"/>
                    <w:tr2bl w:val="nil"/>
                  </w:tcBorders>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p>
              </w:tc>
              <w:tc>
                <w:tcPr>
                  <w:tcW w:w="2441" w:type="pct"/>
                  <w:gridSpan w:val="3"/>
                  <w:tcBorders>
                    <w:tl2br w:val="nil"/>
                    <w:tr2bl w:val="nil"/>
                  </w:tcBorders>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现有工程排放量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558" w:type="pct"/>
                  <w:gridSpan w:val="2"/>
                  <w:vMerge w:val="continue"/>
                  <w:tcBorders>
                    <w:tl2br w:val="nil"/>
                    <w:tr2bl w:val="nil"/>
                  </w:tcBorders>
                  <w:vAlign w:val="center"/>
                </w:tcPr>
                <w:p>
                  <w:pPr>
                    <w:pStyle w:val="70"/>
                    <w:jc w:val="center"/>
                    <w:rPr>
                      <w:rFonts w:hint="eastAsia" w:ascii="宋体" w:hAnsi="宋体" w:eastAsia="宋体" w:cs="宋体"/>
                      <w:color w:val="auto"/>
                      <w:sz w:val="21"/>
                      <w:szCs w:val="21"/>
                      <w:highlight w:val="none"/>
                    </w:rPr>
                  </w:pPr>
                </w:p>
              </w:tc>
              <w:tc>
                <w:tcPr>
                  <w:tcW w:w="759" w:type="pct"/>
                  <w:tcBorders>
                    <w:tl2br w:val="nil"/>
                    <w:tr2bl w:val="nil"/>
                  </w:tcBorders>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已建工程</w:t>
                  </w:r>
                </w:p>
              </w:tc>
              <w:tc>
                <w:tcPr>
                  <w:tcW w:w="948" w:type="pct"/>
                  <w:tcBorders>
                    <w:tl2br w:val="nil"/>
                    <w:tr2bl w:val="nil"/>
                  </w:tcBorders>
                  <w:vAlign w:val="center"/>
                </w:tcPr>
                <w:p>
                  <w:pPr>
                    <w:pStyle w:val="7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已批未建</w:t>
                  </w:r>
                  <w:r>
                    <w:rPr>
                      <w:rFonts w:hint="eastAsia" w:ascii="宋体" w:hAnsi="宋体" w:eastAsia="宋体" w:cs="宋体"/>
                      <w:color w:val="auto"/>
                      <w:sz w:val="21"/>
                      <w:szCs w:val="21"/>
                      <w:highlight w:val="none"/>
                      <w:lang w:val="en-US" w:eastAsia="zh-CN"/>
                    </w:rPr>
                    <w:t>/在建</w:t>
                  </w:r>
                </w:p>
              </w:tc>
              <w:tc>
                <w:tcPr>
                  <w:tcW w:w="733" w:type="pct"/>
                  <w:tcBorders>
                    <w:tl2br w:val="nil"/>
                    <w:tr2bl w:val="nil"/>
                  </w:tcBorders>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13" w:type="pct"/>
                  <w:vMerge w:val="restart"/>
                  <w:tcBorders>
                    <w:tl2br w:val="nil"/>
                    <w:tr2bl w:val="nil"/>
                  </w:tcBorders>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废水</w:t>
                  </w:r>
                </w:p>
              </w:tc>
              <w:tc>
                <w:tcPr>
                  <w:tcW w:w="2044" w:type="pct"/>
                  <w:tcBorders>
                    <w:tl2br w:val="nil"/>
                    <w:tr2bl w:val="nil"/>
                  </w:tcBorders>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水量（万m</w:t>
                  </w:r>
                  <w:r>
                    <w:rPr>
                      <w:rFonts w:hint="eastAsia" w:ascii="宋体" w:hAnsi="宋体" w:eastAsia="宋体" w:cs="宋体"/>
                      <w:color w:val="auto"/>
                      <w:sz w:val="21"/>
                      <w:szCs w:val="21"/>
                      <w:highlight w:val="none"/>
                      <w:vertAlign w:val="superscript"/>
                    </w:rPr>
                    <w:t>3</w:t>
                  </w:r>
                  <w:r>
                    <w:rPr>
                      <w:rFonts w:hint="eastAsia" w:ascii="宋体" w:hAnsi="宋体" w:eastAsia="宋体" w:cs="宋体"/>
                      <w:color w:val="auto"/>
                      <w:sz w:val="21"/>
                      <w:szCs w:val="21"/>
                      <w:highlight w:val="none"/>
                    </w:rPr>
                    <w:t>/a）</w:t>
                  </w:r>
                </w:p>
              </w:tc>
              <w:tc>
                <w:tcPr>
                  <w:tcW w:w="759" w:type="pct"/>
                  <w:tcBorders>
                    <w:tl2br w:val="nil"/>
                    <w:tr2bl w:val="nil"/>
                  </w:tcBorders>
                  <w:vAlign w:val="center"/>
                </w:tcPr>
                <w:p>
                  <w:pPr>
                    <w:pStyle w:val="7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6540</w:t>
                  </w:r>
                </w:p>
              </w:tc>
              <w:tc>
                <w:tcPr>
                  <w:tcW w:w="948" w:type="pct"/>
                  <w:tcBorders>
                    <w:tl2br w:val="nil"/>
                    <w:tr2bl w:val="nil"/>
                  </w:tcBorders>
                  <w:vAlign w:val="center"/>
                </w:tcPr>
                <w:p>
                  <w:pPr>
                    <w:pStyle w:val="7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val="en-US" w:eastAsia="zh-CN"/>
                    </w:rPr>
                    <w:t>1868</w:t>
                  </w:r>
                </w:p>
              </w:tc>
              <w:tc>
                <w:tcPr>
                  <w:tcW w:w="733" w:type="pct"/>
                  <w:tcBorders>
                    <w:tl2br w:val="nil"/>
                    <w:tr2bl w:val="nil"/>
                  </w:tcBorders>
                  <w:shd w:val="clear" w:color="auto" w:fill="auto"/>
                  <w:vAlign w:val="center"/>
                </w:tcPr>
                <w:p>
                  <w:pPr>
                    <w:pStyle w:val="7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0.8</w:t>
                  </w:r>
                  <w:r>
                    <w:rPr>
                      <w:rFonts w:hint="eastAsia" w:ascii="宋体" w:hAnsi="宋体" w:eastAsia="宋体" w:cs="宋体"/>
                      <w:color w:val="auto"/>
                      <w:sz w:val="21"/>
                      <w:szCs w:val="21"/>
                      <w:highlight w:val="none"/>
                      <w:lang w:val="en-US" w:eastAsia="zh-CN"/>
                    </w:rPr>
                    <w:t>408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13" w:type="pct"/>
                  <w:vMerge w:val="continue"/>
                  <w:tcBorders>
                    <w:tl2br w:val="nil"/>
                    <w:tr2bl w:val="nil"/>
                  </w:tcBorders>
                  <w:vAlign w:val="center"/>
                </w:tcPr>
                <w:p>
                  <w:pPr>
                    <w:pStyle w:val="70"/>
                    <w:jc w:val="center"/>
                    <w:rPr>
                      <w:rFonts w:hint="eastAsia" w:ascii="宋体" w:hAnsi="宋体" w:eastAsia="宋体" w:cs="宋体"/>
                      <w:color w:val="auto"/>
                      <w:sz w:val="21"/>
                      <w:szCs w:val="21"/>
                      <w:highlight w:val="none"/>
                    </w:rPr>
                  </w:pPr>
                </w:p>
              </w:tc>
              <w:tc>
                <w:tcPr>
                  <w:tcW w:w="2044" w:type="pct"/>
                  <w:tcBorders>
                    <w:tl2br w:val="nil"/>
                    <w:tr2bl w:val="nil"/>
                  </w:tcBorders>
                  <w:shd w:val="clear" w:color="auto" w:fill="auto"/>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COD</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t/a</w:t>
                  </w:r>
                  <w:r>
                    <w:rPr>
                      <w:rFonts w:hint="eastAsia" w:ascii="宋体" w:hAnsi="宋体" w:cs="宋体"/>
                      <w:color w:val="auto"/>
                      <w:sz w:val="21"/>
                      <w:szCs w:val="21"/>
                      <w:highlight w:val="none"/>
                      <w:lang w:eastAsia="zh-CN"/>
                    </w:rPr>
                    <w:t>)</w:t>
                  </w:r>
                </w:p>
              </w:tc>
              <w:tc>
                <w:tcPr>
                  <w:tcW w:w="7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3.27</w:t>
                  </w:r>
                </w:p>
              </w:tc>
              <w:tc>
                <w:tcPr>
                  <w:tcW w:w="94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0.934</w:t>
                  </w:r>
                </w:p>
              </w:tc>
              <w:tc>
                <w:tcPr>
                  <w:tcW w:w="73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4.204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13" w:type="pct"/>
                  <w:vMerge w:val="continue"/>
                  <w:tcBorders>
                    <w:tl2br w:val="nil"/>
                    <w:tr2bl w:val="nil"/>
                  </w:tcBorders>
                  <w:vAlign w:val="center"/>
                </w:tcPr>
                <w:p>
                  <w:pPr>
                    <w:pStyle w:val="70"/>
                    <w:jc w:val="center"/>
                    <w:rPr>
                      <w:rFonts w:hint="eastAsia" w:ascii="宋体" w:hAnsi="宋体" w:eastAsia="宋体" w:cs="宋体"/>
                      <w:color w:val="auto"/>
                      <w:sz w:val="21"/>
                      <w:szCs w:val="21"/>
                      <w:highlight w:val="none"/>
                    </w:rPr>
                  </w:pPr>
                </w:p>
              </w:tc>
              <w:tc>
                <w:tcPr>
                  <w:tcW w:w="2044" w:type="pct"/>
                  <w:tcBorders>
                    <w:tl2br w:val="nil"/>
                    <w:tr2bl w:val="nil"/>
                  </w:tcBorders>
                  <w:shd w:val="clear" w:color="auto" w:fill="auto"/>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氨氮（t/a）</w:t>
                  </w:r>
                </w:p>
              </w:tc>
              <w:tc>
                <w:tcPr>
                  <w:tcW w:w="7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0.189</w:t>
                  </w:r>
                </w:p>
              </w:tc>
              <w:tc>
                <w:tcPr>
                  <w:tcW w:w="94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0.073</w:t>
                  </w:r>
                </w:p>
              </w:tc>
              <w:tc>
                <w:tcPr>
                  <w:tcW w:w="73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0.262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13" w:type="pct"/>
                  <w:vMerge w:val="continue"/>
                  <w:tcBorders>
                    <w:tl2br w:val="nil"/>
                    <w:tr2bl w:val="nil"/>
                  </w:tcBorders>
                  <w:vAlign w:val="center"/>
                </w:tcPr>
                <w:p>
                  <w:pPr>
                    <w:pStyle w:val="70"/>
                    <w:jc w:val="center"/>
                    <w:rPr>
                      <w:rFonts w:hint="eastAsia" w:ascii="宋体" w:hAnsi="宋体" w:eastAsia="宋体" w:cs="宋体"/>
                      <w:color w:val="auto"/>
                      <w:sz w:val="21"/>
                      <w:szCs w:val="21"/>
                      <w:highlight w:val="none"/>
                    </w:rPr>
                  </w:pPr>
                </w:p>
              </w:tc>
              <w:tc>
                <w:tcPr>
                  <w:tcW w:w="2044" w:type="pct"/>
                  <w:tcBorders>
                    <w:tl2br w:val="nil"/>
                    <w:tr2bl w:val="nil"/>
                  </w:tcBorders>
                  <w:shd w:val="clear" w:color="auto" w:fill="auto"/>
                  <w:vAlign w:val="center"/>
                </w:tcPr>
                <w:p>
                  <w:pPr>
                    <w:pStyle w:val="7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石油类（t/a）</w:t>
                  </w:r>
                </w:p>
              </w:tc>
              <w:tc>
                <w:tcPr>
                  <w:tcW w:w="759"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0.0468</w:t>
                  </w:r>
                </w:p>
              </w:tc>
              <w:tc>
                <w:tcPr>
                  <w:tcW w:w="948"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0.005</w:t>
                  </w:r>
                </w:p>
              </w:tc>
              <w:tc>
                <w:tcPr>
                  <w:tcW w:w="73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0.052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13" w:type="pct"/>
                  <w:vMerge w:val="restart"/>
                  <w:tcBorders>
                    <w:tl2br w:val="nil"/>
                    <w:tr2bl w:val="nil"/>
                  </w:tcBorders>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废气</w:t>
                  </w:r>
                </w:p>
              </w:tc>
              <w:tc>
                <w:tcPr>
                  <w:tcW w:w="2044" w:type="pct"/>
                  <w:tcBorders>
                    <w:tl2br w:val="nil"/>
                    <w:tr2bl w:val="nil"/>
                  </w:tcBorders>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颗粒物—工业粉尘（t/a）</w:t>
                  </w:r>
                </w:p>
              </w:tc>
              <w:tc>
                <w:tcPr>
                  <w:tcW w:w="759" w:type="pct"/>
                  <w:tcBorders>
                    <w:tl2br w:val="nil"/>
                    <w:tr2bl w:val="nil"/>
                  </w:tcBorders>
                  <w:vAlign w:val="center"/>
                </w:tcPr>
                <w:p>
                  <w:pPr>
                    <w:pStyle w:val="7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1.217</w:t>
                  </w:r>
                </w:p>
              </w:tc>
              <w:tc>
                <w:tcPr>
                  <w:tcW w:w="948" w:type="pct"/>
                  <w:tcBorders>
                    <w:tl2br w:val="nil"/>
                    <w:tr2bl w:val="nil"/>
                  </w:tcBorders>
                  <w:vAlign w:val="center"/>
                </w:tcPr>
                <w:p>
                  <w:pPr>
                    <w:pStyle w:val="70"/>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1.2104</w:t>
                  </w:r>
                </w:p>
              </w:tc>
              <w:tc>
                <w:tcPr>
                  <w:tcW w:w="733" w:type="pct"/>
                  <w:tcBorders>
                    <w:tl2br w:val="nil"/>
                    <w:tr2bl w:val="nil"/>
                  </w:tcBorders>
                  <w:shd w:val="clear" w:color="auto" w:fill="auto"/>
                  <w:vAlign w:val="center"/>
                </w:tcPr>
                <w:p>
                  <w:pPr>
                    <w:pStyle w:val="7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2.4274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13" w:type="pct"/>
                  <w:vMerge w:val="continue"/>
                  <w:tcBorders>
                    <w:tl2br w:val="nil"/>
                    <w:tr2bl w:val="nil"/>
                  </w:tcBorders>
                  <w:vAlign w:val="center"/>
                </w:tcPr>
                <w:p>
                  <w:pPr>
                    <w:pStyle w:val="70"/>
                    <w:jc w:val="center"/>
                    <w:rPr>
                      <w:rFonts w:hint="eastAsia" w:ascii="宋体" w:hAnsi="宋体" w:eastAsia="宋体" w:cs="宋体"/>
                      <w:color w:val="auto"/>
                      <w:sz w:val="21"/>
                      <w:szCs w:val="21"/>
                      <w:highlight w:val="none"/>
                    </w:rPr>
                  </w:pPr>
                </w:p>
              </w:tc>
              <w:tc>
                <w:tcPr>
                  <w:tcW w:w="2044" w:type="pct"/>
                  <w:tcBorders>
                    <w:tl2br w:val="nil"/>
                    <w:tr2bl w:val="nil"/>
                  </w:tcBorders>
                  <w:vAlign w:val="center"/>
                </w:tcPr>
                <w:p>
                  <w:pPr>
                    <w:pStyle w:val="70"/>
                    <w:jc w:val="center"/>
                    <w:rPr>
                      <w:rFonts w:hint="eastAsia" w:ascii="宋体" w:hAnsi="宋体" w:eastAsia="宋体" w:cs="宋体"/>
                      <w:color w:val="auto"/>
                      <w:sz w:val="21"/>
                      <w:szCs w:val="21"/>
                      <w:highlight w:val="none"/>
                      <w:vertAlign w:val="superscript"/>
                      <w:lang w:val="en-US" w:eastAsia="zh-CN"/>
                    </w:rPr>
                  </w:pPr>
                  <w:r>
                    <w:rPr>
                      <w:rFonts w:hint="eastAsia" w:ascii="宋体" w:hAnsi="宋体" w:eastAsia="宋体" w:cs="宋体"/>
                      <w:color w:val="auto"/>
                      <w:sz w:val="21"/>
                      <w:szCs w:val="21"/>
                      <w:highlight w:val="none"/>
                      <w:lang w:val="en-US" w:eastAsia="zh-CN"/>
                    </w:rPr>
                    <w:t>VOC</w:t>
                  </w:r>
                  <w:r>
                    <w:rPr>
                      <w:rFonts w:hint="eastAsia" w:ascii="宋体" w:hAnsi="宋体" w:eastAsia="宋体" w:cs="宋体"/>
                      <w:color w:val="auto"/>
                      <w:sz w:val="21"/>
                      <w:szCs w:val="21"/>
                      <w:highlight w:val="none"/>
                      <w:vertAlign w:val="subscript"/>
                      <w:lang w:val="en-US" w:eastAsia="zh-CN"/>
                    </w:rPr>
                    <w:t>S</w:t>
                  </w:r>
                  <w:r>
                    <w:rPr>
                      <w:rFonts w:hint="eastAsia" w:ascii="宋体" w:hAnsi="宋体" w:cs="宋体"/>
                      <w:color w:val="auto"/>
                      <w:sz w:val="21"/>
                      <w:szCs w:val="21"/>
                      <w:highlight w:val="none"/>
                      <w:vertAlign w:val="subscript"/>
                      <w:lang w:val="en-US" w:eastAsia="zh-CN"/>
                    </w:rPr>
                    <w:t>(</w:t>
                  </w:r>
                  <w:r>
                    <w:rPr>
                      <w:rFonts w:hint="eastAsia" w:ascii="宋体" w:hAnsi="宋体" w:eastAsia="宋体" w:cs="宋体"/>
                      <w:color w:val="auto"/>
                      <w:sz w:val="21"/>
                      <w:szCs w:val="21"/>
                      <w:highlight w:val="none"/>
                    </w:rPr>
                    <w:t>t/a</w:t>
                  </w:r>
                  <w:r>
                    <w:rPr>
                      <w:rFonts w:hint="eastAsia" w:ascii="宋体" w:hAnsi="宋体" w:cs="宋体"/>
                      <w:color w:val="auto"/>
                      <w:sz w:val="21"/>
                      <w:szCs w:val="21"/>
                      <w:highlight w:val="none"/>
                      <w:lang w:eastAsia="zh-CN"/>
                    </w:rPr>
                    <w:t>)</w:t>
                  </w:r>
                </w:p>
              </w:tc>
              <w:tc>
                <w:tcPr>
                  <w:tcW w:w="759" w:type="pct"/>
                  <w:tcBorders>
                    <w:tl2br w:val="nil"/>
                    <w:tr2bl w:val="nil"/>
                  </w:tcBorders>
                  <w:vAlign w:val="center"/>
                </w:tcPr>
                <w:p>
                  <w:pPr>
                    <w:pStyle w:val="7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948" w:type="pct"/>
                  <w:tcBorders>
                    <w:tl2br w:val="nil"/>
                    <w:tr2bl w:val="nil"/>
                  </w:tcBorders>
                  <w:vAlign w:val="center"/>
                </w:tcPr>
                <w:p>
                  <w:pPr>
                    <w:pStyle w:val="70"/>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0.896</w:t>
                  </w:r>
                </w:p>
              </w:tc>
              <w:tc>
                <w:tcPr>
                  <w:tcW w:w="733" w:type="pct"/>
                  <w:tcBorders>
                    <w:tl2br w:val="nil"/>
                    <w:tr2bl w:val="nil"/>
                  </w:tcBorders>
                  <w:shd w:val="clear" w:color="auto" w:fill="auto"/>
                  <w:vAlign w:val="center"/>
                </w:tcPr>
                <w:p>
                  <w:pPr>
                    <w:pStyle w:val="7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0.8906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13" w:type="pct"/>
                  <w:vMerge w:val="restart"/>
                  <w:tcBorders>
                    <w:tl2br w:val="nil"/>
                    <w:tr2bl w:val="nil"/>
                  </w:tcBorders>
                  <w:vAlign w:val="center"/>
                </w:tcPr>
                <w:p>
                  <w:pPr>
                    <w:pStyle w:val="7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固废</w:t>
                  </w:r>
                  <w:r>
                    <w:rPr>
                      <w:rStyle w:val="35"/>
                      <w:rFonts w:hint="eastAsia" w:ascii="宋体" w:hAnsi="宋体" w:eastAsia="宋体" w:cs="宋体"/>
                      <w:snapToGrid/>
                      <w:color w:val="auto"/>
                      <w:kern w:val="0"/>
                      <w:sz w:val="21"/>
                      <w:szCs w:val="21"/>
                      <w:highlight w:val="none"/>
                      <w:lang w:val="en-US" w:eastAsia="zh-CN"/>
                    </w:rPr>
                    <w:t>产生量</w:t>
                  </w:r>
                </w:p>
              </w:tc>
              <w:tc>
                <w:tcPr>
                  <w:tcW w:w="2044" w:type="pct"/>
                  <w:tcBorders>
                    <w:tl2br w:val="nil"/>
                    <w:tr2bl w:val="nil"/>
                  </w:tcBorders>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一般固体废物（t/a）</w:t>
                  </w:r>
                </w:p>
              </w:tc>
              <w:tc>
                <w:tcPr>
                  <w:tcW w:w="759" w:type="pct"/>
                  <w:tcBorders>
                    <w:tl2br w:val="nil"/>
                    <w:tr2bl w:val="nil"/>
                  </w:tcBorders>
                  <w:vAlign w:val="center"/>
                </w:tcPr>
                <w:p>
                  <w:pPr>
                    <w:pStyle w:val="7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1617.602</w:t>
                  </w:r>
                </w:p>
              </w:tc>
              <w:tc>
                <w:tcPr>
                  <w:tcW w:w="948" w:type="pct"/>
                  <w:tcBorders>
                    <w:tl2br w:val="nil"/>
                    <w:tr2bl w:val="nil"/>
                  </w:tcBorders>
                  <w:vAlign w:val="center"/>
                </w:tcPr>
                <w:p>
                  <w:pPr>
                    <w:pStyle w:val="7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55.6645</w:t>
                  </w:r>
                </w:p>
              </w:tc>
              <w:tc>
                <w:tcPr>
                  <w:tcW w:w="733" w:type="pct"/>
                  <w:tcBorders>
                    <w:tl2br w:val="nil"/>
                    <w:tr2bl w:val="nil"/>
                  </w:tcBorders>
                  <w:shd w:val="clear" w:color="auto" w:fill="auto"/>
                  <w:vAlign w:val="center"/>
                </w:tcPr>
                <w:p>
                  <w:pPr>
                    <w:pStyle w:val="7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1673.2665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513" w:type="pct"/>
                  <w:vMerge w:val="continue"/>
                  <w:tcBorders>
                    <w:tl2br w:val="nil"/>
                    <w:tr2bl w:val="nil"/>
                  </w:tcBorders>
                  <w:vAlign w:val="center"/>
                </w:tcPr>
                <w:p>
                  <w:pPr>
                    <w:pStyle w:val="70"/>
                    <w:jc w:val="center"/>
                    <w:rPr>
                      <w:rFonts w:hint="eastAsia" w:ascii="宋体" w:hAnsi="宋体" w:eastAsia="宋体" w:cs="宋体"/>
                      <w:color w:val="auto"/>
                      <w:sz w:val="21"/>
                      <w:szCs w:val="21"/>
                      <w:highlight w:val="none"/>
                    </w:rPr>
                  </w:pPr>
                </w:p>
              </w:tc>
              <w:tc>
                <w:tcPr>
                  <w:tcW w:w="2044" w:type="pct"/>
                  <w:tcBorders>
                    <w:tl2br w:val="nil"/>
                    <w:tr2bl w:val="nil"/>
                  </w:tcBorders>
                  <w:shd w:val="clear" w:color="auto" w:fill="auto"/>
                  <w:vAlign w:val="center"/>
                </w:tcPr>
                <w:p>
                  <w:pPr>
                    <w:pStyle w:val="7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危险废物（t/a）</w:t>
                  </w:r>
                </w:p>
              </w:tc>
              <w:tc>
                <w:tcPr>
                  <w:tcW w:w="759" w:type="pct"/>
                  <w:tcBorders>
                    <w:tl2br w:val="nil"/>
                    <w:tr2bl w:val="nil"/>
                  </w:tcBorders>
                  <w:shd w:val="clear" w:color="auto" w:fill="auto"/>
                  <w:vAlign w:val="center"/>
                </w:tcPr>
                <w:p>
                  <w:pPr>
                    <w:pStyle w:val="70"/>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5.06</w:t>
                  </w:r>
                </w:p>
              </w:tc>
              <w:tc>
                <w:tcPr>
                  <w:tcW w:w="948" w:type="pct"/>
                  <w:tcBorders>
                    <w:tl2br w:val="nil"/>
                    <w:tr2bl w:val="nil"/>
                  </w:tcBorders>
                  <w:vAlign w:val="center"/>
                </w:tcPr>
                <w:p>
                  <w:pPr>
                    <w:pStyle w:val="7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1.3978</w:t>
                  </w:r>
                </w:p>
              </w:tc>
              <w:tc>
                <w:tcPr>
                  <w:tcW w:w="733" w:type="pct"/>
                  <w:tcBorders>
                    <w:tl2br w:val="nil"/>
                    <w:tr2bl w:val="nil"/>
                  </w:tcBorders>
                  <w:shd w:val="clear" w:color="auto" w:fill="auto"/>
                  <w:vAlign w:val="center"/>
                </w:tcPr>
                <w:p>
                  <w:pPr>
                    <w:pStyle w:val="7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6.4578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13" w:type="pct"/>
                  <w:vMerge w:val="continue"/>
                  <w:tcBorders>
                    <w:tl2br w:val="nil"/>
                    <w:tr2bl w:val="nil"/>
                  </w:tcBorders>
                  <w:vAlign w:val="center"/>
                </w:tcPr>
                <w:p>
                  <w:pPr>
                    <w:pStyle w:val="70"/>
                    <w:jc w:val="center"/>
                    <w:rPr>
                      <w:rFonts w:hint="eastAsia" w:ascii="宋体" w:hAnsi="宋体" w:eastAsia="宋体" w:cs="宋体"/>
                      <w:color w:val="auto"/>
                      <w:sz w:val="21"/>
                      <w:szCs w:val="21"/>
                      <w:highlight w:val="none"/>
                    </w:rPr>
                  </w:pPr>
                </w:p>
              </w:tc>
              <w:tc>
                <w:tcPr>
                  <w:tcW w:w="2044" w:type="pct"/>
                  <w:tcBorders>
                    <w:tl2br w:val="nil"/>
                    <w:tr2bl w:val="nil"/>
                  </w:tcBorders>
                  <w:vAlign w:val="center"/>
                </w:tcPr>
                <w:p>
                  <w:pPr>
                    <w:pStyle w:val="7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生活垃圾（t/a）</w:t>
                  </w:r>
                </w:p>
              </w:tc>
              <w:tc>
                <w:tcPr>
                  <w:tcW w:w="1282" w:type="dxa"/>
                  <w:tcBorders>
                    <w:tl2br w:val="nil"/>
                    <w:tr2bl w:val="nil"/>
                  </w:tcBorders>
                  <w:vAlign w:val="center"/>
                </w:tcPr>
                <w:p>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1600"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23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52.5</w:t>
                  </w:r>
                </w:p>
              </w:tc>
            </w:tr>
          </w:tbl>
          <w:p>
            <w:pPr>
              <w:pStyle w:val="72"/>
              <w:ind w:firstLine="480"/>
              <w:rPr>
                <w:rFonts w:hint="eastAsia"/>
                <w:color w:val="auto"/>
                <w:highlight w:val="none"/>
                <w:lang w:val="en-US" w:eastAsia="zh-CN"/>
              </w:rPr>
            </w:pPr>
          </w:p>
          <w:p>
            <w:pPr>
              <w:pStyle w:val="25"/>
              <w:jc w:val="center"/>
              <w:outlineLvl w:val="0"/>
              <w:rPr>
                <w:rFonts w:hint="eastAsia" w:ascii="黑体" w:hAnsi="黑体" w:eastAsia="黑体"/>
                <w:snapToGrid w:val="0"/>
                <w:color w:val="auto"/>
                <w:sz w:val="30"/>
                <w:szCs w:val="30"/>
                <w:highlight w:val="none"/>
                <w:vertAlign w:val="baseline"/>
              </w:rPr>
            </w:pPr>
          </w:p>
        </w:tc>
      </w:tr>
    </w:tbl>
    <w:p>
      <w:pPr>
        <w:pStyle w:val="25"/>
        <w:jc w:val="both"/>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区域</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质量</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190" w:type="dxa"/>
            <w:vAlign w:val="center"/>
          </w:tcPr>
          <w:p>
            <w:pPr>
              <w:pStyle w:val="64"/>
              <w:numPr>
                <w:ilvl w:val="2"/>
                <w:numId w:val="0"/>
              </w:numPr>
              <w:tabs>
                <w:tab w:val="clear" w:pos="2160"/>
              </w:tabs>
              <w:rPr>
                <w:color w:val="auto"/>
                <w:highlight w:val="none"/>
              </w:rPr>
            </w:pPr>
            <w:r>
              <w:rPr>
                <w:rFonts w:hint="eastAsia"/>
                <w:color w:val="auto"/>
                <w:highlight w:val="none"/>
              </w:rPr>
              <w:t>3.1环境质量现状调查</w:t>
            </w:r>
          </w:p>
          <w:p>
            <w:pPr>
              <w:pStyle w:val="66"/>
              <w:numPr>
                <w:ilvl w:val="3"/>
                <w:numId w:val="0"/>
              </w:numPr>
              <w:rPr>
                <w:color w:val="auto"/>
                <w:highlight w:val="none"/>
              </w:rPr>
            </w:pPr>
            <w:r>
              <w:rPr>
                <w:rFonts w:hint="eastAsia"/>
                <w:color w:val="auto"/>
                <w:highlight w:val="none"/>
              </w:rPr>
              <w:t>3.1.1大气环境质量现状</w:t>
            </w:r>
          </w:p>
          <w:p>
            <w:pPr>
              <w:pStyle w:val="72"/>
              <w:ind w:firstLine="480"/>
              <w:rPr>
                <w:color w:val="auto"/>
                <w:highlight w:val="none"/>
              </w:rPr>
            </w:pPr>
            <w:r>
              <w:rPr>
                <w:rFonts w:hint="eastAsia"/>
                <w:color w:val="auto"/>
                <w:highlight w:val="none"/>
              </w:rPr>
              <w:t>（1）环境功能区划</w:t>
            </w:r>
          </w:p>
          <w:p>
            <w:pPr>
              <w:pStyle w:val="72"/>
              <w:ind w:firstLine="480"/>
              <w:rPr>
                <w:color w:val="auto"/>
              </w:rPr>
            </w:pPr>
            <w:r>
              <w:rPr>
                <w:rFonts w:hint="eastAsia"/>
                <w:color w:val="auto"/>
              </w:rPr>
              <w:t>项目所在区域属于长乐</w:t>
            </w:r>
            <w:r>
              <w:rPr>
                <w:rFonts w:hint="eastAsia"/>
                <w:color w:val="auto"/>
                <w:lang w:val="en-US" w:eastAsia="zh-CN"/>
              </w:rPr>
              <w:t>临空经济区</w:t>
            </w:r>
            <w:r>
              <w:rPr>
                <w:rFonts w:hint="eastAsia"/>
                <w:color w:val="auto"/>
              </w:rPr>
              <w:t>，根据《福州市环境空气质量功能区划》</w:t>
            </w:r>
            <w:r>
              <w:rPr>
                <w:rFonts w:hint="eastAsia"/>
                <w:color w:val="auto"/>
                <w:sz w:val="24"/>
                <w:szCs w:val="24"/>
                <w:lang w:eastAsia="zh-CN"/>
              </w:rPr>
              <w:t>（</w:t>
            </w:r>
            <w:r>
              <w:rPr>
                <w:rFonts w:hint="eastAsia"/>
                <w:color w:val="auto"/>
                <w:sz w:val="24"/>
                <w:szCs w:val="24"/>
                <w:lang w:val="en-US" w:eastAsia="zh-CN"/>
              </w:rPr>
              <w:t>榕政综[2014]30号</w:t>
            </w:r>
            <w:r>
              <w:rPr>
                <w:rFonts w:hint="eastAsia"/>
                <w:color w:val="auto"/>
                <w:sz w:val="24"/>
                <w:szCs w:val="24"/>
                <w:lang w:eastAsia="zh-CN"/>
              </w:rPr>
              <w:t>）</w:t>
            </w:r>
            <w:r>
              <w:rPr>
                <w:rFonts w:hint="eastAsia"/>
                <w:color w:val="auto"/>
              </w:rPr>
              <w:t>，属于环境空气功能区中的二类区</w:t>
            </w:r>
            <w:r>
              <w:rPr>
                <w:rFonts w:hint="eastAsia"/>
                <w:color w:val="auto"/>
                <w:lang w:eastAsia="zh-CN"/>
              </w:rPr>
              <w:t>。</w:t>
            </w:r>
            <w:r>
              <w:rPr>
                <w:rFonts w:hint="eastAsia"/>
                <w:color w:val="auto"/>
                <w:lang w:val="en-US" w:eastAsia="zh-CN"/>
              </w:rPr>
              <w:t>2026年2月28日以前，</w:t>
            </w:r>
            <w:r>
              <w:rPr>
                <w:rFonts w:hint="eastAsia"/>
                <w:color w:val="auto"/>
              </w:rPr>
              <w:t>常规大气污染物PM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、SO</w:t>
            </w:r>
            <w:r>
              <w:rPr>
                <w:rFonts w:hint="eastAsia"/>
                <w:color w:val="auto"/>
                <w:vertAlign w:val="subscript"/>
              </w:rPr>
              <w:t>2</w:t>
            </w:r>
            <w:r>
              <w:rPr>
                <w:rFonts w:hint="eastAsia"/>
                <w:color w:val="auto"/>
              </w:rPr>
              <w:t>、NO</w:t>
            </w:r>
            <w:r>
              <w:rPr>
                <w:rFonts w:hint="eastAsia"/>
                <w:color w:val="auto"/>
                <w:vertAlign w:val="subscript"/>
              </w:rPr>
              <w:t>2</w:t>
            </w:r>
            <w:r>
              <w:rPr>
                <w:rFonts w:hint="eastAsia"/>
                <w:color w:val="auto"/>
              </w:rPr>
              <w:t>、CO、O</w:t>
            </w:r>
            <w:r>
              <w:rPr>
                <w:rFonts w:hint="eastAsia"/>
                <w:color w:val="auto"/>
                <w:vertAlign w:val="subscript"/>
              </w:rPr>
              <w:t>3</w:t>
            </w:r>
            <w:r>
              <w:rPr>
                <w:rFonts w:hint="eastAsia"/>
                <w:color w:val="auto"/>
              </w:rPr>
              <w:t>、TSP执行《环境空气质量标准》（GB3095-2012）表1中的二级标准。</w:t>
            </w:r>
            <w:r>
              <w:rPr>
                <w:rFonts w:hint="eastAsia"/>
                <w:color w:val="auto"/>
                <w:lang w:val="en-US" w:eastAsia="zh-CN"/>
              </w:rPr>
              <w:t>过渡阶段（2026年3月1日至2030年12月31日）执行《环境空气质量标准》（GB3095-2026）二级中的过渡阶段浓度限值，自2031年1月1日起执行《环境空气质量标准》（GB3095-2026）二级浓度限值。</w:t>
            </w:r>
            <w:r>
              <w:rPr>
                <w:rFonts w:hint="eastAsia"/>
                <w:color w:val="auto"/>
                <w:highlight w:val="none"/>
              </w:rPr>
              <w:t>非甲烷总烃参照《大气污染物综合排放标准详解》执行。</w:t>
            </w:r>
            <w:r>
              <w:rPr>
                <w:rFonts w:hint="eastAsia"/>
                <w:color w:val="auto"/>
              </w:rPr>
              <w:t>详见表3.1.1。</w:t>
            </w:r>
          </w:p>
          <w:p>
            <w:pPr>
              <w:pStyle w:val="68"/>
              <w:rPr>
                <w:color w:val="auto"/>
              </w:rPr>
            </w:pPr>
            <w:r>
              <w:rPr>
                <w:rFonts w:hint="eastAsia"/>
                <w:color w:val="auto"/>
              </w:rPr>
              <w:t>表3.1.1环境空气质量标准</w:t>
            </w:r>
          </w:p>
          <w:tbl>
            <w:tblPr>
              <w:tblStyle w:val="28"/>
              <w:tblW w:w="8499"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75"/>
              <w:gridCol w:w="1765"/>
              <w:gridCol w:w="1845"/>
              <w:gridCol w:w="8"/>
              <w:gridCol w:w="2283"/>
              <w:gridCol w:w="16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35" w:hRule="atLeast"/>
              </w:trPr>
              <w:tc>
                <w:tcPr>
                  <w:tcW w:w="975" w:type="dxa"/>
                  <w:vMerge w:val="restart"/>
                  <w:tcBorders>
                    <w:tl2br w:val="nil"/>
                    <w:tr2bl w:val="nil"/>
                  </w:tcBorders>
                  <w:vAlign w:val="center"/>
                </w:tcPr>
                <w:p>
                  <w:pPr>
                    <w:pStyle w:val="70"/>
                    <w:rPr>
                      <w:color w:val="auto"/>
                    </w:rPr>
                  </w:pPr>
                  <w:r>
                    <w:rPr>
                      <w:rFonts w:hint="eastAsia"/>
                      <w:color w:val="auto"/>
                    </w:rPr>
                    <w:t>污染物名称</w:t>
                  </w:r>
                </w:p>
              </w:tc>
              <w:tc>
                <w:tcPr>
                  <w:tcW w:w="1765" w:type="dxa"/>
                  <w:vMerge w:val="restart"/>
                  <w:tcBorders>
                    <w:tl2br w:val="nil"/>
                    <w:tr2bl w:val="nil"/>
                  </w:tcBorders>
                  <w:vAlign w:val="center"/>
                </w:tcPr>
                <w:p>
                  <w:pPr>
                    <w:pStyle w:val="70"/>
                    <w:rPr>
                      <w:color w:val="auto"/>
                    </w:rPr>
                  </w:pPr>
                  <w:r>
                    <w:rPr>
                      <w:rFonts w:hint="eastAsia"/>
                      <w:color w:val="auto"/>
                    </w:rPr>
                    <w:t>取值时间</w:t>
                  </w:r>
                </w:p>
              </w:tc>
              <w:tc>
                <w:tcPr>
                  <w:tcW w:w="1853" w:type="dxa"/>
                  <w:gridSpan w:val="2"/>
                  <w:tcBorders>
                    <w:bottom w:val="single" w:color="auto" w:sz="4" w:space="0"/>
                    <w:right w:val="single" w:color="auto" w:sz="4" w:space="0"/>
                    <w:tl2br w:val="nil"/>
                    <w:tr2bl w:val="nil"/>
                  </w:tcBorders>
                  <w:vAlign w:val="center"/>
                </w:tcPr>
                <w:p>
                  <w:pPr>
                    <w:pStyle w:val="70"/>
                    <w:rPr>
                      <w:rFonts w:hint="eastAsia"/>
                      <w:color w:val="auto"/>
                    </w:rPr>
                  </w:pPr>
                  <w:r>
                    <w:rPr>
                      <w:rFonts w:hint="eastAsia"/>
                      <w:color w:val="auto"/>
                      <w:lang w:val="en-US" w:eastAsia="zh-CN"/>
                    </w:rPr>
                    <w:t>GB3095-2012</w:t>
                  </w:r>
                  <w:r>
                    <w:rPr>
                      <w:rFonts w:hint="eastAsia"/>
                      <w:color w:val="auto"/>
                    </w:rPr>
                    <w:t>浓度限值mg/m</w:t>
                  </w:r>
                  <w:r>
                    <w:rPr>
                      <w:rFonts w:hint="eastAsia"/>
                      <w:color w:val="auto"/>
                      <w:vertAlign w:val="superscript"/>
                    </w:rPr>
                    <w:t>3</w:t>
                  </w:r>
                </w:p>
              </w:tc>
              <w:tc>
                <w:tcPr>
                  <w:tcW w:w="3906" w:type="dxa"/>
                  <w:gridSpan w:val="2"/>
                  <w:tcBorders>
                    <w:left w:val="single" w:color="auto" w:sz="4" w:space="0"/>
                    <w:bottom w:val="single" w:color="auto" w:sz="4" w:space="0"/>
                    <w:tl2br w:val="nil"/>
                    <w:tr2bl w:val="nil"/>
                  </w:tcBorders>
                  <w:vAlign w:val="center"/>
                </w:tcPr>
                <w:p>
                  <w:pPr>
                    <w:pStyle w:val="70"/>
                    <w:rPr>
                      <w:rFonts w:hint="eastAsia"/>
                      <w:color w:val="auto"/>
                    </w:rPr>
                  </w:pPr>
                  <w:r>
                    <w:rPr>
                      <w:rFonts w:hint="eastAsia"/>
                      <w:color w:val="auto"/>
                      <w:lang w:val="en-US" w:eastAsia="zh-CN"/>
                    </w:rPr>
                    <w:t>GB3095-2026</w:t>
                  </w:r>
                  <w:r>
                    <w:rPr>
                      <w:rFonts w:hint="eastAsia"/>
                      <w:color w:val="auto"/>
                    </w:rPr>
                    <w:t>浓度限值mg/m</w:t>
                  </w:r>
                  <w:r>
                    <w:rPr>
                      <w:rFonts w:hint="eastAsia"/>
                      <w:color w:val="auto"/>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5" w:hRule="atLeast"/>
              </w:trPr>
              <w:tc>
                <w:tcPr>
                  <w:tcW w:w="975" w:type="dxa"/>
                  <w:vMerge w:val="continue"/>
                  <w:tcBorders>
                    <w:tl2br w:val="nil"/>
                    <w:tr2bl w:val="nil"/>
                  </w:tcBorders>
                  <w:vAlign w:val="center"/>
                </w:tcPr>
                <w:p>
                  <w:pPr>
                    <w:pStyle w:val="70"/>
                    <w:rPr>
                      <w:rFonts w:hint="eastAsia"/>
                      <w:color w:val="auto"/>
                    </w:rPr>
                  </w:pPr>
                </w:p>
              </w:tc>
              <w:tc>
                <w:tcPr>
                  <w:tcW w:w="1765" w:type="dxa"/>
                  <w:vMerge w:val="continue"/>
                  <w:tcBorders>
                    <w:tl2br w:val="nil"/>
                    <w:tr2bl w:val="nil"/>
                  </w:tcBorders>
                  <w:vAlign w:val="center"/>
                </w:tcPr>
                <w:p>
                  <w:pPr>
                    <w:pStyle w:val="70"/>
                    <w:rPr>
                      <w:rFonts w:hint="eastAsia"/>
                      <w:color w:val="auto"/>
                    </w:rPr>
                  </w:pPr>
                </w:p>
              </w:tc>
              <w:tc>
                <w:tcPr>
                  <w:tcW w:w="1845" w:type="dxa"/>
                  <w:tcBorders>
                    <w:top w:val="single" w:color="auto" w:sz="4" w:space="0"/>
                    <w:right w:val="single" w:color="auto" w:sz="4" w:space="0"/>
                    <w:tl2br w:val="nil"/>
                    <w:tr2bl w:val="nil"/>
                  </w:tcBorders>
                  <w:vAlign w:val="center"/>
                </w:tcPr>
                <w:p>
                  <w:pPr>
                    <w:pStyle w:val="70"/>
                    <w:rPr>
                      <w:rFonts w:hint="default" w:eastAsia="宋体"/>
                      <w:color w:val="auto"/>
                      <w:lang w:val="en-US" w:eastAsia="zh-CN"/>
                    </w:rPr>
                  </w:pPr>
                  <w:r>
                    <w:rPr>
                      <w:rFonts w:hint="eastAsia"/>
                      <w:color w:val="auto"/>
                      <w:lang w:val="en-US" w:eastAsia="zh-CN"/>
                    </w:rPr>
                    <w:t>2026年2月28日前</w:t>
                  </w:r>
                </w:p>
              </w:tc>
              <w:tc>
                <w:tcPr>
                  <w:tcW w:w="2291" w:type="dxa"/>
                  <w:gridSpan w:val="2"/>
                  <w:tcBorders>
                    <w:top w:val="single" w:color="auto" w:sz="4" w:space="0"/>
                    <w:left w:val="single" w:color="auto" w:sz="4" w:space="0"/>
                    <w:tl2br w:val="nil"/>
                    <w:tr2bl w:val="nil"/>
                  </w:tcBorders>
                </w:tcPr>
                <w:p>
                  <w:pPr>
                    <w:pStyle w:val="70"/>
                    <w:rPr>
                      <w:rFonts w:hint="default" w:eastAsia="宋体"/>
                      <w:color w:val="auto"/>
                      <w:lang w:val="en-US" w:eastAsia="zh-CN"/>
                    </w:rPr>
                  </w:pPr>
                  <w:r>
                    <w:rPr>
                      <w:rFonts w:hint="eastAsia"/>
                      <w:color w:val="auto"/>
                      <w:lang w:val="en-US" w:eastAsia="zh-CN"/>
                    </w:rPr>
                    <w:t>2026年3月1日~2030年12月31日</w:t>
                  </w:r>
                </w:p>
              </w:tc>
              <w:tc>
                <w:tcPr>
                  <w:tcW w:w="1623" w:type="dxa"/>
                  <w:tcBorders>
                    <w:top w:val="single" w:color="auto" w:sz="4" w:space="0"/>
                    <w:tl2br w:val="nil"/>
                    <w:tr2bl w:val="nil"/>
                  </w:tcBorders>
                </w:tcPr>
                <w:p>
                  <w:pPr>
                    <w:pStyle w:val="70"/>
                    <w:rPr>
                      <w:rFonts w:hint="default" w:eastAsia="宋体"/>
                      <w:color w:val="auto"/>
                      <w:lang w:val="en-US" w:eastAsia="zh-CN"/>
                    </w:rPr>
                  </w:pPr>
                  <w:r>
                    <w:rPr>
                      <w:rFonts w:hint="eastAsia"/>
                      <w:color w:val="auto"/>
                      <w:lang w:val="en-US" w:eastAsia="zh-CN"/>
                    </w:rPr>
                    <w:t>2031年1月1日起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restart"/>
                  <w:tcBorders>
                    <w:tl2br w:val="nil"/>
                    <w:tr2bl w:val="nil"/>
                  </w:tcBorders>
                  <w:vAlign w:val="center"/>
                </w:tcPr>
                <w:p>
                  <w:pPr>
                    <w:pStyle w:val="70"/>
                    <w:rPr>
                      <w:color w:val="auto"/>
                    </w:rPr>
                  </w:pPr>
                  <w:r>
                    <w:rPr>
                      <w:rFonts w:hint="eastAsia"/>
                      <w:color w:val="auto"/>
                    </w:rPr>
                    <w:t>SO</w:t>
                  </w:r>
                  <w:r>
                    <w:rPr>
                      <w:rFonts w:hint="eastAsia"/>
                      <w:color w:val="auto"/>
                      <w:vertAlign w:val="subscript"/>
                    </w:rPr>
                    <w:t>2</w:t>
                  </w:r>
                </w:p>
              </w:tc>
              <w:tc>
                <w:tcPr>
                  <w:tcW w:w="1765" w:type="dxa"/>
                  <w:tcBorders>
                    <w:tl2br w:val="nil"/>
                    <w:tr2bl w:val="nil"/>
                  </w:tcBorders>
                  <w:vAlign w:val="center"/>
                </w:tcPr>
                <w:p>
                  <w:pPr>
                    <w:pStyle w:val="70"/>
                    <w:rPr>
                      <w:rFonts w:hint="default" w:eastAsia="宋体"/>
                      <w:color w:val="auto"/>
                      <w:lang w:val="en-US" w:eastAsia="zh-CN"/>
                    </w:rPr>
                  </w:pPr>
                  <w:r>
                    <w:rPr>
                      <w:rFonts w:hint="eastAsia"/>
                      <w:color w:val="auto"/>
                      <w:lang w:val="en-US" w:eastAsia="zh-CN"/>
                    </w:rPr>
                    <w:t>年平均</w:t>
                  </w:r>
                </w:p>
              </w:tc>
              <w:tc>
                <w:tcPr>
                  <w:tcW w:w="1845" w:type="dxa"/>
                  <w:tcBorders>
                    <w:tl2br w:val="nil"/>
                    <w:tr2bl w:val="nil"/>
                  </w:tcBorders>
                  <w:vAlign w:val="center"/>
                </w:tcPr>
                <w:p>
                  <w:pPr>
                    <w:pStyle w:val="70"/>
                    <w:rPr>
                      <w:rFonts w:hint="default" w:eastAsia="宋体"/>
                      <w:color w:val="auto"/>
                      <w:lang w:val="en-US" w:eastAsia="zh-CN"/>
                    </w:rPr>
                  </w:pPr>
                  <w:r>
                    <w:rPr>
                      <w:rFonts w:hint="eastAsia"/>
                      <w:color w:val="auto"/>
                      <w:lang w:val="en-US" w:eastAsia="zh-CN"/>
                    </w:rPr>
                    <w:t>0.06</w:t>
                  </w:r>
                </w:p>
              </w:tc>
              <w:tc>
                <w:tcPr>
                  <w:tcW w:w="2291" w:type="dxa"/>
                  <w:gridSpan w:val="2"/>
                  <w:tcBorders>
                    <w:tl2br w:val="nil"/>
                    <w:tr2bl w:val="nil"/>
                  </w:tcBorders>
                  <w:vAlign w:val="center"/>
                </w:tcPr>
                <w:p>
                  <w:pPr>
                    <w:pStyle w:val="70"/>
                    <w:rPr>
                      <w:rFonts w:hint="default"/>
                      <w:color w:val="auto"/>
                      <w:lang w:val="en-US" w:eastAsia="zh-CN"/>
                    </w:rPr>
                  </w:pPr>
                  <w:r>
                    <w:rPr>
                      <w:rFonts w:hint="eastAsia"/>
                      <w:color w:val="auto"/>
                      <w:lang w:val="en-US" w:eastAsia="zh-CN"/>
                    </w:rPr>
                    <w:t>0.06</w:t>
                  </w:r>
                </w:p>
              </w:tc>
              <w:tc>
                <w:tcPr>
                  <w:tcW w:w="1623" w:type="dxa"/>
                  <w:tcBorders>
                    <w:tl2br w:val="nil"/>
                    <w:tr2bl w:val="nil"/>
                  </w:tcBorders>
                  <w:vAlign w:val="center"/>
                </w:tcPr>
                <w:p>
                  <w:pPr>
                    <w:pStyle w:val="70"/>
                    <w:rPr>
                      <w:rFonts w:hint="default"/>
                      <w:color w:val="auto"/>
                      <w:lang w:val="en-US" w:eastAsia="zh-CN"/>
                    </w:rPr>
                  </w:pPr>
                  <w:r>
                    <w:rPr>
                      <w:rFonts w:hint="eastAsia"/>
                      <w:color w:val="auto"/>
                      <w:lang w:val="en-US" w:eastAsia="zh-CN"/>
                    </w:rPr>
                    <w:t>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continue"/>
                  <w:tcBorders>
                    <w:tl2br w:val="nil"/>
                    <w:tr2bl w:val="nil"/>
                  </w:tcBorders>
                  <w:vAlign w:val="center"/>
                </w:tcPr>
                <w:p>
                  <w:pPr>
                    <w:pStyle w:val="70"/>
                    <w:rPr>
                      <w:color w:val="auto"/>
                    </w:rPr>
                  </w:pPr>
                </w:p>
              </w:tc>
              <w:tc>
                <w:tcPr>
                  <w:tcW w:w="1765" w:type="dxa"/>
                  <w:tcBorders>
                    <w:tl2br w:val="nil"/>
                    <w:tr2bl w:val="nil"/>
                  </w:tcBorders>
                  <w:vAlign w:val="center"/>
                </w:tcPr>
                <w:p>
                  <w:pPr>
                    <w:pStyle w:val="70"/>
                    <w:rPr>
                      <w:color w:val="auto"/>
                    </w:rPr>
                  </w:pPr>
                  <w:r>
                    <w:rPr>
                      <w:rFonts w:hint="eastAsia"/>
                      <w:color w:val="auto"/>
                    </w:rPr>
                    <w:t>24h均值</w:t>
                  </w:r>
                </w:p>
              </w:tc>
              <w:tc>
                <w:tcPr>
                  <w:tcW w:w="1845" w:type="dxa"/>
                  <w:tcBorders>
                    <w:tl2br w:val="nil"/>
                    <w:tr2bl w:val="nil"/>
                  </w:tcBorders>
                  <w:vAlign w:val="center"/>
                </w:tcPr>
                <w:p>
                  <w:pPr>
                    <w:pStyle w:val="70"/>
                    <w:rPr>
                      <w:color w:val="auto"/>
                    </w:rPr>
                  </w:pPr>
                  <w:r>
                    <w:rPr>
                      <w:rFonts w:hint="eastAsia"/>
                      <w:color w:val="auto"/>
                    </w:rPr>
                    <w:t>0.15</w:t>
                  </w:r>
                </w:p>
              </w:tc>
              <w:tc>
                <w:tcPr>
                  <w:tcW w:w="2291" w:type="dxa"/>
                  <w:gridSpan w:val="2"/>
                  <w:tcBorders>
                    <w:tl2br w:val="nil"/>
                    <w:tr2bl w:val="nil"/>
                  </w:tcBorders>
                  <w:vAlign w:val="center"/>
                </w:tcPr>
                <w:p>
                  <w:pPr>
                    <w:pStyle w:val="70"/>
                    <w:rPr>
                      <w:rFonts w:hint="default" w:eastAsia="宋体"/>
                      <w:color w:val="auto"/>
                      <w:lang w:val="en-US" w:eastAsia="zh-CN"/>
                    </w:rPr>
                  </w:pPr>
                  <w:r>
                    <w:rPr>
                      <w:rFonts w:hint="eastAsia"/>
                      <w:color w:val="auto"/>
                      <w:lang w:val="en-US" w:eastAsia="zh-CN"/>
                    </w:rPr>
                    <w:t>0.15</w:t>
                  </w:r>
                </w:p>
              </w:tc>
              <w:tc>
                <w:tcPr>
                  <w:tcW w:w="1623" w:type="dxa"/>
                  <w:tcBorders>
                    <w:tl2br w:val="nil"/>
                    <w:tr2bl w:val="nil"/>
                  </w:tcBorders>
                  <w:vAlign w:val="center"/>
                </w:tcPr>
                <w:p>
                  <w:pPr>
                    <w:pStyle w:val="70"/>
                    <w:rPr>
                      <w:rFonts w:hint="default" w:eastAsia="宋体"/>
                      <w:color w:val="auto"/>
                      <w:lang w:val="en-US" w:eastAsia="zh-CN"/>
                    </w:rPr>
                  </w:pPr>
                  <w:r>
                    <w:rPr>
                      <w:rFonts w:hint="eastAsia"/>
                      <w:color w:val="auto"/>
                      <w:lang w:val="en-US" w:eastAsia="zh-CN"/>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continue"/>
                  <w:tcBorders>
                    <w:tl2br w:val="nil"/>
                    <w:tr2bl w:val="nil"/>
                  </w:tcBorders>
                  <w:vAlign w:val="center"/>
                </w:tcPr>
                <w:p>
                  <w:pPr>
                    <w:pStyle w:val="70"/>
                    <w:rPr>
                      <w:color w:val="auto"/>
                    </w:rPr>
                  </w:pPr>
                </w:p>
              </w:tc>
              <w:tc>
                <w:tcPr>
                  <w:tcW w:w="1765" w:type="dxa"/>
                  <w:tcBorders>
                    <w:tl2br w:val="nil"/>
                    <w:tr2bl w:val="nil"/>
                  </w:tcBorders>
                  <w:vAlign w:val="center"/>
                </w:tcPr>
                <w:p>
                  <w:pPr>
                    <w:pStyle w:val="70"/>
                    <w:rPr>
                      <w:color w:val="auto"/>
                    </w:rPr>
                  </w:pPr>
                  <w:r>
                    <w:rPr>
                      <w:rFonts w:hint="eastAsia"/>
                      <w:color w:val="auto"/>
                    </w:rPr>
                    <w:t>1h均值</w:t>
                  </w:r>
                </w:p>
              </w:tc>
              <w:tc>
                <w:tcPr>
                  <w:tcW w:w="1845" w:type="dxa"/>
                  <w:tcBorders>
                    <w:tl2br w:val="nil"/>
                    <w:tr2bl w:val="nil"/>
                  </w:tcBorders>
                  <w:vAlign w:val="center"/>
                </w:tcPr>
                <w:p>
                  <w:pPr>
                    <w:pStyle w:val="70"/>
                    <w:rPr>
                      <w:color w:val="auto"/>
                    </w:rPr>
                  </w:pPr>
                  <w:r>
                    <w:rPr>
                      <w:rFonts w:hint="eastAsia"/>
                      <w:color w:val="auto"/>
                    </w:rPr>
                    <w:t>0.50</w:t>
                  </w:r>
                </w:p>
              </w:tc>
              <w:tc>
                <w:tcPr>
                  <w:tcW w:w="2291" w:type="dxa"/>
                  <w:gridSpan w:val="2"/>
                  <w:tcBorders>
                    <w:tl2br w:val="nil"/>
                    <w:tr2bl w:val="nil"/>
                  </w:tcBorders>
                </w:tcPr>
                <w:p>
                  <w:pPr>
                    <w:pStyle w:val="70"/>
                    <w:rPr>
                      <w:rFonts w:hint="default" w:eastAsia="宋体"/>
                      <w:color w:val="auto"/>
                      <w:lang w:val="en-US" w:eastAsia="zh-CN"/>
                    </w:rPr>
                  </w:pPr>
                  <w:r>
                    <w:rPr>
                      <w:rFonts w:hint="eastAsia"/>
                      <w:color w:val="auto"/>
                      <w:lang w:val="en-US" w:eastAsia="zh-CN"/>
                    </w:rPr>
                    <w:t>0.50</w:t>
                  </w:r>
                </w:p>
              </w:tc>
              <w:tc>
                <w:tcPr>
                  <w:tcW w:w="1623" w:type="dxa"/>
                  <w:tcBorders>
                    <w:tl2br w:val="nil"/>
                    <w:tr2bl w:val="nil"/>
                  </w:tcBorders>
                </w:tcPr>
                <w:p>
                  <w:pPr>
                    <w:pStyle w:val="70"/>
                    <w:rPr>
                      <w:rFonts w:hint="default" w:eastAsia="宋体"/>
                      <w:color w:val="auto"/>
                      <w:lang w:val="en-US" w:eastAsia="zh-CN"/>
                    </w:rPr>
                  </w:pPr>
                  <w:r>
                    <w:rPr>
                      <w:rFonts w:hint="eastAsia"/>
                      <w:color w:val="auto"/>
                      <w:lang w:val="en-US" w:eastAsia="zh-CN"/>
                    </w:rPr>
                    <w:t>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restart"/>
                  <w:tcBorders>
                    <w:tl2br w:val="nil"/>
                    <w:tr2bl w:val="nil"/>
                  </w:tcBorders>
                  <w:vAlign w:val="center"/>
                </w:tcPr>
                <w:p>
                  <w:pPr>
                    <w:pStyle w:val="70"/>
                    <w:rPr>
                      <w:color w:val="auto"/>
                      <w:vertAlign w:val="subscript"/>
                    </w:rPr>
                  </w:pPr>
                  <w:r>
                    <w:rPr>
                      <w:rFonts w:hint="eastAsia"/>
                      <w:color w:val="auto"/>
                    </w:rPr>
                    <w:t>NO</w:t>
                  </w:r>
                  <w:r>
                    <w:rPr>
                      <w:rFonts w:hint="eastAsia"/>
                      <w:color w:val="auto"/>
                      <w:vertAlign w:val="subscript"/>
                    </w:rPr>
                    <w:t>2</w:t>
                  </w:r>
                </w:p>
              </w:tc>
              <w:tc>
                <w:tcPr>
                  <w:tcW w:w="1765" w:type="dxa"/>
                  <w:tcBorders>
                    <w:tl2br w:val="nil"/>
                    <w:tr2bl w:val="nil"/>
                  </w:tcBorders>
                  <w:vAlign w:val="center"/>
                </w:tcPr>
                <w:p>
                  <w:pPr>
                    <w:pStyle w:val="70"/>
                    <w:rPr>
                      <w:rFonts w:hint="default" w:eastAsia="宋体"/>
                      <w:color w:val="auto"/>
                      <w:lang w:val="en-US" w:eastAsia="zh-CN"/>
                    </w:rPr>
                  </w:pPr>
                  <w:r>
                    <w:rPr>
                      <w:rFonts w:hint="eastAsia"/>
                      <w:color w:val="auto"/>
                      <w:lang w:val="en-US" w:eastAsia="zh-CN"/>
                    </w:rPr>
                    <w:t>年均值</w:t>
                  </w:r>
                </w:p>
              </w:tc>
              <w:tc>
                <w:tcPr>
                  <w:tcW w:w="1845" w:type="dxa"/>
                  <w:tcBorders>
                    <w:tl2br w:val="nil"/>
                    <w:tr2bl w:val="nil"/>
                  </w:tcBorders>
                  <w:vAlign w:val="center"/>
                </w:tcPr>
                <w:p>
                  <w:pPr>
                    <w:pStyle w:val="70"/>
                    <w:rPr>
                      <w:rFonts w:hint="default" w:eastAsia="宋体"/>
                      <w:color w:val="auto"/>
                      <w:lang w:val="en-US" w:eastAsia="zh-CN"/>
                    </w:rPr>
                  </w:pPr>
                  <w:r>
                    <w:rPr>
                      <w:rFonts w:hint="eastAsia"/>
                      <w:color w:val="auto"/>
                      <w:lang w:val="en-US" w:eastAsia="zh-CN"/>
                    </w:rPr>
                    <w:t>0.04</w:t>
                  </w:r>
                </w:p>
              </w:tc>
              <w:tc>
                <w:tcPr>
                  <w:tcW w:w="2291" w:type="dxa"/>
                  <w:gridSpan w:val="2"/>
                  <w:tcBorders>
                    <w:tl2br w:val="nil"/>
                    <w:tr2bl w:val="nil"/>
                  </w:tcBorders>
                </w:tcPr>
                <w:p>
                  <w:pPr>
                    <w:pStyle w:val="70"/>
                    <w:rPr>
                      <w:rFonts w:hint="default"/>
                      <w:color w:val="auto"/>
                      <w:lang w:val="en-US" w:eastAsia="zh-CN"/>
                    </w:rPr>
                  </w:pPr>
                  <w:r>
                    <w:rPr>
                      <w:rFonts w:hint="eastAsia"/>
                      <w:color w:val="auto"/>
                      <w:lang w:val="en-US" w:eastAsia="zh-CN"/>
                    </w:rPr>
                    <w:t>0.04</w:t>
                  </w:r>
                </w:p>
              </w:tc>
              <w:tc>
                <w:tcPr>
                  <w:tcW w:w="1623" w:type="dxa"/>
                  <w:tcBorders>
                    <w:tl2br w:val="nil"/>
                    <w:tr2bl w:val="nil"/>
                  </w:tcBorders>
                </w:tcPr>
                <w:p>
                  <w:pPr>
                    <w:pStyle w:val="70"/>
                    <w:rPr>
                      <w:rFonts w:hint="default"/>
                      <w:color w:val="auto"/>
                      <w:lang w:val="en-US" w:eastAsia="zh-CN"/>
                    </w:rPr>
                  </w:pPr>
                  <w:r>
                    <w:rPr>
                      <w:rFonts w:hint="eastAsia"/>
                      <w:color w:val="auto"/>
                      <w:lang w:val="en-US" w:eastAsia="zh-CN"/>
                    </w:rPr>
                    <w:t>0.03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continue"/>
                  <w:tcBorders>
                    <w:tl2br w:val="nil"/>
                    <w:tr2bl w:val="nil"/>
                  </w:tcBorders>
                  <w:vAlign w:val="center"/>
                </w:tcPr>
                <w:p>
                  <w:pPr>
                    <w:pStyle w:val="70"/>
                    <w:rPr>
                      <w:color w:val="auto"/>
                      <w:vertAlign w:val="subscript"/>
                    </w:rPr>
                  </w:pPr>
                </w:p>
              </w:tc>
              <w:tc>
                <w:tcPr>
                  <w:tcW w:w="1765" w:type="dxa"/>
                  <w:tcBorders>
                    <w:tl2br w:val="nil"/>
                    <w:tr2bl w:val="nil"/>
                  </w:tcBorders>
                  <w:vAlign w:val="center"/>
                </w:tcPr>
                <w:p>
                  <w:pPr>
                    <w:pStyle w:val="70"/>
                    <w:rPr>
                      <w:color w:val="auto"/>
                    </w:rPr>
                  </w:pPr>
                  <w:r>
                    <w:rPr>
                      <w:rFonts w:hint="eastAsia"/>
                      <w:color w:val="auto"/>
                    </w:rPr>
                    <w:t>24h均值</w:t>
                  </w:r>
                </w:p>
              </w:tc>
              <w:tc>
                <w:tcPr>
                  <w:tcW w:w="1845" w:type="dxa"/>
                  <w:tcBorders>
                    <w:tl2br w:val="nil"/>
                    <w:tr2bl w:val="nil"/>
                  </w:tcBorders>
                  <w:vAlign w:val="center"/>
                </w:tcPr>
                <w:p>
                  <w:pPr>
                    <w:pStyle w:val="70"/>
                    <w:rPr>
                      <w:color w:val="auto"/>
                    </w:rPr>
                  </w:pPr>
                  <w:r>
                    <w:rPr>
                      <w:rFonts w:hint="eastAsia"/>
                      <w:color w:val="auto"/>
                    </w:rPr>
                    <w:t>0.08</w:t>
                  </w:r>
                </w:p>
              </w:tc>
              <w:tc>
                <w:tcPr>
                  <w:tcW w:w="2291" w:type="dxa"/>
                  <w:gridSpan w:val="2"/>
                  <w:tcBorders>
                    <w:tl2br w:val="nil"/>
                    <w:tr2bl w:val="nil"/>
                  </w:tcBorders>
                </w:tcPr>
                <w:p>
                  <w:pPr>
                    <w:pStyle w:val="70"/>
                    <w:rPr>
                      <w:rFonts w:hint="default" w:eastAsia="宋体"/>
                      <w:color w:val="auto"/>
                      <w:lang w:val="en-US" w:eastAsia="zh-CN"/>
                    </w:rPr>
                  </w:pPr>
                  <w:r>
                    <w:rPr>
                      <w:rFonts w:hint="eastAsia"/>
                      <w:color w:val="auto"/>
                      <w:lang w:val="en-US" w:eastAsia="zh-CN"/>
                    </w:rPr>
                    <w:t>0.08</w:t>
                  </w:r>
                </w:p>
              </w:tc>
              <w:tc>
                <w:tcPr>
                  <w:tcW w:w="1623" w:type="dxa"/>
                  <w:tcBorders>
                    <w:tl2br w:val="nil"/>
                    <w:tr2bl w:val="nil"/>
                  </w:tcBorders>
                </w:tcPr>
                <w:p>
                  <w:pPr>
                    <w:pStyle w:val="70"/>
                    <w:rPr>
                      <w:rFonts w:hint="default" w:eastAsia="宋体"/>
                      <w:color w:val="auto"/>
                      <w:lang w:val="en-US" w:eastAsia="zh-CN"/>
                    </w:rPr>
                  </w:pPr>
                  <w:r>
                    <w:rPr>
                      <w:rFonts w:hint="eastAsia"/>
                      <w:color w:val="auto"/>
                      <w:lang w:val="en-US" w:eastAsia="zh-CN"/>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continue"/>
                  <w:tcBorders>
                    <w:tl2br w:val="nil"/>
                    <w:tr2bl w:val="nil"/>
                  </w:tcBorders>
                  <w:vAlign w:val="center"/>
                </w:tcPr>
                <w:p>
                  <w:pPr>
                    <w:pStyle w:val="70"/>
                    <w:rPr>
                      <w:color w:val="auto"/>
                    </w:rPr>
                  </w:pPr>
                </w:p>
              </w:tc>
              <w:tc>
                <w:tcPr>
                  <w:tcW w:w="1765" w:type="dxa"/>
                  <w:tcBorders>
                    <w:tl2br w:val="nil"/>
                    <w:tr2bl w:val="nil"/>
                  </w:tcBorders>
                  <w:vAlign w:val="center"/>
                </w:tcPr>
                <w:p>
                  <w:pPr>
                    <w:pStyle w:val="70"/>
                    <w:rPr>
                      <w:color w:val="auto"/>
                    </w:rPr>
                  </w:pPr>
                  <w:r>
                    <w:rPr>
                      <w:rFonts w:hint="eastAsia"/>
                      <w:color w:val="auto"/>
                    </w:rPr>
                    <w:t>1h均值</w:t>
                  </w:r>
                </w:p>
              </w:tc>
              <w:tc>
                <w:tcPr>
                  <w:tcW w:w="1845" w:type="dxa"/>
                  <w:tcBorders>
                    <w:tl2br w:val="nil"/>
                    <w:tr2bl w:val="nil"/>
                  </w:tcBorders>
                  <w:vAlign w:val="center"/>
                </w:tcPr>
                <w:p>
                  <w:pPr>
                    <w:pStyle w:val="70"/>
                    <w:rPr>
                      <w:color w:val="auto"/>
                    </w:rPr>
                  </w:pPr>
                  <w:r>
                    <w:rPr>
                      <w:rFonts w:hint="eastAsia"/>
                      <w:color w:val="auto"/>
                    </w:rPr>
                    <w:t>0.20</w:t>
                  </w:r>
                </w:p>
              </w:tc>
              <w:tc>
                <w:tcPr>
                  <w:tcW w:w="2291" w:type="dxa"/>
                  <w:gridSpan w:val="2"/>
                  <w:tcBorders>
                    <w:tl2br w:val="nil"/>
                    <w:tr2bl w:val="nil"/>
                  </w:tcBorders>
                </w:tcPr>
                <w:p>
                  <w:pPr>
                    <w:pStyle w:val="70"/>
                    <w:rPr>
                      <w:rFonts w:hint="default" w:eastAsia="宋体"/>
                      <w:color w:val="auto"/>
                      <w:lang w:val="en-US" w:eastAsia="zh-CN"/>
                    </w:rPr>
                  </w:pPr>
                  <w:r>
                    <w:rPr>
                      <w:rFonts w:hint="eastAsia"/>
                      <w:color w:val="auto"/>
                      <w:lang w:val="en-US" w:eastAsia="zh-CN"/>
                    </w:rPr>
                    <w:t>0.20</w:t>
                  </w:r>
                </w:p>
              </w:tc>
              <w:tc>
                <w:tcPr>
                  <w:tcW w:w="1623" w:type="dxa"/>
                  <w:tcBorders>
                    <w:tl2br w:val="nil"/>
                    <w:tr2bl w:val="nil"/>
                  </w:tcBorders>
                </w:tcPr>
                <w:p>
                  <w:pPr>
                    <w:pStyle w:val="70"/>
                    <w:rPr>
                      <w:rFonts w:hint="default" w:eastAsia="宋体"/>
                      <w:color w:val="auto"/>
                      <w:lang w:val="en-US" w:eastAsia="zh-CN"/>
                    </w:rPr>
                  </w:pPr>
                  <w:r>
                    <w:rPr>
                      <w:rFonts w:hint="eastAsia"/>
                      <w:color w:val="auto"/>
                      <w:lang w:val="en-US" w:eastAsia="zh-CN"/>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restart"/>
                  <w:tcBorders>
                    <w:tl2br w:val="nil"/>
                    <w:tr2bl w:val="nil"/>
                  </w:tcBorders>
                  <w:vAlign w:val="center"/>
                </w:tcPr>
                <w:p>
                  <w:pPr>
                    <w:pStyle w:val="70"/>
                    <w:rPr>
                      <w:color w:val="auto"/>
                    </w:rPr>
                  </w:pPr>
                  <w:r>
                    <w:rPr>
                      <w:rFonts w:hint="eastAsia"/>
                      <w:color w:val="auto"/>
                    </w:rPr>
                    <w:t>CO</w:t>
                  </w:r>
                </w:p>
              </w:tc>
              <w:tc>
                <w:tcPr>
                  <w:tcW w:w="1765" w:type="dxa"/>
                  <w:tcBorders>
                    <w:tl2br w:val="nil"/>
                    <w:tr2bl w:val="nil"/>
                  </w:tcBorders>
                  <w:vAlign w:val="center"/>
                </w:tcPr>
                <w:p>
                  <w:pPr>
                    <w:pStyle w:val="70"/>
                    <w:rPr>
                      <w:color w:val="auto"/>
                    </w:rPr>
                  </w:pPr>
                  <w:r>
                    <w:rPr>
                      <w:rFonts w:hint="eastAsia"/>
                      <w:color w:val="auto"/>
                    </w:rPr>
                    <w:t>24h均值</w:t>
                  </w:r>
                </w:p>
              </w:tc>
              <w:tc>
                <w:tcPr>
                  <w:tcW w:w="1845" w:type="dxa"/>
                  <w:tcBorders>
                    <w:tl2br w:val="nil"/>
                    <w:tr2bl w:val="nil"/>
                  </w:tcBorders>
                  <w:vAlign w:val="center"/>
                </w:tcPr>
                <w:p>
                  <w:pPr>
                    <w:pStyle w:val="70"/>
                    <w:rPr>
                      <w:color w:val="auto"/>
                    </w:rPr>
                  </w:pPr>
                  <w:r>
                    <w:rPr>
                      <w:rFonts w:hint="eastAsia"/>
                      <w:color w:val="auto"/>
                    </w:rPr>
                    <w:t>4</w:t>
                  </w:r>
                </w:p>
              </w:tc>
              <w:tc>
                <w:tcPr>
                  <w:tcW w:w="2291" w:type="dxa"/>
                  <w:gridSpan w:val="2"/>
                  <w:tcBorders>
                    <w:tl2br w:val="nil"/>
                    <w:tr2bl w:val="nil"/>
                  </w:tcBorders>
                </w:tcPr>
                <w:p>
                  <w:pPr>
                    <w:pStyle w:val="70"/>
                    <w:rPr>
                      <w:rFonts w:hint="eastAsia" w:eastAsia="宋体"/>
                      <w:color w:val="auto"/>
                      <w:lang w:val="en-US" w:eastAsia="zh-CN"/>
                    </w:rPr>
                  </w:pPr>
                  <w:r>
                    <w:rPr>
                      <w:rFonts w:hint="eastAsia"/>
                      <w:color w:val="auto"/>
                      <w:lang w:val="en-US" w:eastAsia="zh-CN"/>
                    </w:rPr>
                    <w:t>4</w:t>
                  </w:r>
                </w:p>
              </w:tc>
              <w:tc>
                <w:tcPr>
                  <w:tcW w:w="1623" w:type="dxa"/>
                  <w:tcBorders>
                    <w:tl2br w:val="nil"/>
                    <w:tr2bl w:val="nil"/>
                  </w:tcBorders>
                </w:tcPr>
                <w:p>
                  <w:pPr>
                    <w:pStyle w:val="70"/>
                    <w:rPr>
                      <w:rFonts w:hint="eastAsia" w:eastAsia="宋体"/>
                      <w:color w:val="auto"/>
                      <w:lang w:val="en-US" w:eastAsia="zh-CN"/>
                    </w:rPr>
                  </w:pPr>
                  <w:r>
                    <w:rPr>
                      <w:rFonts w:hint="eastAsia"/>
                      <w:color w:val="auto"/>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continue"/>
                  <w:tcBorders>
                    <w:tl2br w:val="nil"/>
                    <w:tr2bl w:val="nil"/>
                  </w:tcBorders>
                  <w:vAlign w:val="center"/>
                </w:tcPr>
                <w:p>
                  <w:pPr>
                    <w:pStyle w:val="70"/>
                    <w:rPr>
                      <w:color w:val="auto"/>
                    </w:rPr>
                  </w:pPr>
                </w:p>
              </w:tc>
              <w:tc>
                <w:tcPr>
                  <w:tcW w:w="1765" w:type="dxa"/>
                  <w:tcBorders>
                    <w:tl2br w:val="nil"/>
                    <w:tr2bl w:val="nil"/>
                  </w:tcBorders>
                  <w:vAlign w:val="center"/>
                </w:tcPr>
                <w:p>
                  <w:pPr>
                    <w:pStyle w:val="70"/>
                    <w:rPr>
                      <w:color w:val="auto"/>
                    </w:rPr>
                  </w:pPr>
                  <w:r>
                    <w:rPr>
                      <w:rFonts w:hint="eastAsia"/>
                      <w:color w:val="auto"/>
                    </w:rPr>
                    <w:t>1h均值</w:t>
                  </w:r>
                </w:p>
              </w:tc>
              <w:tc>
                <w:tcPr>
                  <w:tcW w:w="1845" w:type="dxa"/>
                  <w:tcBorders>
                    <w:tl2br w:val="nil"/>
                    <w:tr2bl w:val="nil"/>
                  </w:tcBorders>
                  <w:vAlign w:val="center"/>
                </w:tcPr>
                <w:p>
                  <w:pPr>
                    <w:pStyle w:val="70"/>
                    <w:rPr>
                      <w:color w:val="auto"/>
                    </w:rPr>
                  </w:pPr>
                  <w:r>
                    <w:rPr>
                      <w:rFonts w:hint="eastAsia"/>
                      <w:color w:val="auto"/>
                    </w:rPr>
                    <w:t>10</w:t>
                  </w:r>
                </w:p>
              </w:tc>
              <w:tc>
                <w:tcPr>
                  <w:tcW w:w="2291" w:type="dxa"/>
                  <w:gridSpan w:val="2"/>
                  <w:tcBorders>
                    <w:tl2br w:val="nil"/>
                    <w:tr2bl w:val="nil"/>
                  </w:tcBorders>
                </w:tcPr>
                <w:p>
                  <w:pPr>
                    <w:pStyle w:val="70"/>
                    <w:rPr>
                      <w:rFonts w:hint="default" w:eastAsia="宋体"/>
                      <w:color w:val="auto"/>
                      <w:lang w:val="en-US" w:eastAsia="zh-CN"/>
                    </w:rPr>
                  </w:pPr>
                  <w:r>
                    <w:rPr>
                      <w:rFonts w:hint="eastAsia"/>
                      <w:color w:val="auto"/>
                      <w:lang w:val="en-US" w:eastAsia="zh-CN"/>
                    </w:rPr>
                    <w:t>10</w:t>
                  </w:r>
                </w:p>
              </w:tc>
              <w:tc>
                <w:tcPr>
                  <w:tcW w:w="1623" w:type="dxa"/>
                  <w:tcBorders>
                    <w:tl2br w:val="nil"/>
                    <w:tr2bl w:val="nil"/>
                  </w:tcBorders>
                </w:tcPr>
                <w:p>
                  <w:pPr>
                    <w:pStyle w:val="70"/>
                    <w:rPr>
                      <w:rFonts w:hint="default" w:eastAsia="宋体"/>
                      <w:color w:val="auto"/>
                      <w:lang w:val="en-US" w:eastAsia="zh-CN"/>
                    </w:rPr>
                  </w:pPr>
                  <w:r>
                    <w:rPr>
                      <w:rFonts w:hint="eastAsia"/>
                      <w:color w:val="auto"/>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 w:hRule="atLeast"/>
              </w:trPr>
              <w:tc>
                <w:tcPr>
                  <w:tcW w:w="975" w:type="dxa"/>
                  <w:vMerge w:val="restart"/>
                  <w:tcBorders>
                    <w:tl2br w:val="nil"/>
                    <w:tr2bl w:val="nil"/>
                  </w:tcBorders>
                  <w:vAlign w:val="center"/>
                </w:tcPr>
                <w:p>
                  <w:pPr>
                    <w:pStyle w:val="70"/>
                    <w:rPr>
                      <w:color w:val="auto"/>
                      <w:vertAlign w:val="subscript"/>
                    </w:rPr>
                  </w:pPr>
                  <w:r>
                    <w:rPr>
                      <w:rFonts w:hint="eastAsia"/>
                      <w:color w:val="auto"/>
                    </w:rPr>
                    <w:t>O</w:t>
                  </w:r>
                  <w:r>
                    <w:rPr>
                      <w:rFonts w:hint="eastAsia"/>
                      <w:color w:val="auto"/>
                      <w:vertAlign w:val="subscript"/>
                    </w:rPr>
                    <w:t>3</w:t>
                  </w:r>
                </w:p>
              </w:tc>
              <w:tc>
                <w:tcPr>
                  <w:tcW w:w="1765" w:type="dxa"/>
                  <w:tcBorders>
                    <w:tl2br w:val="nil"/>
                    <w:tr2bl w:val="nil"/>
                  </w:tcBorders>
                  <w:vAlign w:val="center"/>
                </w:tcPr>
                <w:p>
                  <w:pPr>
                    <w:pStyle w:val="70"/>
                    <w:rPr>
                      <w:color w:val="auto"/>
                    </w:rPr>
                  </w:pPr>
                  <w:r>
                    <w:rPr>
                      <w:rFonts w:hint="eastAsia"/>
                      <w:color w:val="auto"/>
                    </w:rPr>
                    <w:t>日最大8h均值</w:t>
                  </w:r>
                </w:p>
              </w:tc>
              <w:tc>
                <w:tcPr>
                  <w:tcW w:w="1845" w:type="dxa"/>
                  <w:tcBorders>
                    <w:tl2br w:val="nil"/>
                    <w:tr2bl w:val="nil"/>
                  </w:tcBorders>
                  <w:vAlign w:val="center"/>
                </w:tcPr>
                <w:p>
                  <w:pPr>
                    <w:pStyle w:val="70"/>
                    <w:rPr>
                      <w:color w:val="auto"/>
                    </w:rPr>
                  </w:pPr>
                  <w:r>
                    <w:rPr>
                      <w:rFonts w:hint="eastAsia"/>
                      <w:color w:val="auto"/>
                    </w:rPr>
                    <w:t>0.16</w:t>
                  </w:r>
                </w:p>
              </w:tc>
              <w:tc>
                <w:tcPr>
                  <w:tcW w:w="2291" w:type="dxa"/>
                  <w:gridSpan w:val="2"/>
                  <w:tcBorders>
                    <w:tl2br w:val="nil"/>
                    <w:tr2bl w:val="nil"/>
                  </w:tcBorders>
                </w:tcPr>
                <w:p>
                  <w:pPr>
                    <w:pStyle w:val="70"/>
                    <w:rPr>
                      <w:rFonts w:hint="default" w:eastAsia="宋体"/>
                      <w:color w:val="auto"/>
                      <w:lang w:val="en-US" w:eastAsia="zh-CN"/>
                    </w:rPr>
                  </w:pPr>
                  <w:r>
                    <w:rPr>
                      <w:rFonts w:hint="eastAsia"/>
                      <w:color w:val="auto"/>
                      <w:lang w:val="en-US" w:eastAsia="zh-CN"/>
                    </w:rPr>
                    <w:t>0.16</w:t>
                  </w:r>
                </w:p>
              </w:tc>
              <w:tc>
                <w:tcPr>
                  <w:tcW w:w="1623" w:type="dxa"/>
                  <w:tcBorders>
                    <w:tl2br w:val="nil"/>
                    <w:tr2bl w:val="nil"/>
                  </w:tcBorders>
                </w:tcPr>
                <w:p>
                  <w:pPr>
                    <w:pStyle w:val="70"/>
                    <w:rPr>
                      <w:rFonts w:hint="default" w:eastAsia="宋体"/>
                      <w:color w:val="auto"/>
                      <w:lang w:val="en-US" w:eastAsia="zh-CN"/>
                    </w:rPr>
                  </w:pPr>
                  <w:r>
                    <w:rPr>
                      <w:rFonts w:hint="eastAsia"/>
                      <w:color w:val="auto"/>
                      <w:lang w:val="en-US" w:eastAsia="zh-CN"/>
                    </w:rPr>
                    <w:t>0.16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continue"/>
                  <w:tcBorders>
                    <w:tl2br w:val="nil"/>
                    <w:tr2bl w:val="nil"/>
                  </w:tcBorders>
                  <w:vAlign w:val="center"/>
                </w:tcPr>
                <w:p>
                  <w:pPr>
                    <w:pStyle w:val="70"/>
                    <w:rPr>
                      <w:color w:val="auto"/>
                    </w:rPr>
                  </w:pPr>
                </w:p>
              </w:tc>
              <w:tc>
                <w:tcPr>
                  <w:tcW w:w="1765" w:type="dxa"/>
                  <w:tcBorders>
                    <w:tl2br w:val="nil"/>
                    <w:tr2bl w:val="nil"/>
                  </w:tcBorders>
                  <w:vAlign w:val="center"/>
                </w:tcPr>
                <w:p>
                  <w:pPr>
                    <w:pStyle w:val="70"/>
                    <w:rPr>
                      <w:color w:val="auto"/>
                    </w:rPr>
                  </w:pPr>
                  <w:r>
                    <w:rPr>
                      <w:rFonts w:hint="eastAsia"/>
                      <w:color w:val="auto"/>
                    </w:rPr>
                    <w:t>1h均值</w:t>
                  </w:r>
                </w:p>
              </w:tc>
              <w:tc>
                <w:tcPr>
                  <w:tcW w:w="1845" w:type="dxa"/>
                  <w:tcBorders>
                    <w:tl2br w:val="nil"/>
                    <w:tr2bl w:val="nil"/>
                  </w:tcBorders>
                  <w:vAlign w:val="center"/>
                </w:tcPr>
                <w:p>
                  <w:pPr>
                    <w:pStyle w:val="70"/>
                    <w:rPr>
                      <w:color w:val="auto"/>
                    </w:rPr>
                  </w:pPr>
                  <w:r>
                    <w:rPr>
                      <w:rFonts w:hint="eastAsia"/>
                      <w:color w:val="auto"/>
                    </w:rPr>
                    <w:t>0.20</w:t>
                  </w:r>
                </w:p>
              </w:tc>
              <w:tc>
                <w:tcPr>
                  <w:tcW w:w="2291" w:type="dxa"/>
                  <w:gridSpan w:val="2"/>
                  <w:tcBorders>
                    <w:tl2br w:val="nil"/>
                    <w:tr2bl w:val="nil"/>
                  </w:tcBorders>
                </w:tcPr>
                <w:p>
                  <w:pPr>
                    <w:pStyle w:val="70"/>
                    <w:rPr>
                      <w:rFonts w:hint="default" w:eastAsia="宋体"/>
                      <w:color w:val="auto"/>
                      <w:lang w:val="en-US" w:eastAsia="zh-CN"/>
                    </w:rPr>
                  </w:pPr>
                  <w:r>
                    <w:rPr>
                      <w:rFonts w:hint="eastAsia"/>
                      <w:color w:val="auto"/>
                      <w:lang w:val="en-US" w:eastAsia="zh-CN"/>
                    </w:rPr>
                    <w:t>0.20</w:t>
                  </w:r>
                </w:p>
              </w:tc>
              <w:tc>
                <w:tcPr>
                  <w:tcW w:w="1623" w:type="dxa"/>
                  <w:tcBorders>
                    <w:tl2br w:val="nil"/>
                    <w:tr2bl w:val="nil"/>
                  </w:tcBorders>
                </w:tcPr>
                <w:p>
                  <w:pPr>
                    <w:pStyle w:val="70"/>
                    <w:rPr>
                      <w:rFonts w:hint="default" w:eastAsia="宋体"/>
                      <w:color w:val="auto"/>
                      <w:lang w:val="en-US" w:eastAsia="zh-CN"/>
                    </w:rPr>
                  </w:pPr>
                  <w:r>
                    <w:rPr>
                      <w:rFonts w:hint="eastAsia"/>
                      <w:color w:val="auto"/>
                      <w:lang w:val="en-US" w:eastAsia="zh-CN"/>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restart"/>
                  <w:tcBorders>
                    <w:tl2br w:val="nil"/>
                    <w:tr2bl w:val="nil"/>
                  </w:tcBorders>
                  <w:vAlign w:val="center"/>
                </w:tcPr>
                <w:p>
                  <w:pPr>
                    <w:pStyle w:val="70"/>
                    <w:rPr>
                      <w:color w:val="auto"/>
                      <w:vertAlign w:val="subscript"/>
                    </w:rPr>
                  </w:pPr>
                  <w:r>
                    <w:rPr>
                      <w:rFonts w:hint="eastAsia"/>
                      <w:color w:val="auto"/>
                    </w:rPr>
                    <w:t>PM</w:t>
                  </w:r>
                  <w:r>
                    <w:rPr>
                      <w:rFonts w:hint="eastAsia"/>
                      <w:color w:val="auto"/>
                      <w:vertAlign w:val="subscript"/>
                    </w:rPr>
                    <w:t>10</w:t>
                  </w:r>
                </w:p>
              </w:tc>
              <w:tc>
                <w:tcPr>
                  <w:tcW w:w="1765" w:type="dxa"/>
                  <w:tcBorders>
                    <w:tl2br w:val="nil"/>
                    <w:tr2bl w:val="nil"/>
                  </w:tcBorders>
                  <w:vAlign w:val="center"/>
                </w:tcPr>
                <w:p>
                  <w:pPr>
                    <w:pStyle w:val="70"/>
                    <w:rPr>
                      <w:color w:val="auto"/>
                    </w:rPr>
                  </w:pPr>
                  <w:r>
                    <w:rPr>
                      <w:rFonts w:hint="eastAsia"/>
                      <w:color w:val="auto"/>
                    </w:rPr>
                    <w:t>年均值</w:t>
                  </w:r>
                </w:p>
              </w:tc>
              <w:tc>
                <w:tcPr>
                  <w:tcW w:w="1845" w:type="dxa"/>
                  <w:tcBorders>
                    <w:tl2br w:val="nil"/>
                    <w:tr2bl w:val="nil"/>
                  </w:tcBorders>
                  <w:vAlign w:val="center"/>
                </w:tcPr>
                <w:p>
                  <w:pPr>
                    <w:pStyle w:val="70"/>
                    <w:rPr>
                      <w:color w:val="auto"/>
                    </w:rPr>
                  </w:pPr>
                  <w:r>
                    <w:rPr>
                      <w:rFonts w:hint="eastAsia"/>
                      <w:color w:val="auto"/>
                    </w:rPr>
                    <w:t>0.07</w:t>
                  </w:r>
                </w:p>
              </w:tc>
              <w:tc>
                <w:tcPr>
                  <w:tcW w:w="2291" w:type="dxa"/>
                  <w:gridSpan w:val="2"/>
                  <w:tcBorders>
                    <w:tl2br w:val="nil"/>
                    <w:tr2bl w:val="nil"/>
                  </w:tcBorders>
                </w:tcPr>
                <w:p>
                  <w:pPr>
                    <w:pStyle w:val="70"/>
                    <w:rPr>
                      <w:rFonts w:hint="default" w:eastAsia="宋体"/>
                      <w:color w:val="auto"/>
                      <w:lang w:val="en-US" w:eastAsia="zh-CN"/>
                    </w:rPr>
                  </w:pPr>
                  <w:r>
                    <w:rPr>
                      <w:rFonts w:hint="eastAsia"/>
                      <w:color w:val="auto"/>
                      <w:lang w:val="en-US" w:eastAsia="zh-CN"/>
                    </w:rPr>
                    <w:t>0.06</w:t>
                  </w:r>
                </w:p>
              </w:tc>
              <w:tc>
                <w:tcPr>
                  <w:tcW w:w="1623" w:type="dxa"/>
                  <w:tcBorders>
                    <w:tl2br w:val="nil"/>
                    <w:tr2bl w:val="nil"/>
                  </w:tcBorders>
                </w:tcPr>
                <w:p>
                  <w:pPr>
                    <w:pStyle w:val="70"/>
                    <w:rPr>
                      <w:rFonts w:hint="default" w:eastAsia="宋体"/>
                      <w:color w:val="auto"/>
                      <w:lang w:val="en-US" w:eastAsia="zh-CN"/>
                    </w:rPr>
                  </w:pPr>
                  <w:r>
                    <w:rPr>
                      <w:rFonts w:hint="eastAsia"/>
                      <w:color w:val="auto"/>
                      <w:lang w:val="en-US" w:eastAsia="zh-CN"/>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continue"/>
                  <w:tcBorders>
                    <w:tl2br w:val="nil"/>
                    <w:tr2bl w:val="nil"/>
                  </w:tcBorders>
                  <w:vAlign w:val="center"/>
                </w:tcPr>
                <w:p>
                  <w:pPr>
                    <w:pStyle w:val="70"/>
                    <w:rPr>
                      <w:color w:val="auto"/>
                    </w:rPr>
                  </w:pPr>
                </w:p>
              </w:tc>
              <w:tc>
                <w:tcPr>
                  <w:tcW w:w="1765" w:type="dxa"/>
                  <w:tcBorders>
                    <w:tl2br w:val="nil"/>
                    <w:tr2bl w:val="nil"/>
                  </w:tcBorders>
                  <w:vAlign w:val="center"/>
                </w:tcPr>
                <w:p>
                  <w:pPr>
                    <w:pStyle w:val="70"/>
                    <w:rPr>
                      <w:color w:val="auto"/>
                    </w:rPr>
                  </w:pPr>
                  <w:r>
                    <w:rPr>
                      <w:rFonts w:hint="eastAsia"/>
                      <w:color w:val="auto"/>
                    </w:rPr>
                    <w:t>24h均值</w:t>
                  </w:r>
                </w:p>
              </w:tc>
              <w:tc>
                <w:tcPr>
                  <w:tcW w:w="1845" w:type="dxa"/>
                  <w:tcBorders>
                    <w:tl2br w:val="nil"/>
                    <w:tr2bl w:val="nil"/>
                  </w:tcBorders>
                  <w:vAlign w:val="center"/>
                </w:tcPr>
                <w:p>
                  <w:pPr>
                    <w:pStyle w:val="70"/>
                    <w:rPr>
                      <w:color w:val="auto"/>
                    </w:rPr>
                  </w:pPr>
                  <w:r>
                    <w:rPr>
                      <w:rFonts w:hint="eastAsia"/>
                      <w:color w:val="auto"/>
                    </w:rPr>
                    <w:t>0.15</w:t>
                  </w:r>
                </w:p>
              </w:tc>
              <w:tc>
                <w:tcPr>
                  <w:tcW w:w="2291" w:type="dxa"/>
                  <w:gridSpan w:val="2"/>
                  <w:tcBorders>
                    <w:tl2br w:val="nil"/>
                    <w:tr2bl w:val="nil"/>
                  </w:tcBorders>
                </w:tcPr>
                <w:p>
                  <w:pPr>
                    <w:pStyle w:val="70"/>
                    <w:rPr>
                      <w:rFonts w:hint="default" w:eastAsia="宋体"/>
                      <w:color w:val="auto"/>
                      <w:lang w:val="en-US" w:eastAsia="zh-CN"/>
                    </w:rPr>
                  </w:pPr>
                  <w:r>
                    <w:rPr>
                      <w:rFonts w:hint="eastAsia"/>
                      <w:color w:val="auto"/>
                      <w:lang w:val="en-US" w:eastAsia="zh-CN"/>
                    </w:rPr>
                    <w:t>0.12</w:t>
                  </w:r>
                </w:p>
              </w:tc>
              <w:tc>
                <w:tcPr>
                  <w:tcW w:w="1623" w:type="dxa"/>
                  <w:tcBorders>
                    <w:tl2br w:val="nil"/>
                    <w:tr2bl w:val="nil"/>
                  </w:tcBorders>
                </w:tcPr>
                <w:p>
                  <w:pPr>
                    <w:pStyle w:val="70"/>
                    <w:rPr>
                      <w:rFonts w:hint="default" w:eastAsia="宋体"/>
                      <w:color w:val="auto"/>
                      <w:lang w:val="en-US" w:eastAsia="zh-CN"/>
                    </w:rPr>
                  </w:pPr>
                  <w:r>
                    <w:rPr>
                      <w:rFonts w:hint="eastAsia"/>
                      <w:color w:val="auto"/>
                      <w:lang w:val="en-US"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restart"/>
                  <w:tcBorders>
                    <w:tl2br w:val="nil"/>
                    <w:tr2bl w:val="nil"/>
                  </w:tcBorders>
                  <w:vAlign w:val="center"/>
                </w:tcPr>
                <w:p>
                  <w:pPr>
                    <w:pStyle w:val="70"/>
                    <w:rPr>
                      <w:color w:val="auto"/>
                      <w:vertAlign w:val="subscript"/>
                    </w:rPr>
                  </w:pPr>
                  <w:r>
                    <w:rPr>
                      <w:rFonts w:hint="eastAsia"/>
                      <w:color w:val="auto"/>
                    </w:rPr>
                    <w:t>PM</w:t>
                  </w:r>
                  <w:r>
                    <w:rPr>
                      <w:rFonts w:hint="eastAsia"/>
                      <w:color w:val="auto"/>
                      <w:vertAlign w:val="subscript"/>
                    </w:rPr>
                    <w:t>2.5</w:t>
                  </w:r>
                </w:p>
              </w:tc>
              <w:tc>
                <w:tcPr>
                  <w:tcW w:w="1765" w:type="dxa"/>
                  <w:tcBorders>
                    <w:tl2br w:val="nil"/>
                    <w:tr2bl w:val="nil"/>
                  </w:tcBorders>
                  <w:vAlign w:val="center"/>
                </w:tcPr>
                <w:p>
                  <w:pPr>
                    <w:pStyle w:val="70"/>
                    <w:rPr>
                      <w:color w:val="auto"/>
                    </w:rPr>
                  </w:pPr>
                  <w:r>
                    <w:rPr>
                      <w:rFonts w:hint="eastAsia"/>
                      <w:color w:val="auto"/>
                    </w:rPr>
                    <w:t>年均值</w:t>
                  </w:r>
                </w:p>
              </w:tc>
              <w:tc>
                <w:tcPr>
                  <w:tcW w:w="1845" w:type="dxa"/>
                  <w:tcBorders>
                    <w:tl2br w:val="nil"/>
                    <w:tr2bl w:val="nil"/>
                  </w:tcBorders>
                  <w:vAlign w:val="center"/>
                </w:tcPr>
                <w:p>
                  <w:pPr>
                    <w:pStyle w:val="70"/>
                    <w:rPr>
                      <w:color w:val="auto"/>
                    </w:rPr>
                  </w:pPr>
                  <w:r>
                    <w:rPr>
                      <w:rFonts w:hint="eastAsia"/>
                      <w:color w:val="auto"/>
                    </w:rPr>
                    <w:t>0.035</w:t>
                  </w:r>
                </w:p>
              </w:tc>
              <w:tc>
                <w:tcPr>
                  <w:tcW w:w="2291" w:type="dxa"/>
                  <w:gridSpan w:val="2"/>
                  <w:tcBorders>
                    <w:tl2br w:val="nil"/>
                    <w:tr2bl w:val="nil"/>
                  </w:tcBorders>
                </w:tcPr>
                <w:p>
                  <w:pPr>
                    <w:pStyle w:val="70"/>
                    <w:rPr>
                      <w:rFonts w:hint="default" w:eastAsia="宋体"/>
                      <w:color w:val="auto"/>
                      <w:lang w:val="en-US" w:eastAsia="zh-CN"/>
                    </w:rPr>
                  </w:pPr>
                  <w:r>
                    <w:rPr>
                      <w:rFonts w:hint="eastAsia"/>
                      <w:color w:val="auto"/>
                      <w:lang w:val="en-US" w:eastAsia="zh-CN"/>
                    </w:rPr>
                    <w:t>0.03</w:t>
                  </w:r>
                </w:p>
              </w:tc>
              <w:tc>
                <w:tcPr>
                  <w:tcW w:w="1623" w:type="dxa"/>
                  <w:tcBorders>
                    <w:tl2br w:val="nil"/>
                    <w:tr2bl w:val="nil"/>
                  </w:tcBorders>
                </w:tcPr>
                <w:p>
                  <w:pPr>
                    <w:pStyle w:val="70"/>
                    <w:rPr>
                      <w:rFonts w:hint="default" w:eastAsia="宋体"/>
                      <w:color w:val="auto"/>
                      <w:lang w:val="en-US" w:eastAsia="zh-CN"/>
                    </w:rPr>
                  </w:pPr>
                  <w:r>
                    <w:rPr>
                      <w:rFonts w:hint="eastAsia"/>
                      <w:color w:val="auto"/>
                      <w:lang w:val="en-US" w:eastAsia="zh-CN"/>
                    </w:rPr>
                    <w:t>0.025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continue"/>
                  <w:tcBorders>
                    <w:tl2br w:val="nil"/>
                    <w:tr2bl w:val="nil"/>
                  </w:tcBorders>
                  <w:vAlign w:val="center"/>
                </w:tcPr>
                <w:p>
                  <w:pPr>
                    <w:pStyle w:val="70"/>
                    <w:rPr>
                      <w:color w:val="auto"/>
                    </w:rPr>
                  </w:pPr>
                </w:p>
              </w:tc>
              <w:tc>
                <w:tcPr>
                  <w:tcW w:w="1765" w:type="dxa"/>
                  <w:tcBorders>
                    <w:tl2br w:val="nil"/>
                    <w:tr2bl w:val="nil"/>
                  </w:tcBorders>
                  <w:vAlign w:val="center"/>
                </w:tcPr>
                <w:p>
                  <w:pPr>
                    <w:pStyle w:val="70"/>
                    <w:rPr>
                      <w:color w:val="auto"/>
                    </w:rPr>
                  </w:pPr>
                  <w:r>
                    <w:rPr>
                      <w:rFonts w:hint="eastAsia"/>
                      <w:color w:val="auto"/>
                    </w:rPr>
                    <w:t>24h均值</w:t>
                  </w:r>
                </w:p>
              </w:tc>
              <w:tc>
                <w:tcPr>
                  <w:tcW w:w="1845" w:type="dxa"/>
                  <w:tcBorders>
                    <w:tl2br w:val="nil"/>
                    <w:tr2bl w:val="nil"/>
                  </w:tcBorders>
                  <w:vAlign w:val="center"/>
                </w:tcPr>
                <w:p>
                  <w:pPr>
                    <w:pStyle w:val="70"/>
                    <w:rPr>
                      <w:color w:val="auto"/>
                    </w:rPr>
                  </w:pPr>
                  <w:r>
                    <w:rPr>
                      <w:rFonts w:hint="eastAsia"/>
                      <w:color w:val="auto"/>
                    </w:rPr>
                    <w:t>0.075</w:t>
                  </w:r>
                </w:p>
              </w:tc>
              <w:tc>
                <w:tcPr>
                  <w:tcW w:w="2291" w:type="dxa"/>
                  <w:gridSpan w:val="2"/>
                  <w:tcBorders>
                    <w:tl2br w:val="nil"/>
                    <w:tr2bl w:val="nil"/>
                  </w:tcBorders>
                </w:tcPr>
                <w:p>
                  <w:pPr>
                    <w:pStyle w:val="70"/>
                    <w:rPr>
                      <w:rFonts w:hint="default" w:eastAsia="宋体"/>
                      <w:color w:val="auto"/>
                      <w:lang w:val="en-US" w:eastAsia="zh-CN"/>
                    </w:rPr>
                  </w:pPr>
                  <w:r>
                    <w:rPr>
                      <w:rFonts w:hint="eastAsia"/>
                      <w:color w:val="auto"/>
                      <w:lang w:val="en-US" w:eastAsia="zh-CN"/>
                    </w:rPr>
                    <w:t>0.06</w:t>
                  </w:r>
                </w:p>
              </w:tc>
              <w:tc>
                <w:tcPr>
                  <w:tcW w:w="1623" w:type="dxa"/>
                  <w:tcBorders>
                    <w:tl2br w:val="nil"/>
                    <w:tr2bl w:val="nil"/>
                  </w:tcBorders>
                </w:tcPr>
                <w:p>
                  <w:pPr>
                    <w:pStyle w:val="70"/>
                    <w:rPr>
                      <w:rFonts w:hint="default" w:eastAsia="宋体"/>
                      <w:color w:val="auto"/>
                      <w:lang w:val="en-US" w:eastAsia="zh-CN"/>
                    </w:rPr>
                  </w:pPr>
                  <w:r>
                    <w:rPr>
                      <w:rFonts w:hint="eastAsia"/>
                      <w:color w:val="auto"/>
                      <w:lang w:val="en-US" w:eastAsia="zh-CN"/>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975" w:type="dxa"/>
                  <w:vMerge w:val="restart"/>
                  <w:tcBorders>
                    <w:tl2br w:val="nil"/>
                    <w:tr2bl w:val="nil"/>
                  </w:tcBorders>
                  <w:vAlign w:val="center"/>
                </w:tcPr>
                <w:p>
                  <w:pPr>
                    <w:pStyle w:val="70"/>
                    <w:rPr>
                      <w:color w:val="auto"/>
                    </w:rPr>
                  </w:pPr>
                  <w:r>
                    <w:rPr>
                      <w:rFonts w:hint="eastAsia"/>
                      <w:color w:val="auto"/>
                    </w:rPr>
                    <w:t>TSP</w:t>
                  </w:r>
                </w:p>
              </w:tc>
              <w:tc>
                <w:tcPr>
                  <w:tcW w:w="1765" w:type="dxa"/>
                  <w:tcBorders>
                    <w:tl2br w:val="nil"/>
                    <w:tr2bl w:val="nil"/>
                  </w:tcBorders>
                  <w:vAlign w:val="center"/>
                </w:tcPr>
                <w:p>
                  <w:pPr>
                    <w:pStyle w:val="70"/>
                    <w:rPr>
                      <w:color w:val="auto"/>
                    </w:rPr>
                  </w:pPr>
                  <w:r>
                    <w:rPr>
                      <w:rFonts w:hint="eastAsia"/>
                      <w:color w:val="auto"/>
                    </w:rPr>
                    <w:t>年均值</w:t>
                  </w:r>
                </w:p>
              </w:tc>
              <w:tc>
                <w:tcPr>
                  <w:tcW w:w="1845" w:type="dxa"/>
                  <w:tcBorders>
                    <w:tl2br w:val="nil"/>
                    <w:tr2bl w:val="nil"/>
                  </w:tcBorders>
                  <w:vAlign w:val="center"/>
                </w:tcPr>
                <w:p>
                  <w:pPr>
                    <w:pStyle w:val="70"/>
                    <w:rPr>
                      <w:color w:val="auto"/>
                    </w:rPr>
                  </w:pPr>
                  <w:r>
                    <w:rPr>
                      <w:rFonts w:hint="eastAsia"/>
                      <w:color w:val="auto"/>
                    </w:rPr>
                    <w:t>0.2</w:t>
                  </w:r>
                </w:p>
              </w:tc>
              <w:tc>
                <w:tcPr>
                  <w:tcW w:w="3914" w:type="dxa"/>
                  <w:gridSpan w:val="3"/>
                  <w:tcBorders>
                    <w:tl2br w:val="nil"/>
                    <w:tr2bl w:val="nil"/>
                  </w:tcBorders>
                </w:tcPr>
                <w:p>
                  <w:pPr>
                    <w:pStyle w:val="70"/>
                    <w:rPr>
                      <w:rFonts w:hint="eastAsia"/>
                      <w:color w:val="auto"/>
                    </w:rPr>
                  </w:pPr>
                  <w:r>
                    <w:rPr>
                      <w:rFonts w:hint="eastAsia"/>
                      <w:color w:val="auto"/>
                      <w:lang w:val="en-US" w:eastAsia="zh-CN"/>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9" w:hRule="atLeast"/>
              </w:trPr>
              <w:tc>
                <w:tcPr>
                  <w:tcW w:w="975" w:type="dxa"/>
                  <w:vMerge w:val="continue"/>
                  <w:tcBorders>
                    <w:tl2br w:val="nil"/>
                    <w:tr2bl w:val="nil"/>
                  </w:tcBorders>
                  <w:vAlign w:val="center"/>
                </w:tcPr>
                <w:p>
                  <w:pPr>
                    <w:pStyle w:val="70"/>
                    <w:rPr>
                      <w:color w:val="auto"/>
                    </w:rPr>
                  </w:pPr>
                </w:p>
              </w:tc>
              <w:tc>
                <w:tcPr>
                  <w:tcW w:w="1765" w:type="dxa"/>
                  <w:tcBorders>
                    <w:tl2br w:val="nil"/>
                    <w:tr2bl w:val="nil"/>
                  </w:tcBorders>
                  <w:vAlign w:val="center"/>
                </w:tcPr>
                <w:p>
                  <w:pPr>
                    <w:pStyle w:val="70"/>
                    <w:rPr>
                      <w:color w:val="auto"/>
                    </w:rPr>
                  </w:pPr>
                  <w:r>
                    <w:rPr>
                      <w:rFonts w:hint="eastAsia"/>
                      <w:color w:val="auto"/>
                    </w:rPr>
                    <w:t>24小时平均</w:t>
                  </w:r>
                </w:p>
              </w:tc>
              <w:tc>
                <w:tcPr>
                  <w:tcW w:w="1845" w:type="dxa"/>
                  <w:tcBorders>
                    <w:tl2br w:val="nil"/>
                    <w:tr2bl w:val="nil"/>
                  </w:tcBorders>
                  <w:vAlign w:val="center"/>
                </w:tcPr>
                <w:p>
                  <w:pPr>
                    <w:pStyle w:val="70"/>
                    <w:rPr>
                      <w:color w:val="auto"/>
                    </w:rPr>
                  </w:pPr>
                  <w:r>
                    <w:rPr>
                      <w:rFonts w:hint="eastAsia"/>
                      <w:color w:val="auto"/>
                    </w:rPr>
                    <w:t>0.3</w:t>
                  </w:r>
                </w:p>
              </w:tc>
              <w:tc>
                <w:tcPr>
                  <w:tcW w:w="3914" w:type="dxa"/>
                  <w:gridSpan w:val="3"/>
                  <w:tcBorders>
                    <w:tl2br w:val="nil"/>
                    <w:tr2bl w:val="nil"/>
                  </w:tcBorders>
                </w:tcPr>
                <w:p>
                  <w:pPr>
                    <w:pStyle w:val="70"/>
                    <w:rPr>
                      <w:rFonts w:hint="eastAsia"/>
                      <w:color w:val="auto"/>
                    </w:rPr>
                  </w:pPr>
                  <w:r>
                    <w:rPr>
                      <w:rFonts w:hint="eastAsia"/>
                      <w:color w:val="auto"/>
                      <w:lang w:val="en-US" w:eastAsia="zh-CN"/>
                    </w:rPr>
                    <w:t>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9" w:hRule="atLeast"/>
              </w:trPr>
              <w:tc>
                <w:tcPr>
                  <w:tcW w:w="975" w:type="dxa"/>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非甲烷总烃</w:t>
                  </w:r>
                </w:p>
              </w:tc>
              <w:tc>
                <w:tcPr>
                  <w:tcW w:w="1765"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一次浓度</w:t>
                  </w:r>
                </w:p>
              </w:tc>
              <w:tc>
                <w:tcPr>
                  <w:tcW w:w="5759" w:type="dxa"/>
                  <w:gridSpan w:val="4"/>
                  <w:tcBorders>
                    <w:tl2br w:val="nil"/>
                    <w:tr2bl w:val="nil"/>
                  </w:tcBorders>
                  <w:shd w:val="clear" w:color="auto" w:fill="auto"/>
                  <w:vAlign w:val="center"/>
                </w:tcPr>
                <w:p>
                  <w:pPr>
                    <w:pStyle w:val="70"/>
                    <w:rPr>
                      <w:rFonts w:hint="eastAsia"/>
                      <w:color w:val="auto"/>
                      <w:lang w:val="en-US" w:eastAsia="zh-CN"/>
                    </w:rPr>
                  </w:pPr>
                  <w:r>
                    <w:rPr>
                      <w:rFonts w:hint="eastAsia"/>
                      <w:color w:val="auto"/>
                      <w:highlight w:val="none"/>
                    </w:rPr>
                    <w:t>2</w:t>
                  </w:r>
                  <w:r>
                    <w:rPr>
                      <w:rFonts w:hint="eastAsia"/>
                      <w:color w:val="auto"/>
                      <w:highlight w:val="none"/>
                      <w:lang w:val="en-US" w:eastAsia="zh-CN"/>
                    </w:rPr>
                    <w:t>.0</w:t>
                  </w:r>
                  <w:r>
                    <w:rPr>
                      <w:rFonts w:hint="eastAsia" w:ascii="Helvetica" w:hAnsi="Helvetica" w:cs="Helvetica"/>
                      <w:color w:val="auto"/>
                      <w:sz w:val="22"/>
                      <w:highlight w:val="none"/>
                      <w:shd w:val="clear" w:color="auto" w:fill="FFFFFF"/>
                    </w:rPr>
                    <w:t>参照</w:t>
                  </w:r>
                  <w:r>
                    <w:rPr>
                      <w:rFonts w:ascii="Helvetica" w:hAnsi="Helvetica" w:eastAsia="Helvetica" w:cs="Helvetica"/>
                      <w:color w:val="auto"/>
                      <w:sz w:val="22"/>
                      <w:highlight w:val="none"/>
                      <w:shd w:val="clear" w:color="auto" w:fill="FFFFFF"/>
                    </w:rPr>
                    <w:t>《大气污染物综合排放标准详解》</w:t>
                  </w:r>
                </w:p>
              </w:tc>
            </w:tr>
          </w:tbl>
          <w:p>
            <w:pPr>
              <w:pStyle w:val="68"/>
              <w:rPr>
                <w:color w:val="auto"/>
              </w:rPr>
            </w:pPr>
          </w:p>
          <w:p>
            <w:pPr>
              <w:pStyle w:val="72"/>
              <w:ind w:firstLine="480"/>
              <w:rPr>
                <w:rFonts w:hint="eastAsia"/>
                <w:color w:val="auto"/>
              </w:rPr>
            </w:pPr>
          </w:p>
          <w:p>
            <w:pPr>
              <w:pStyle w:val="68"/>
              <w:rPr>
                <w:color w:val="auto"/>
                <w:highlight w:val="none"/>
              </w:rPr>
            </w:pPr>
          </w:p>
          <w:p>
            <w:pPr>
              <w:pStyle w:val="72"/>
              <w:ind w:firstLine="480"/>
              <w:rPr>
                <w:color w:val="auto"/>
                <w:highlight w:val="none"/>
              </w:rPr>
            </w:pPr>
            <w:r>
              <w:rPr>
                <w:rFonts w:hint="eastAsia"/>
                <w:color w:val="auto"/>
                <w:highlight w:val="none"/>
              </w:rPr>
              <w:t>（2）环境空气质量现状</w:t>
            </w:r>
          </w:p>
          <w:p>
            <w:pPr>
              <w:pStyle w:val="72"/>
              <w:ind w:firstLine="480"/>
              <w:rPr>
                <w:color w:val="auto"/>
                <w:highlight w:val="none"/>
              </w:rPr>
            </w:pPr>
            <w:r>
              <w:rPr>
                <w:rFonts w:hint="eastAsia"/>
                <w:color w:val="auto"/>
                <w:highlight w:val="none"/>
              </w:rPr>
              <w:t>本项目位于福州市长乐区，根据长乐区人民政府公布的202</w:t>
            </w:r>
            <w:r>
              <w:rPr>
                <w:rFonts w:hint="eastAsia"/>
                <w:color w:val="auto"/>
                <w:highlight w:val="none"/>
                <w:lang w:val="en-US" w:eastAsia="zh-CN"/>
              </w:rPr>
              <w:t>5</w:t>
            </w:r>
            <w:r>
              <w:rPr>
                <w:rFonts w:hint="eastAsia"/>
                <w:color w:val="auto"/>
                <w:highlight w:val="none"/>
              </w:rPr>
              <w:t>年1月</w:t>
            </w:r>
            <w:r>
              <w:rPr>
                <w:rFonts w:hint="eastAsia"/>
                <w:color w:val="auto"/>
                <w:highlight w:val="none"/>
                <w:lang w:eastAsia="zh-CN"/>
              </w:rPr>
              <w:t>—</w:t>
            </w:r>
            <w:r>
              <w:rPr>
                <w:rFonts w:hint="eastAsia"/>
                <w:color w:val="auto"/>
                <w:highlight w:val="none"/>
              </w:rPr>
              <w:t>202</w:t>
            </w:r>
            <w:r>
              <w:rPr>
                <w:rFonts w:hint="eastAsia"/>
                <w:color w:val="auto"/>
                <w:highlight w:val="none"/>
                <w:lang w:val="en-US" w:eastAsia="zh-CN"/>
              </w:rPr>
              <w:t>5</w:t>
            </w:r>
            <w:r>
              <w:rPr>
                <w:rFonts w:hint="eastAsia"/>
                <w:color w:val="auto"/>
                <w:highlight w:val="none"/>
              </w:rPr>
              <w:t>年12月份连续一年的环境质量月报，长乐区202</w:t>
            </w:r>
            <w:r>
              <w:rPr>
                <w:rFonts w:hint="eastAsia"/>
                <w:color w:val="auto"/>
                <w:highlight w:val="none"/>
                <w:lang w:val="en-US" w:eastAsia="zh-CN"/>
              </w:rPr>
              <w:t>5</w:t>
            </w:r>
            <w:r>
              <w:rPr>
                <w:rFonts w:hint="eastAsia"/>
                <w:color w:val="auto"/>
                <w:highlight w:val="none"/>
              </w:rPr>
              <w:t>年1月</w:t>
            </w:r>
            <w:r>
              <w:rPr>
                <w:rFonts w:hint="eastAsia"/>
                <w:color w:val="auto"/>
                <w:highlight w:val="none"/>
                <w:lang w:eastAsia="zh-CN"/>
              </w:rPr>
              <w:t>—</w:t>
            </w:r>
            <w:r>
              <w:rPr>
                <w:rFonts w:hint="eastAsia"/>
                <w:color w:val="auto"/>
                <w:highlight w:val="none"/>
              </w:rPr>
              <w:t>202</w:t>
            </w:r>
            <w:r>
              <w:rPr>
                <w:rFonts w:hint="eastAsia"/>
                <w:color w:val="auto"/>
                <w:highlight w:val="none"/>
                <w:lang w:val="en-US" w:eastAsia="zh-CN"/>
              </w:rPr>
              <w:t>5</w:t>
            </w:r>
            <w:r>
              <w:rPr>
                <w:rFonts w:hint="eastAsia"/>
                <w:color w:val="auto"/>
                <w:highlight w:val="none"/>
              </w:rPr>
              <w:t>年12月份空气环境中SO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和PM</w:t>
            </w:r>
            <w:r>
              <w:rPr>
                <w:rFonts w:hint="eastAsia"/>
                <w:color w:val="auto"/>
                <w:highlight w:val="none"/>
                <w:vertAlign w:val="subscript"/>
              </w:rPr>
              <w:t>2.5</w:t>
            </w:r>
            <w:r>
              <w:rPr>
                <w:rFonts w:hint="eastAsia"/>
                <w:color w:val="auto"/>
                <w:highlight w:val="none"/>
                <w:lang w:val="en-US" w:eastAsia="zh-CN"/>
              </w:rPr>
              <w:t>年平均浓度均</w:t>
            </w:r>
            <w:r>
              <w:rPr>
                <w:rFonts w:hint="eastAsia"/>
                <w:color w:val="auto"/>
                <w:highlight w:val="none"/>
              </w:rPr>
              <w:t>未超过《环境空气质量标准》（GB3095-2012）中的二级标准，CO日均值</w:t>
            </w:r>
            <w:r>
              <w:rPr>
                <w:rFonts w:hint="eastAsia"/>
                <w:color w:val="auto"/>
                <w:highlight w:val="none"/>
                <w:lang w:val="en-US" w:eastAsia="zh-CN"/>
              </w:rPr>
              <w:t>达标天数100%，</w:t>
            </w:r>
            <w:r>
              <w:rPr>
                <w:rFonts w:hint="eastAsia"/>
                <w:color w:val="auto"/>
                <w:highlight w:val="none"/>
              </w:rPr>
              <w:t>O</w:t>
            </w:r>
            <w:r>
              <w:rPr>
                <w:rFonts w:hint="eastAsia"/>
                <w:color w:val="auto"/>
                <w:highlight w:val="none"/>
                <w:vertAlign w:val="subscript"/>
              </w:rPr>
              <w:t>3</w:t>
            </w:r>
            <w:r>
              <w:rPr>
                <w:rFonts w:hint="eastAsia"/>
                <w:color w:val="auto"/>
                <w:highlight w:val="none"/>
              </w:rPr>
              <w:t>最大8小时值</w:t>
            </w:r>
            <w:r>
              <w:rPr>
                <w:rFonts w:hint="eastAsia"/>
                <w:color w:val="auto"/>
                <w:highlight w:val="none"/>
                <w:lang w:val="en-US" w:eastAsia="zh-CN"/>
              </w:rPr>
              <w:t>达标率为99.1%，</w:t>
            </w:r>
            <w:r>
              <w:rPr>
                <w:rFonts w:hint="eastAsia"/>
                <w:color w:val="auto"/>
                <w:highlight w:val="none"/>
              </w:rPr>
              <w:t>CO日均值第95百分数和O</w:t>
            </w:r>
            <w:r>
              <w:rPr>
                <w:rFonts w:hint="eastAsia"/>
                <w:color w:val="auto"/>
                <w:highlight w:val="none"/>
                <w:vertAlign w:val="subscript"/>
              </w:rPr>
              <w:t>3</w:t>
            </w:r>
            <w:r>
              <w:rPr>
                <w:rFonts w:hint="eastAsia"/>
                <w:color w:val="auto"/>
                <w:highlight w:val="none"/>
              </w:rPr>
              <w:t>最大8小时值第90百分数未超过《环境空气质量标准》（GB3095-2012）中的二级标准。环境空气质量统计见表3.1.2。</w:t>
            </w:r>
          </w:p>
          <w:p>
            <w:pPr>
              <w:pStyle w:val="68"/>
              <w:rPr>
                <w:color w:val="auto"/>
                <w:highlight w:val="none"/>
                <w:vertAlign w:val="superscript"/>
              </w:rPr>
            </w:pPr>
            <w:r>
              <w:rPr>
                <w:rFonts w:hint="eastAsia"/>
                <w:color w:val="auto"/>
                <w:highlight w:val="none"/>
              </w:rPr>
              <w:t>表3.1.2长乐区202</w:t>
            </w:r>
            <w:r>
              <w:rPr>
                <w:rFonts w:hint="eastAsia"/>
                <w:color w:val="auto"/>
                <w:highlight w:val="none"/>
                <w:lang w:val="en-US" w:eastAsia="zh-CN"/>
              </w:rPr>
              <w:t>4</w:t>
            </w:r>
            <w:r>
              <w:rPr>
                <w:rFonts w:hint="eastAsia"/>
                <w:color w:val="auto"/>
                <w:highlight w:val="none"/>
              </w:rPr>
              <w:t>年1月-12月份环境空气质量统计单位mg/m</w:t>
            </w:r>
            <w:r>
              <w:rPr>
                <w:rFonts w:hint="eastAsia"/>
                <w:color w:val="auto"/>
                <w:highlight w:val="none"/>
                <w:vertAlign w:val="superscript"/>
              </w:rPr>
              <w:t>3</w:t>
            </w:r>
          </w:p>
          <w:tbl>
            <w:tblPr>
              <w:tblStyle w:val="28"/>
              <w:tblW w:w="7881" w:type="dxa"/>
              <w:tblInd w:w="0" w:type="dxa"/>
              <w:tblLayout w:type="autofit"/>
              <w:tblCellMar>
                <w:top w:w="0" w:type="dxa"/>
                <w:left w:w="108" w:type="dxa"/>
                <w:bottom w:w="0" w:type="dxa"/>
                <w:right w:w="108" w:type="dxa"/>
              </w:tblCellMar>
            </w:tblPr>
            <w:tblGrid>
              <w:gridCol w:w="1643"/>
              <w:gridCol w:w="1083"/>
              <w:gridCol w:w="1031"/>
              <w:gridCol w:w="1031"/>
              <w:gridCol w:w="1031"/>
              <w:gridCol w:w="1031"/>
              <w:gridCol w:w="1031"/>
            </w:tblGrid>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0"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时间</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SO</w:t>
                  </w:r>
                  <w:r>
                    <w:rPr>
                      <w:rFonts w:hint="eastAsia"/>
                      <w:color w:val="auto"/>
                      <w:highlight w:val="none"/>
                      <w:vertAlign w:val="subscript"/>
                    </w:rPr>
                    <w:t>2</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NO</w:t>
                  </w:r>
                  <w:r>
                    <w:rPr>
                      <w:rFonts w:hint="eastAsia"/>
                      <w:color w:val="auto"/>
                      <w:highlight w:val="none"/>
                      <w:vertAlign w:val="subscript"/>
                    </w:rPr>
                    <w:t>2</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PM</w:t>
                  </w:r>
                  <w:r>
                    <w:rPr>
                      <w:rFonts w:hint="eastAsia"/>
                      <w:color w:val="auto"/>
                      <w:highlight w:val="none"/>
                      <w:vertAlign w:val="subscript"/>
                    </w:rPr>
                    <w:t>10</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CO</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O</w:t>
                  </w:r>
                  <w:r>
                    <w:rPr>
                      <w:rFonts w:hint="eastAsia"/>
                      <w:color w:val="auto"/>
                      <w:highlight w:val="none"/>
                      <w:vertAlign w:val="subscript"/>
                    </w:rPr>
                    <w:t>3</w:t>
                  </w:r>
                  <w:r>
                    <w:rPr>
                      <w:rFonts w:hint="eastAsia"/>
                      <w:color w:val="auto"/>
                      <w:highlight w:val="none"/>
                    </w:rPr>
                    <w:t>-8h</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PM</w:t>
                  </w:r>
                  <w:r>
                    <w:rPr>
                      <w:rFonts w:hint="eastAsia"/>
                      <w:color w:val="auto"/>
                      <w:highlight w:val="none"/>
                      <w:vertAlign w:val="subscript"/>
                    </w:rPr>
                    <w:t>2.5</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年1月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0.002</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0.013</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0.045</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0.102</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0.026</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年2月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0.002</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0.012</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0.039</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0.5</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0.065</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0.025</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年3月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0.003</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0.028</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0.089</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0.016</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年4月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0.003</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0.012</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0.046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0.3</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0.118</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0.02</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年5月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0.027</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0.5</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0.144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0.016</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年6月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0.007</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0.018</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0.126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年7月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0.003</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0.019</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0.116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0.009</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年8月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0.02</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0.117</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0.008</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年9月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0.019</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0.5</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0.123</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0.009</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年10月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0.005</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0.008</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0.021</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0.114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0.011</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年11月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0.012</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0.035</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0.13</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0.016</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202</w:t>
                  </w:r>
                  <w:r>
                    <w:rPr>
                      <w:rFonts w:hint="eastAsia"/>
                      <w:color w:val="auto"/>
                      <w:highlight w:val="none"/>
                      <w:lang w:val="en-US" w:eastAsia="zh-CN"/>
                    </w:rPr>
                    <w:t>5</w:t>
                  </w:r>
                  <w:r>
                    <w:rPr>
                      <w:rFonts w:hint="eastAsia"/>
                      <w:color w:val="auto"/>
                      <w:highlight w:val="none"/>
                    </w:rPr>
                    <w:t>年12月</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0.005</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0.018</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0.036</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0.8</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0.124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0.021</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年平均</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0.004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0.011</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0.029</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0.5</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0.114</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0.016</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国家二级标准</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0.060</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0.040</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0.070</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4.000</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0.160</w:t>
                  </w:r>
                </w:p>
              </w:tc>
              <w:tc>
                <w:tcPr>
                  <w:tcW w:w="103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0.350</w:t>
                  </w:r>
                </w:p>
              </w:tc>
            </w:tr>
            <w:tr>
              <w:tblPrEx>
                <w:tblCellMar>
                  <w:top w:w="0" w:type="dxa"/>
                  <w:left w:w="108" w:type="dxa"/>
                  <w:bottom w:w="0" w:type="dxa"/>
                  <w:right w:w="108" w:type="dxa"/>
                </w:tblCellMar>
              </w:tblPrEx>
              <w:trPr>
                <w:trHeight w:val="270" w:hRule="atLeast"/>
              </w:trPr>
              <w:tc>
                <w:tcPr>
                  <w:tcW w:w="164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达标情况</w:t>
                  </w:r>
                </w:p>
              </w:tc>
              <w:tc>
                <w:tcPr>
                  <w:tcW w:w="623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pStyle w:val="70"/>
                    <w:rPr>
                      <w:color w:val="auto"/>
                      <w:highlight w:val="none"/>
                    </w:rPr>
                  </w:pPr>
                  <w:r>
                    <w:rPr>
                      <w:rFonts w:hint="eastAsia"/>
                      <w:color w:val="auto"/>
                      <w:highlight w:val="none"/>
                    </w:rPr>
                    <w:t>达标</w:t>
                  </w:r>
                </w:p>
              </w:tc>
            </w:tr>
          </w:tbl>
          <w:p>
            <w:pPr>
              <w:pStyle w:val="70"/>
              <w:rPr>
                <w:color w:val="auto"/>
                <w:highlight w:val="none"/>
              </w:rPr>
            </w:pPr>
          </w:p>
          <w:p>
            <w:pPr>
              <w:pStyle w:val="72"/>
              <w:ind w:firstLine="480"/>
              <w:rPr>
                <w:color w:val="auto"/>
                <w:highlight w:val="none"/>
              </w:rPr>
            </w:pPr>
            <w:r>
              <w:rPr>
                <w:rFonts w:hint="eastAsia"/>
                <w:color w:val="auto"/>
                <w:highlight w:val="none"/>
              </w:rPr>
              <w:t>从上表可知，福州市长乐区SO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2</w:t>
            </w:r>
            <w:r>
              <w:rPr>
                <w:rFonts w:hint="eastAsia"/>
                <w:color w:val="auto"/>
                <w:highlight w:val="none"/>
              </w:rPr>
              <w:t>、PM</w:t>
            </w:r>
            <w:r>
              <w:rPr>
                <w:rFonts w:hint="eastAsia"/>
                <w:color w:val="auto"/>
                <w:highlight w:val="none"/>
                <w:vertAlign w:val="subscript"/>
              </w:rPr>
              <w:t>10</w:t>
            </w:r>
            <w:r>
              <w:rPr>
                <w:rFonts w:hint="eastAsia"/>
                <w:color w:val="auto"/>
                <w:highlight w:val="none"/>
              </w:rPr>
              <w:t>、PM</w:t>
            </w:r>
            <w:r>
              <w:rPr>
                <w:rFonts w:hint="eastAsia"/>
                <w:color w:val="auto"/>
                <w:highlight w:val="none"/>
                <w:vertAlign w:val="subscript"/>
              </w:rPr>
              <w:t>2.5</w:t>
            </w:r>
            <w:r>
              <w:rPr>
                <w:rFonts w:hint="eastAsia"/>
                <w:color w:val="auto"/>
                <w:highlight w:val="none"/>
              </w:rPr>
              <w:t>、CO和O</w:t>
            </w:r>
            <w:r>
              <w:rPr>
                <w:rFonts w:hint="eastAsia"/>
                <w:color w:val="auto"/>
                <w:highlight w:val="none"/>
                <w:vertAlign w:val="subscript"/>
              </w:rPr>
              <w:t>3</w:t>
            </w:r>
            <w:r>
              <w:rPr>
                <w:rFonts w:hint="eastAsia"/>
                <w:color w:val="auto"/>
                <w:highlight w:val="none"/>
              </w:rPr>
              <w:t>六项污染物均符合《环境空气质量标准》（GB3095-2012）中的二级标准要求。本项目位于福州市长乐区漳港街道，所在地城市环境空气质量六项常规污染物全部达标，所在区域属于达标区。</w:t>
            </w:r>
          </w:p>
          <w:p>
            <w:pPr>
              <w:pStyle w:val="72"/>
              <w:ind w:firstLine="480"/>
              <w:rPr>
                <w:color w:val="auto"/>
                <w:highlight w:val="none"/>
              </w:rPr>
            </w:pPr>
            <w:r>
              <w:rPr>
                <w:rFonts w:hint="eastAsia"/>
                <w:color w:val="auto"/>
                <w:highlight w:val="none"/>
              </w:rPr>
              <w:t>（3）特征污染物现状</w:t>
            </w:r>
          </w:p>
          <w:p>
            <w:pPr>
              <w:pStyle w:val="72"/>
              <w:ind w:firstLine="480"/>
              <w:rPr>
                <w:color w:val="auto"/>
                <w:highlight w:val="none"/>
              </w:rPr>
            </w:pPr>
            <w:r>
              <w:rPr>
                <w:rFonts w:hint="eastAsia"/>
                <w:color w:val="auto"/>
                <w:highlight w:val="none"/>
              </w:rPr>
              <w:t>为了解项目区域环境现状，</w:t>
            </w:r>
            <w:r>
              <w:rPr>
                <w:rFonts w:hint="eastAsia"/>
                <w:color w:val="auto"/>
                <w:highlight w:val="none"/>
                <w:lang w:val="en-US" w:eastAsia="zh-CN"/>
              </w:rPr>
              <w:t>评价引用</w:t>
            </w:r>
            <w:r>
              <w:rPr>
                <w:rFonts w:hint="eastAsia"/>
                <w:color w:val="auto"/>
                <w:highlight w:val="none"/>
              </w:rPr>
              <w:t>安正计量检测有限公司于2024年9月18日</w:t>
            </w:r>
            <w:r>
              <w:rPr>
                <w:rFonts w:hint="eastAsia"/>
                <w:color w:val="auto"/>
                <w:highlight w:val="none"/>
                <w:lang w:eastAsia="zh-CN"/>
              </w:rPr>
              <w:t>—</w:t>
            </w:r>
            <w:r>
              <w:rPr>
                <w:rFonts w:hint="eastAsia"/>
                <w:color w:val="auto"/>
                <w:highlight w:val="none"/>
              </w:rPr>
              <w:t>9月2</w:t>
            </w:r>
            <w:r>
              <w:rPr>
                <w:rFonts w:hint="eastAsia"/>
                <w:color w:val="auto"/>
                <w:highlight w:val="none"/>
                <w:lang w:val="en-US" w:eastAsia="zh-CN"/>
              </w:rPr>
              <w:t>1</w:t>
            </w:r>
            <w:r>
              <w:rPr>
                <w:rFonts w:hint="eastAsia"/>
                <w:color w:val="auto"/>
                <w:highlight w:val="none"/>
              </w:rPr>
              <w:t>日对上垱顶村（项目所在地南面470米处）的</w:t>
            </w:r>
            <w:r>
              <w:rPr>
                <w:rFonts w:hint="eastAsia"/>
                <w:color w:val="auto"/>
                <w:highlight w:val="none"/>
                <w:lang w:val="en-US" w:eastAsia="zh-CN"/>
              </w:rPr>
              <w:t>TSP</w:t>
            </w:r>
            <w:r>
              <w:rPr>
                <w:rFonts w:hint="eastAsia"/>
                <w:color w:val="auto"/>
                <w:highlight w:val="none"/>
              </w:rPr>
              <w:t>的采样监测结果进行分析，监测点位详见表3.1.3，监测结果见表3.1.4。根据监测结果可知，项目区域颗粒物符合《环境空气质量标准》（GB3095-2012）中的二级标准要求。</w:t>
            </w:r>
          </w:p>
          <w:p>
            <w:pPr>
              <w:pStyle w:val="68"/>
              <w:rPr>
                <w:color w:val="auto"/>
                <w:highlight w:val="none"/>
              </w:rPr>
            </w:pPr>
            <w:r>
              <w:rPr>
                <w:rFonts w:hint="eastAsia"/>
                <w:color w:val="auto"/>
                <w:highlight w:val="none"/>
              </w:rPr>
              <w:t>表3.1.3环境空气监测点布置</w:t>
            </w:r>
          </w:p>
          <w:tbl>
            <w:tblPr>
              <w:tblStyle w:val="29"/>
              <w:tblW w:w="8379"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675"/>
              <w:gridCol w:w="1841"/>
              <w:gridCol w:w="1511"/>
              <w:gridCol w:w="1676"/>
              <w:gridCol w:w="16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1675" w:type="dxa"/>
                  <w:tcBorders>
                    <w:tl2br w:val="nil"/>
                    <w:tr2bl w:val="nil"/>
                  </w:tcBorders>
                  <w:vAlign w:val="center"/>
                </w:tcPr>
                <w:p>
                  <w:pPr>
                    <w:pStyle w:val="70"/>
                    <w:rPr>
                      <w:color w:val="auto"/>
                      <w:highlight w:val="none"/>
                    </w:rPr>
                  </w:pPr>
                  <w:r>
                    <w:rPr>
                      <w:rFonts w:hint="eastAsia"/>
                      <w:color w:val="auto"/>
                      <w:highlight w:val="none"/>
                    </w:rPr>
                    <w:t>监测点位名称</w:t>
                  </w:r>
                </w:p>
              </w:tc>
              <w:tc>
                <w:tcPr>
                  <w:tcW w:w="1841" w:type="dxa"/>
                  <w:tcBorders>
                    <w:tl2br w:val="nil"/>
                    <w:tr2bl w:val="nil"/>
                  </w:tcBorders>
                  <w:vAlign w:val="center"/>
                </w:tcPr>
                <w:p>
                  <w:pPr>
                    <w:pStyle w:val="70"/>
                    <w:rPr>
                      <w:color w:val="auto"/>
                      <w:highlight w:val="none"/>
                    </w:rPr>
                  </w:pPr>
                  <w:r>
                    <w:rPr>
                      <w:rFonts w:hint="eastAsia"/>
                      <w:color w:val="auto"/>
                      <w:highlight w:val="none"/>
                    </w:rPr>
                    <w:t>监测点位坐标</w:t>
                  </w:r>
                </w:p>
              </w:tc>
              <w:tc>
                <w:tcPr>
                  <w:tcW w:w="1511" w:type="dxa"/>
                  <w:tcBorders>
                    <w:tl2br w:val="nil"/>
                    <w:tr2bl w:val="nil"/>
                  </w:tcBorders>
                  <w:vAlign w:val="center"/>
                </w:tcPr>
                <w:p>
                  <w:pPr>
                    <w:pStyle w:val="70"/>
                    <w:rPr>
                      <w:color w:val="auto"/>
                      <w:highlight w:val="none"/>
                    </w:rPr>
                  </w:pPr>
                  <w:r>
                    <w:rPr>
                      <w:rFonts w:hint="eastAsia"/>
                      <w:color w:val="auto"/>
                      <w:highlight w:val="none"/>
                    </w:rPr>
                    <w:t>监测因子</w:t>
                  </w:r>
                </w:p>
              </w:tc>
              <w:tc>
                <w:tcPr>
                  <w:tcW w:w="1676" w:type="dxa"/>
                  <w:tcBorders>
                    <w:tl2br w:val="nil"/>
                    <w:tr2bl w:val="nil"/>
                  </w:tcBorders>
                  <w:vAlign w:val="center"/>
                </w:tcPr>
                <w:p>
                  <w:pPr>
                    <w:pStyle w:val="70"/>
                    <w:rPr>
                      <w:color w:val="auto"/>
                      <w:highlight w:val="none"/>
                    </w:rPr>
                  </w:pPr>
                  <w:r>
                    <w:rPr>
                      <w:rFonts w:hint="eastAsia"/>
                      <w:color w:val="auto"/>
                      <w:highlight w:val="none"/>
                    </w:rPr>
                    <w:t>监测时段</w:t>
                  </w:r>
                </w:p>
              </w:tc>
              <w:tc>
                <w:tcPr>
                  <w:tcW w:w="1676" w:type="dxa"/>
                  <w:tcBorders>
                    <w:tl2br w:val="nil"/>
                    <w:tr2bl w:val="nil"/>
                  </w:tcBorders>
                  <w:vAlign w:val="center"/>
                </w:tcPr>
                <w:p>
                  <w:pPr>
                    <w:pStyle w:val="70"/>
                    <w:rPr>
                      <w:color w:val="auto"/>
                      <w:highlight w:val="none"/>
                    </w:rPr>
                  </w:pPr>
                  <w:r>
                    <w:rPr>
                      <w:rFonts w:hint="eastAsia"/>
                      <w:color w:val="auto"/>
                      <w:highlight w:val="none"/>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6" w:hRule="atLeast"/>
              </w:trPr>
              <w:tc>
                <w:tcPr>
                  <w:tcW w:w="1675" w:type="dxa"/>
                  <w:tcBorders>
                    <w:tl2br w:val="nil"/>
                    <w:tr2bl w:val="nil"/>
                  </w:tcBorders>
                  <w:vAlign w:val="center"/>
                </w:tcPr>
                <w:p>
                  <w:pPr>
                    <w:pStyle w:val="70"/>
                    <w:rPr>
                      <w:color w:val="auto"/>
                      <w:highlight w:val="none"/>
                    </w:rPr>
                  </w:pPr>
                  <w:r>
                    <w:rPr>
                      <w:rFonts w:hint="eastAsia"/>
                      <w:color w:val="auto"/>
                      <w:highlight w:val="none"/>
                    </w:rPr>
                    <w:t>上垱顶村</w:t>
                  </w:r>
                </w:p>
              </w:tc>
              <w:tc>
                <w:tcPr>
                  <w:tcW w:w="1841" w:type="dxa"/>
                  <w:tcBorders>
                    <w:tl2br w:val="nil"/>
                    <w:tr2bl w:val="nil"/>
                  </w:tcBorders>
                  <w:vAlign w:val="center"/>
                </w:tcPr>
                <w:p>
                  <w:pPr>
                    <w:pStyle w:val="70"/>
                    <w:rPr>
                      <w:color w:val="auto"/>
                      <w:highlight w:val="none"/>
                    </w:rPr>
                  </w:pPr>
                  <w:r>
                    <w:rPr>
                      <w:rFonts w:hint="eastAsia"/>
                      <w:color w:val="auto"/>
                      <w:highlight w:val="none"/>
                    </w:rPr>
                    <w:t>E:119</w:t>
                  </w:r>
                  <w:r>
                    <w:rPr>
                      <w:color w:val="auto"/>
                      <w:highlight w:val="none"/>
                    </w:rPr>
                    <w:t>°</w:t>
                  </w:r>
                  <w:r>
                    <w:rPr>
                      <w:rFonts w:hint="eastAsia"/>
                      <w:color w:val="auto"/>
                      <w:highlight w:val="none"/>
                    </w:rPr>
                    <w:t>38</w:t>
                  </w:r>
                  <w:r>
                    <w:rPr>
                      <w:color w:val="auto"/>
                      <w:highlight w:val="none"/>
                    </w:rPr>
                    <w:t>′</w:t>
                  </w:r>
                  <w:r>
                    <w:rPr>
                      <w:rFonts w:hint="eastAsia"/>
                      <w:color w:val="auto"/>
                      <w:highlight w:val="none"/>
                    </w:rPr>
                    <w:t>52.12</w:t>
                  </w:r>
                  <w:r>
                    <w:rPr>
                      <w:color w:val="auto"/>
                      <w:highlight w:val="none"/>
                    </w:rPr>
                    <w:t>″</w:t>
                  </w:r>
                </w:p>
                <w:p>
                  <w:pPr>
                    <w:pStyle w:val="70"/>
                    <w:rPr>
                      <w:color w:val="auto"/>
                      <w:highlight w:val="none"/>
                    </w:rPr>
                  </w:pPr>
                  <w:r>
                    <w:rPr>
                      <w:rFonts w:hint="eastAsia"/>
                      <w:color w:val="auto"/>
                      <w:highlight w:val="none"/>
                    </w:rPr>
                    <w:t>W:25</w:t>
                  </w:r>
                  <w:r>
                    <w:rPr>
                      <w:color w:val="auto"/>
                      <w:highlight w:val="none"/>
                    </w:rPr>
                    <w:t>°</w:t>
                  </w:r>
                  <w:r>
                    <w:rPr>
                      <w:rFonts w:hint="eastAsia"/>
                      <w:color w:val="auto"/>
                      <w:highlight w:val="none"/>
                    </w:rPr>
                    <w:t>55</w:t>
                  </w:r>
                  <w:r>
                    <w:rPr>
                      <w:color w:val="auto"/>
                      <w:highlight w:val="none"/>
                    </w:rPr>
                    <w:t>′</w:t>
                  </w:r>
                  <w:r>
                    <w:rPr>
                      <w:rFonts w:hint="eastAsia"/>
                      <w:color w:val="auto"/>
                      <w:highlight w:val="none"/>
                    </w:rPr>
                    <w:t>56.70</w:t>
                  </w:r>
                  <w:r>
                    <w:rPr>
                      <w:color w:val="auto"/>
                      <w:highlight w:val="none"/>
                    </w:rPr>
                    <w:t>″</w:t>
                  </w:r>
                </w:p>
              </w:tc>
              <w:tc>
                <w:tcPr>
                  <w:tcW w:w="1511" w:type="dxa"/>
                  <w:tcBorders>
                    <w:tl2br w:val="nil"/>
                    <w:tr2bl w:val="nil"/>
                  </w:tcBorders>
                  <w:vAlign w:val="center"/>
                </w:tcPr>
                <w:p>
                  <w:pPr>
                    <w:pStyle w:val="70"/>
                    <w:rPr>
                      <w:color w:val="auto"/>
                      <w:highlight w:val="none"/>
                    </w:rPr>
                  </w:pPr>
                  <w:r>
                    <w:rPr>
                      <w:rFonts w:hint="eastAsia"/>
                      <w:color w:val="auto"/>
                      <w:highlight w:val="none"/>
                    </w:rPr>
                    <w:t>TSP</w:t>
                  </w:r>
                </w:p>
              </w:tc>
              <w:tc>
                <w:tcPr>
                  <w:tcW w:w="1676" w:type="dxa"/>
                  <w:tcBorders>
                    <w:tl2br w:val="nil"/>
                    <w:tr2bl w:val="nil"/>
                  </w:tcBorders>
                  <w:vAlign w:val="center"/>
                </w:tcPr>
                <w:p>
                  <w:pPr>
                    <w:pStyle w:val="70"/>
                    <w:rPr>
                      <w:color w:val="auto"/>
                      <w:highlight w:val="none"/>
                    </w:rPr>
                  </w:pPr>
                  <w:r>
                    <w:rPr>
                      <w:rFonts w:hint="eastAsia"/>
                      <w:color w:val="auto"/>
                      <w:highlight w:val="none"/>
                    </w:rPr>
                    <w:t>2024年9月18日</w:t>
                  </w:r>
                  <w:r>
                    <w:rPr>
                      <w:rFonts w:hint="eastAsia"/>
                      <w:color w:val="auto"/>
                      <w:highlight w:val="none"/>
                      <w:lang w:eastAsia="zh-CN"/>
                    </w:rPr>
                    <w:t>—</w:t>
                  </w:r>
                  <w:r>
                    <w:rPr>
                      <w:rFonts w:hint="eastAsia"/>
                      <w:color w:val="auto"/>
                      <w:highlight w:val="none"/>
                    </w:rPr>
                    <w:t>9月2</w:t>
                  </w:r>
                  <w:r>
                    <w:rPr>
                      <w:rFonts w:hint="eastAsia"/>
                      <w:color w:val="auto"/>
                      <w:highlight w:val="none"/>
                      <w:lang w:val="en-US" w:eastAsia="zh-CN"/>
                    </w:rPr>
                    <w:t>1</w:t>
                  </w:r>
                  <w:r>
                    <w:rPr>
                      <w:rFonts w:hint="eastAsia"/>
                      <w:color w:val="auto"/>
                      <w:highlight w:val="none"/>
                    </w:rPr>
                    <w:t>日</w:t>
                  </w:r>
                </w:p>
              </w:tc>
              <w:tc>
                <w:tcPr>
                  <w:tcW w:w="1676" w:type="dxa"/>
                  <w:tcBorders>
                    <w:tl2br w:val="nil"/>
                    <w:tr2bl w:val="nil"/>
                  </w:tcBorders>
                  <w:vAlign w:val="center"/>
                </w:tcPr>
                <w:p>
                  <w:pPr>
                    <w:pStyle w:val="70"/>
                    <w:rPr>
                      <w:color w:val="auto"/>
                      <w:highlight w:val="none"/>
                    </w:rPr>
                  </w:pPr>
                  <w:r>
                    <w:rPr>
                      <w:rFonts w:hint="eastAsia"/>
                      <w:color w:val="auto"/>
                      <w:highlight w:val="none"/>
                    </w:rPr>
                    <w:t>24小时均值</w:t>
                  </w:r>
                  <w:r>
                    <w:rPr>
                      <w:color w:val="auto"/>
                      <w:highlight w:val="none"/>
                    </w:rPr>
                    <w:t>，</w:t>
                  </w:r>
                  <w:r>
                    <w:rPr>
                      <w:rFonts w:hint="eastAsia"/>
                      <w:color w:val="auto"/>
                      <w:highlight w:val="none"/>
                    </w:rPr>
                    <w:t>每日应有24小时的采样时间</w:t>
                  </w:r>
                  <w:r>
                    <w:rPr>
                      <w:color w:val="auto"/>
                      <w:highlight w:val="none"/>
                    </w:rPr>
                    <w:t>，</w:t>
                  </w:r>
                  <w:r>
                    <w:rPr>
                      <w:rFonts w:hint="eastAsia"/>
                      <w:color w:val="auto"/>
                      <w:highlight w:val="none"/>
                    </w:rPr>
                    <w:t>连续监测3天。</w:t>
                  </w:r>
                </w:p>
              </w:tc>
            </w:tr>
          </w:tbl>
          <w:p>
            <w:pPr>
              <w:pStyle w:val="68"/>
              <w:rPr>
                <w:color w:val="auto"/>
                <w:highlight w:val="none"/>
              </w:rPr>
            </w:pPr>
            <w:r>
              <w:rPr>
                <w:rFonts w:hint="eastAsia"/>
                <w:color w:val="auto"/>
                <w:highlight w:val="none"/>
              </w:rPr>
              <w:t>表3.1.4TSP环境质量现状监测结果</w:t>
            </w:r>
          </w:p>
          <w:tbl>
            <w:tblPr>
              <w:tblStyle w:val="28"/>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19"/>
              <w:gridCol w:w="1585"/>
              <w:gridCol w:w="2994"/>
              <w:gridCol w:w="23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tblHeader/>
                <w:jc w:val="center"/>
              </w:trPr>
              <w:tc>
                <w:tcPr>
                  <w:tcW w:w="904" w:type="pct"/>
                  <w:tcBorders>
                    <w:tl2br w:val="nil"/>
                    <w:tr2bl w:val="nil"/>
                  </w:tcBorders>
                  <w:vAlign w:val="center"/>
                </w:tcPr>
                <w:p>
                  <w:pPr>
                    <w:pStyle w:val="70"/>
                    <w:rPr>
                      <w:color w:val="auto"/>
                      <w:highlight w:val="none"/>
                    </w:rPr>
                  </w:pPr>
                  <w:r>
                    <w:rPr>
                      <w:rFonts w:hint="eastAsia"/>
                      <w:color w:val="auto"/>
                      <w:highlight w:val="none"/>
                      <w:lang w:val="en-US" w:eastAsia="zh-CN"/>
                    </w:rPr>
                    <w:t>监</w:t>
                  </w:r>
                  <w:r>
                    <w:rPr>
                      <w:color w:val="auto"/>
                      <w:highlight w:val="none"/>
                    </w:rPr>
                    <w:t>测点位</w:t>
                  </w:r>
                </w:p>
              </w:tc>
              <w:tc>
                <w:tcPr>
                  <w:tcW w:w="943" w:type="pct"/>
                  <w:tcBorders>
                    <w:tl2br w:val="nil"/>
                    <w:tr2bl w:val="nil"/>
                  </w:tcBorders>
                  <w:vAlign w:val="center"/>
                </w:tcPr>
                <w:p>
                  <w:pPr>
                    <w:pStyle w:val="70"/>
                    <w:rPr>
                      <w:color w:val="auto"/>
                      <w:highlight w:val="none"/>
                    </w:rPr>
                  </w:pPr>
                  <w:r>
                    <w:rPr>
                      <w:rFonts w:hint="eastAsia"/>
                      <w:color w:val="auto"/>
                      <w:highlight w:val="none"/>
                      <w:lang w:val="en-US" w:eastAsia="zh-CN"/>
                    </w:rPr>
                    <w:t>监</w:t>
                  </w:r>
                  <w:r>
                    <w:rPr>
                      <w:color w:val="auto"/>
                      <w:highlight w:val="none"/>
                    </w:rPr>
                    <w:t>测项目</w:t>
                  </w:r>
                </w:p>
              </w:tc>
              <w:tc>
                <w:tcPr>
                  <w:tcW w:w="1781" w:type="pct"/>
                  <w:tcBorders>
                    <w:tl2br w:val="nil"/>
                    <w:tr2bl w:val="nil"/>
                  </w:tcBorders>
                  <w:vAlign w:val="center"/>
                </w:tcPr>
                <w:p>
                  <w:pPr>
                    <w:pStyle w:val="70"/>
                    <w:rPr>
                      <w:color w:val="auto"/>
                      <w:highlight w:val="none"/>
                    </w:rPr>
                  </w:pPr>
                  <w:r>
                    <w:rPr>
                      <w:color w:val="auto"/>
                      <w:highlight w:val="none"/>
                    </w:rPr>
                    <w:t>采样日期</w:t>
                  </w:r>
                </w:p>
              </w:tc>
              <w:tc>
                <w:tcPr>
                  <w:tcW w:w="1371" w:type="pct"/>
                  <w:tcBorders>
                    <w:tl2br w:val="nil"/>
                    <w:tr2bl w:val="nil"/>
                  </w:tcBorders>
                  <w:vAlign w:val="center"/>
                </w:tcPr>
                <w:p>
                  <w:pPr>
                    <w:pStyle w:val="70"/>
                    <w:rPr>
                      <w:color w:val="auto"/>
                      <w:highlight w:val="none"/>
                    </w:rPr>
                  </w:pPr>
                  <w:r>
                    <w:rPr>
                      <w:rFonts w:hint="eastAsia"/>
                      <w:color w:val="auto"/>
                      <w:highlight w:val="none"/>
                      <w:lang w:val="en-US" w:eastAsia="zh-CN"/>
                    </w:rPr>
                    <w:t>监</w:t>
                  </w:r>
                  <w:r>
                    <w:rPr>
                      <w:rFonts w:hint="eastAsia"/>
                      <w:color w:val="auto"/>
                      <w:highlight w:val="none"/>
                    </w:rPr>
                    <w:t>测</w:t>
                  </w:r>
                  <w:r>
                    <w:rPr>
                      <w:color w:val="auto"/>
                      <w:highlight w:val="none"/>
                    </w:rPr>
                    <w:t>结果（mg/m</w:t>
                  </w:r>
                  <w:r>
                    <w:rPr>
                      <w:color w:val="auto"/>
                      <w:highlight w:val="none"/>
                      <w:vertAlign w:val="superscript"/>
                    </w:rPr>
                    <w:t>3</w:t>
                  </w:r>
                  <w:r>
                    <w:rPr>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04" w:type="pct"/>
                  <w:vMerge w:val="restart"/>
                  <w:tcBorders>
                    <w:tl2br w:val="nil"/>
                    <w:tr2bl w:val="nil"/>
                  </w:tcBorders>
                  <w:vAlign w:val="center"/>
                </w:tcPr>
                <w:p>
                  <w:pPr>
                    <w:pStyle w:val="70"/>
                    <w:rPr>
                      <w:color w:val="auto"/>
                      <w:highlight w:val="none"/>
                    </w:rPr>
                  </w:pPr>
                  <w:r>
                    <w:rPr>
                      <w:color w:val="auto"/>
                      <w:highlight w:val="none"/>
                    </w:rPr>
                    <w:t>Q1</w:t>
                  </w:r>
                  <w:r>
                    <w:rPr>
                      <w:rFonts w:hint="eastAsia"/>
                      <w:color w:val="auto"/>
                      <w:highlight w:val="none"/>
                    </w:rPr>
                    <w:t>上垱顶村</w:t>
                  </w:r>
                </w:p>
              </w:tc>
              <w:tc>
                <w:tcPr>
                  <w:tcW w:w="943" w:type="pct"/>
                  <w:vMerge w:val="restart"/>
                  <w:tcBorders>
                    <w:tl2br w:val="nil"/>
                    <w:tr2bl w:val="nil"/>
                  </w:tcBorders>
                  <w:vAlign w:val="center"/>
                </w:tcPr>
                <w:p>
                  <w:pPr>
                    <w:pStyle w:val="70"/>
                    <w:rPr>
                      <w:color w:val="auto"/>
                      <w:highlight w:val="none"/>
                    </w:rPr>
                  </w:pPr>
                  <w:r>
                    <w:rPr>
                      <w:rFonts w:hint="eastAsia"/>
                      <w:color w:val="auto"/>
                      <w:highlight w:val="none"/>
                    </w:rPr>
                    <w:t>总悬浮</w:t>
                  </w:r>
                  <w:r>
                    <w:rPr>
                      <w:color w:val="auto"/>
                      <w:highlight w:val="none"/>
                    </w:rPr>
                    <w:t>颗粒物</w:t>
                  </w:r>
                  <w:r>
                    <w:rPr>
                      <w:rFonts w:hint="eastAsia"/>
                      <w:color w:val="auto"/>
                      <w:highlight w:val="none"/>
                    </w:rPr>
                    <w:t>（TSP）</w:t>
                  </w:r>
                </w:p>
              </w:tc>
              <w:tc>
                <w:tcPr>
                  <w:tcW w:w="1781" w:type="pct"/>
                  <w:tcBorders>
                    <w:tl2br w:val="nil"/>
                    <w:tr2bl w:val="nil"/>
                  </w:tcBorders>
                  <w:vAlign w:val="center"/>
                </w:tcPr>
                <w:p>
                  <w:pPr>
                    <w:pStyle w:val="70"/>
                    <w:rPr>
                      <w:color w:val="auto"/>
                      <w:highlight w:val="none"/>
                    </w:rPr>
                  </w:pPr>
                  <w:r>
                    <w:rPr>
                      <w:rFonts w:hint="eastAsia"/>
                      <w:color w:val="auto"/>
                      <w:highlight w:val="none"/>
                      <w:lang w:eastAsia="zh-CN"/>
                    </w:rPr>
                    <w:t>2024年9月18日—</w:t>
                  </w:r>
                  <w:r>
                    <w:rPr>
                      <w:rFonts w:hint="eastAsia"/>
                      <w:color w:val="auto"/>
                      <w:highlight w:val="none"/>
                    </w:rPr>
                    <w:t>19日</w:t>
                  </w:r>
                </w:p>
              </w:tc>
              <w:tc>
                <w:tcPr>
                  <w:tcW w:w="1371" w:type="pct"/>
                  <w:tcBorders>
                    <w:tl2br w:val="nil"/>
                    <w:tr2bl w:val="nil"/>
                  </w:tcBorders>
                  <w:vAlign w:val="center"/>
                </w:tcPr>
                <w:p>
                  <w:pPr>
                    <w:pStyle w:val="70"/>
                    <w:rPr>
                      <w:color w:val="auto"/>
                      <w:highlight w:val="none"/>
                    </w:rPr>
                  </w:pPr>
                  <w:r>
                    <w:rPr>
                      <w:rFonts w:hint="eastAsia"/>
                      <w:color w:val="auto"/>
                      <w:highlight w:val="none"/>
                    </w:rPr>
                    <w:t>0.108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04" w:type="pct"/>
                  <w:vMerge w:val="continue"/>
                  <w:tcBorders>
                    <w:tl2br w:val="nil"/>
                    <w:tr2bl w:val="nil"/>
                  </w:tcBorders>
                  <w:vAlign w:val="center"/>
                </w:tcPr>
                <w:p>
                  <w:pPr>
                    <w:pStyle w:val="70"/>
                    <w:rPr>
                      <w:color w:val="auto"/>
                      <w:highlight w:val="none"/>
                    </w:rPr>
                  </w:pPr>
                </w:p>
              </w:tc>
              <w:tc>
                <w:tcPr>
                  <w:tcW w:w="943" w:type="pct"/>
                  <w:vMerge w:val="continue"/>
                  <w:tcBorders>
                    <w:tl2br w:val="nil"/>
                    <w:tr2bl w:val="nil"/>
                  </w:tcBorders>
                  <w:vAlign w:val="center"/>
                </w:tcPr>
                <w:p>
                  <w:pPr>
                    <w:pStyle w:val="70"/>
                    <w:rPr>
                      <w:color w:val="auto"/>
                      <w:highlight w:val="none"/>
                    </w:rPr>
                  </w:pPr>
                </w:p>
              </w:tc>
              <w:tc>
                <w:tcPr>
                  <w:tcW w:w="1781" w:type="pct"/>
                  <w:tcBorders>
                    <w:tl2br w:val="nil"/>
                    <w:tr2bl w:val="nil"/>
                  </w:tcBorders>
                  <w:vAlign w:val="center"/>
                </w:tcPr>
                <w:p>
                  <w:pPr>
                    <w:pStyle w:val="70"/>
                    <w:rPr>
                      <w:color w:val="auto"/>
                      <w:highlight w:val="none"/>
                    </w:rPr>
                  </w:pPr>
                  <w:r>
                    <w:rPr>
                      <w:rFonts w:hint="eastAsia"/>
                      <w:color w:val="auto"/>
                      <w:highlight w:val="none"/>
                      <w:lang w:eastAsia="zh-CN"/>
                    </w:rPr>
                    <w:t>2024年9月19日—</w:t>
                  </w:r>
                  <w:r>
                    <w:rPr>
                      <w:rFonts w:hint="eastAsia"/>
                      <w:color w:val="auto"/>
                      <w:highlight w:val="none"/>
                    </w:rPr>
                    <w:t>20日</w:t>
                  </w:r>
                </w:p>
              </w:tc>
              <w:tc>
                <w:tcPr>
                  <w:tcW w:w="1371" w:type="pct"/>
                  <w:tcBorders>
                    <w:tl2br w:val="nil"/>
                    <w:tr2bl w:val="nil"/>
                  </w:tcBorders>
                  <w:vAlign w:val="center"/>
                </w:tcPr>
                <w:p>
                  <w:pPr>
                    <w:pStyle w:val="70"/>
                    <w:rPr>
                      <w:color w:val="auto"/>
                      <w:highlight w:val="none"/>
                    </w:rPr>
                  </w:pPr>
                  <w:r>
                    <w:rPr>
                      <w:rFonts w:hint="eastAsia"/>
                      <w:color w:val="auto"/>
                      <w:highlight w:val="none"/>
                    </w:rPr>
                    <w:t>0.102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904" w:type="pct"/>
                  <w:vMerge w:val="continue"/>
                  <w:tcBorders>
                    <w:tl2br w:val="nil"/>
                    <w:tr2bl w:val="nil"/>
                  </w:tcBorders>
                  <w:vAlign w:val="center"/>
                </w:tcPr>
                <w:p>
                  <w:pPr>
                    <w:pStyle w:val="70"/>
                    <w:rPr>
                      <w:color w:val="auto"/>
                      <w:highlight w:val="none"/>
                    </w:rPr>
                  </w:pPr>
                </w:p>
              </w:tc>
              <w:tc>
                <w:tcPr>
                  <w:tcW w:w="943" w:type="pct"/>
                  <w:vMerge w:val="continue"/>
                  <w:tcBorders>
                    <w:tl2br w:val="nil"/>
                    <w:tr2bl w:val="nil"/>
                  </w:tcBorders>
                  <w:vAlign w:val="center"/>
                </w:tcPr>
                <w:p>
                  <w:pPr>
                    <w:pStyle w:val="70"/>
                    <w:rPr>
                      <w:color w:val="auto"/>
                      <w:highlight w:val="none"/>
                    </w:rPr>
                  </w:pPr>
                </w:p>
              </w:tc>
              <w:tc>
                <w:tcPr>
                  <w:tcW w:w="1781" w:type="pct"/>
                  <w:tcBorders>
                    <w:tl2br w:val="nil"/>
                    <w:tr2bl w:val="nil"/>
                  </w:tcBorders>
                  <w:vAlign w:val="center"/>
                </w:tcPr>
                <w:p>
                  <w:pPr>
                    <w:pStyle w:val="70"/>
                    <w:rPr>
                      <w:color w:val="auto"/>
                      <w:highlight w:val="none"/>
                    </w:rPr>
                  </w:pPr>
                  <w:r>
                    <w:rPr>
                      <w:rFonts w:hint="eastAsia"/>
                      <w:color w:val="auto"/>
                      <w:highlight w:val="none"/>
                      <w:lang w:eastAsia="zh-CN"/>
                    </w:rPr>
                    <w:t>2024年9月20日—</w:t>
                  </w:r>
                  <w:r>
                    <w:rPr>
                      <w:rFonts w:hint="eastAsia"/>
                      <w:color w:val="auto"/>
                      <w:highlight w:val="none"/>
                    </w:rPr>
                    <w:t>21日</w:t>
                  </w:r>
                </w:p>
              </w:tc>
              <w:tc>
                <w:tcPr>
                  <w:tcW w:w="1371" w:type="pct"/>
                  <w:tcBorders>
                    <w:tl2br w:val="nil"/>
                    <w:tr2bl w:val="nil"/>
                  </w:tcBorders>
                  <w:vAlign w:val="center"/>
                </w:tcPr>
                <w:p>
                  <w:pPr>
                    <w:pStyle w:val="70"/>
                    <w:rPr>
                      <w:color w:val="auto"/>
                      <w:highlight w:val="none"/>
                    </w:rPr>
                  </w:pPr>
                  <w:r>
                    <w:rPr>
                      <w:rFonts w:hint="eastAsia"/>
                      <w:color w:val="auto"/>
                      <w:highlight w:val="none"/>
                    </w:rPr>
                    <w:t>0.114</w:t>
                  </w:r>
                </w:p>
              </w:tc>
            </w:tr>
          </w:tbl>
          <w:p>
            <w:pPr>
              <w:pStyle w:val="68"/>
              <w:rPr>
                <w:rFonts w:hint="eastAsia"/>
                <w:color w:val="auto"/>
                <w:highlight w:val="none"/>
                <w:lang w:val="en-US" w:eastAsia="zh-CN"/>
              </w:rPr>
            </w:pPr>
            <w:r>
              <w:rPr>
                <w:rFonts w:hint="eastAsia"/>
                <w:color w:val="auto"/>
                <w:highlight w:val="none"/>
                <w:lang w:val="en-US" w:eastAsia="zh-CN"/>
              </w:rPr>
              <w:t>表3.1.5TSP环境质量现状评价结果</w:t>
            </w:r>
          </w:p>
          <w:tbl>
            <w:tblPr>
              <w:tblStyle w:val="29"/>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87"/>
              <w:gridCol w:w="1582"/>
              <w:gridCol w:w="1878"/>
              <w:gridCol w:w="2119"/>
              <w:gridCol w:w="1214"/>
              <w:gridCol w:w="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pPr>
                    <w:pStyle w:val="70"/>
                    <w:rPr>
                      <w:color w:val="auto"/>
                      <w:highlight w:val="none"/>
                    </w:rPr>
                  </w:pPr>
                  <w:r>
                    <w:rPr>
                      <w:rFonts w:hint="eastAsia"/>
                      <w:color w:val="auto"/>
                      <w:highlight w:val="none"/>
                    </w:rPr>
                    <w:t>监测点位</w:t>
                  </w:r>
                </w:p>
              </w:tc>
              <w:tc>
                <w:tcPr>
                  <w:tcW w:w="0" w:type="auto"/>
                  <w:tcBorders>
                    <w:tl2br w:val="nil"/>
                    <w:tr2bl w:val="nil"/>
                  </w:tcBorders>
                  <w:vAlign w:val="center"/>
                </w:tcPr>
                <w:p>
                  <w:pPr>
                    <w:pStyle w:val="70"/>
                    <w:rPr>
                      <w:color w:val="auto"/>
                      <w:highlight w:val="none"/>
                    </w:rPr>
                  </w:pPr>
                  <w:r>
                    <w:rPr>
                      <w:rFonts w:hint="eastAsia"/>
                      <w:color w:val="auto"/>
                      <w:highlight w:val="none"/>
                    </w:rPr>
                    <w:t>监测项目</w:t>
                  </w:r>
                </w:p>
              </w:tc>
              <w:tc>
                <w:tcPr>
                  <w:tcW w:w="0" w:type="auto"/>
                  <w:tcBorders>
                    <w:tl2br w:val="nil"/>
                    <w:tr2bl w:val="nil"/>
                  </w:tcBorders>
                  <w:vAlign w:val="center"/>
                </w:tcPr>
                <w:p>
                  <w:pPr>
                    <w:pStyle w:val="70"/>
                    <w:rPr>
                      <w:color w:val="auto"/>
                      <w:highlight w:val="none"/>
                    </w:rPr>
                  </w:pPr>
                  <w:r>
                    <w:rPr>
                      <w:rFonts w:hint="eastAsia"/>
                      <w:color w:val="auto"/>
                      <w:highlight w:val="none"/>
                    </w:rPr>
                    <w:t>监测浓度最大值</w:t>
                  </w:r>
                  <w:r>
                    <w:rPr>
                      <w:color w:val="auto"/>
                      <w:highlight w:val="none"/>
                    </w:rPr>
                    <w:t>（mg/m</w:t>
                  </w:r>
                  <w:r>
                    <w:rPr>
                      <w:color w:val="auto"/>
                      <w:highlight w:val="none"/>
                      <w:vertAlign w:val="superscript"/>
                    </w:rPr>
                    <w:t>3</w:t>
                  </w:r>
                  <w:r>
                    <w:rPr>
                      <w:color w:val="auto"/>
                      <w:highlight w:val="none"/>
                    </w:rPr>
                    <w:t>）</w:t>
                  </w:r>
                </w:p>
              </w:tc>
              <w:tc>
                <w:tcPr>
                  <w:tcW w:w="0" w:type="auto"/>
                  <w:tcBorders>
                    <w:tl2br w:val="nil"/>
                    <w:tr2bl w:val="nil"/>
                  </w:tcBorders>
                  <w:vAlign w:val="center"/>
                </w:tcPr>
                <w:p>
                  <w:pPr>
                    <w:pStyle w:val="70"/>
                    <w:rPr>
                      <w:color w:val="auto"/>
                      <w:highlight w:val="none"/>
                    </w:rPr>
                  </w:pPr>
                  <w:r>
                    <w:rPr>
                      <w:rFonts w:hint="eastAsia"/>
                      <w:color w:val="auto"/>
                      <w:highlight w:val="none"/>
                    </w:rPr>
                    <w:t>TSP24h平均标准限值</w:t>
                  </w:r>
                  <w:r>
                    <w:rPr>
                      <w:color w:val="auto"/>
                      <w:highlight w:val="none"/>
                    </w:rPr>
                    <w:t>（mg/m</w:t>
                  </w:r>
                  <w:r>
                    <w:rPr>
                      <w:color w:val="auto"/>
                      <w:highlight w:val="none"/>
                      <w:vertAlign w:val="superscript"/>
                    </w:rPr>
                    <w:t>3</w:t>
                  </w:r>
                  <w:r>
                    <w:rPr>
                      <w:color w:val="auto"/>
                      <w:highlight w:val="none"/>
                    </w:rPr>
                    <w:t>）</w:t>
                  </w:r>
                </w:p>
              </w:tc>
              <w:tc>
                <w:tcPr>
                  <w:tcW w:w="0" w:type="auto"/>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最大浓度占标率(%)</w:t>
                  </w:r>
                </w:p>
              </w:tc>
              <w:tc>
                <w:tcPr>
                  <w:tcW w:w="0" w:type="auto"/>
                  <w:tcBorders>
                    <w:tl2br w:val="nil"/>
                    <w:tr2bl w:val="nil"/>
                  </w:tcBorders>
                  <w:vAlign w:val="center"/>
                </w:tcPr>
                <w:p>
                  <w:pPr>
                    <w:pStyle w:val="70"/>
                    <w:rPr>
                      <w:color w:val="auto"/>
                      <w:highlight w:val="none"/>
                    </w:rPr>
                  </w:pPr>
                  <w:r>
                    <w:rPr>
                      <w:rFonts w:hint="eastAsia"/>
                      <w:color w:val="auto"/>
                      <w:highlight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pPr>
                    <w:pStyle w:val="70"/>
                    <w:rPr>
                      <w:color w:val="auto"/>
                      <w:highlight w:val="none"/>
                    </w:rPr>
                  </w:pPr>
                  <w:r>
                    <w:rPr>
                      <w:color w:val="auto"/>
                      <w:highlight w:val="none"/>
                    </w:rPr>
                    <w:t>Q1</w:t>
                  </w:r>
                  <w:r>
                    <w:rPr>
                      <w:rFonts w:hint="eastAsia"/>
                      <w:color w:val="auto"/>
                      <w:highlight w:val="none"/>
                    </w:rPr>
                    <w:t>上垱顶村</w:t>
                  </w:r>
                </w:p>
              </w:tc>
              <w:tc>
                <w:tcPr>
                  <w:tcW w:w="0" w:type="auto"/>
                  <w:tcBorders>
                    <w:tl2br w:val="nil"/>
                    <w:tr2bl w:val="nil"/>
                  </w:tcBorders>
                  <w:vAlign w:val="center"/>
                </w:tcPr>
                <w:p>
                  <w:pPr>
                    <w:pStyle w:val="70"/>
                    <w:rPr>
                      <w:color w:val="auto"/>
                      <w:highlight w:val="none"/>
                    </w:rPr>
                  </w:pPr>
                  <w:r>
                    <w:rPr>
                      <w:rFonts w:hint="eastAsia"/>
                      <w:color w:val="auto"/>
                      <w:highlight w:val="none"/>
                    </w:rPr>
                    <w:t>总悬浮</w:t>
                  </w:r>
                  <w:r>
                    <w:rPr>
                      <w:color w:val="auto"/>
                      <w:highlight w:val="none"/>
                    </w:rPr>
                    <w:t>颗粒物</w:t>
                  </w:r>
                  <w:r>
                    <w:rPr>
                      <w:rFonts w:hint="eastAsia"/>
                      <w:color w:val="auto"/>
                      <w:highlight w:val="none"/>
                    </w:rPr>
                    <w:t>（TSP）</w:t>
                  </w:r>
                </w:p>
              </w:tc>
              <w:tc>
                <w:tcPr>
                  <w:tcW w:w="0" w:type="auto"/>
                  <w:tcBorders>
                    <w:tl2br w:val="nil"/>
                    <w:tr2bl w:val="nil"/>
                  </w:tcBorders>
                  <w:vAlign w:val="center"/>
                </w:tcPr>
                <w:p>
                  <w:pPr>
                    <w:pStyle w:val="70"/>
                    <w:rPr>
                      <w:color w:val="auto"/>
                      <w:highlight w:val="none"/>
                    </w:rPr>
                  </w:pPr>
                  <w:r>
                    <w:rPr>
                      <w:rFonts w:hint="eastAsia"/>
                      <w:color w:val="auto"/>
                      <w:highlight w:val="none"/>
                    </w:rPr>
                    <w:t>0.114</w:t>
                  </w:r>
                </w:p>
              </w:tc>
              <w:tc>
                <w:tcPr>
                  <w:tcW w:w="0" w:type="auto"/>
                  <w:tcBorders>
                    <w:tl2br w:val="nil"/>
                    <w:tr2bl w:val="nil"/>
                  </w:tcBorders>
                  <w:vAlign w:val="center"/>
                </w:tcPr>
                <w:p>
                  <w:pPr>
                    <w:pStyle w:val="70"/>
                    <w:rPr>
                      <w:color w:val="auto"/>
                      <w:highlight w:val="none"/>
                    </w:rPr>
                  </w:pPr>
                  <w:r>
                    <w:rPr>
                      <w:rFonts w:hint="eastAsia"/>
                      <w:color w:val="auto"/>
                      <w:highlight w:val="none"/>
                    </w:rPr>
                    <w:t>0.3</w:t>
                  </w:r>
                </w:p>
              </w:tc>
              <w:tc>
                <w:tcPr>
                  <w:tcW w:w="0" w:type="auto"/>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38</w:t>
                  </w:r>
                </w:p>
              </w:tc>
              <w:tc>
                <w:tcPr>
                  <w:tcW w:w="0" w:type="auto"/>
                  <w:tcBorders>
                    <w:tl2br w:val="nil"/>
                    <w:tr2bl w:val="nil"/>
                  </w:tcBorders>
                  <w:vAlign w:val="center"/>
                </w:tcPr>
                <w:p>
                  <w:pPr>
                    <w:pStyle w:val="70"/>
                    <w:rPr>
                      <w:color w:val="auto"/>
                      <w:highlight w:val="none"/>
                    </w:rPr>
                  </w:pPr>
                  <w:r>
                    <w:rPr>
                      <w:rFonts w:hint="eastAsia"/>
                      <w:color w:val="auto"/>
                      <w:highlight w:val="none"/>
                    </w:rPr>
                    <w:t>达标</w:t>
                  </w:r>
                </w:p>
              </w:tc>
            </w:tr>
          </w:tbl>
          <w:p>
            <w:pPr>
              <w:pStyle w:val="68"/>
              <w:rPr>
                <w:rFonts w:hint="eastAsia"/>
                <w:color w:val="auto"/>
                <w:highlight w:val="none"/>
                <w:lang w:val="en-US" w:eastAsia="zh-CN"/>
              </w:rPr>
            </w:pPr>
          </w:p>
          <w:p>
            <w:pPr>
              <w:pStyle w:val="72"/>
              <w:rPr>
                <w:rFonts w:hint="default"/>
                <w:color w:val="auto"/>
                <w:highlight w:val="none"/>
                <w:lang w:val="en-US" w:eastAsia="zh-CN"/>
              </w:rPr>
            </w:pPr>
            <w:r>
              <w:rPr>
                <w:rFonts w:hint="eastAsia"/>
                <w:color w:val="auto"/>
                <w:highlight w:val="none"/>
                <w:lang w:val="en-US" w:eastAsia="zh-CN"/>
              </w:rPr>
              <w:t>根据《关于〈建设项目环境影响报告表〉内容、格式及编制技术指南常见问题解答》（生态环境部环境工程评估中心），技术指南中提到“排放国家、地方环境空气质量标准中有标准限值要求的特征污染物”，其中环境空气质量标准指《环境空气质量标准》（GB3095）和地方的环境空气质量标准，不包括《环境影响评价技术导则大气环境》（HJ2.2-2018）附录D、《工业企业设计卫生标准》（TJ36-97）、《前苏联居住区标准》（CH245-71）、《环境影响评价技术导则制药建设项目》（HJ611-2011）、《大气污染物综合排放标准详解》等导则或参考资料。排放的特征污染物需要在国家、地方环境空气质量标准中有限值要求才涉及现状监测，优先引用现有监测数据。本项目排放的非甲烷总烃不属于《环境空气质量标准》（GB3095-2012）和地方环境空气质量中有标准限值要求的污染物，因此不进行非甲烷总烃现状评价。</w:t>
            </w:r>
          </w:p>
          <w:p>
            <w:pPr>
              <w:pStyle w:val="66"/>
              <w:numPr>
                <w:ilvl w:val="3"/>
                <w:numId w:val="0"/>
              </w:numPr>
              <w:rPr>
                <w:color w:val="auto"/>
                <w:highlight w:val="none"/>
              </w:rPr>
            </w:pPr>
            <w:r>
              <w:rPr>
                <w:rFonts w:hint="eastAsia"/>
                <w:color w:val="auto"/>
                <w:highlight w:val="none"/>
              </w:rPr>
              <w:t>3.1.2地表水环境质量现状</w:t>
            </w:r>
          </w:p>
          <w:p>
            <w:pPr>
              <w:pStyle w:val="72"/>
              <w:ind w:firstLine="480"/>
              <w:rPr>
                <w:color w:val="auto"/>
                <w:highlight w:val="none"/>
              </w:rPr>
            </w:pPr>
            <w:r>
              <w:rPr>
                <w:rFonts w:hint="eastAsia"/>
                <w:color w:val="auto"/>
                <w:highlight w:val="none"/>
              </w:rPr>
              <w:t>（1）环境功能区划</w:t>
            </w:r>
          </w:p>
          <w:p>
            <w:pPr>
              <w:pStyle w:val="72"/>
              <w:ind w:firstLine="480"/>
              <w:rPr>
                <w:color w:val="auto"/>
                <w:highlight w:val="none"/>
              </w:rPr>
            </w:pPr>
            <w:r>
              <w:rPr>
                <w:rFonts w:hint="eastAsia"/>
                <w:color w:val="auto"/>
                <w:highlight w:val="none"/>
                <w:lang w:val="en-US" w:eastAsia="zh-CN"/>
              </w:rPr>
              <w:t>项目南侧的三营河属于北洋水网的一部分。</w:t>
            </w:r>
            <w:r>
              <w:rPr>
                <w:rFonts w:hint="eastAsia"/>
                <w:color w:val="auto"/>
                <w:highlight w:val="none"/>
              </w:rPr>
              <w:t>根据</w:t>
            </w:r>
            <w:r>
              <w:rPr>
                <w:color w:val="auto"/>
                <w:sz w:val="24"/>
              </w:rPr>
              <w:t>《福州市地表水环境功能区划定方案》</w:t>
            </w:r>
            <w:r>
              <w:rPr>
                <w:rFonts w:hint="eastAsia"/>
                <w:color w:val="auto"/>
                <w:sz w:val="24"/>
                <w:lang w:eastAsia="zh-CN"/>
              </w:rPr>
              <w:t>（</w:t>
            </w:r>
            <w:r>
              <w:rPr>
                <w:color w:val="auto"/>
                <w:sz w:val="24"/>
              </w:rPr>
              <w:t>闽政文</w:t>
            </w:r>
            <w:r>
              <w:rPr>
                <w:rFonts w:hint="eastAsia"/>
                <w:color w:val="auto"/>
                <w:sz w:val="24"/>
                <w:lang w:eastAsia="zh-CN"/>
              </w:rPr>
              <w:t>〔2006〕133号）</w:t>
            </w:r>
            <w:r>
              <w:rPr>
                <w:rFonts w:hint="eastAsia"/>
                <w:color w:val="auto"/>
                <w:highlight w:val="none"/>
              </w:rPr>
              <w:t>，北洋水网全河段水体主要功能为工业用水、农业用水，为</w:t>
            </w:r>
            <w:r>
              <w:rPr>
                <w:color w:val="auto"/>
                <w:highlight w:val="none"/>
              </w:rPr>
              <w:t>Ⅴ</w:t>
            </w:r>
            <w:r>
              <w:rPr>
                <w:rFonts w:hint="eastAsia"/>
                <w:color w:val="auto"/>
                <w:highlight w:val="none"/>
              </w:rPr>
              <w:t>类水体，其水质执行《地表水环境质量标准》（GB3838-2002）中</w:t>
            </w:r>
            <w:r>
              <w:rPr>
                <w:color w:val="auto"/>
                <w:highlight w:val="none"/>
              </w:rPr>
              <w:t>Ⅴ</w:t>
            </w:r>
            <w:r>
              <w:rPr>
                <w:rFonts w:hint="eastAsia"/>
                <w:color w:val="auto"/>
                <w:highlight w:val="none"/>
              </w:rPr>
              <w:t>类标准。项目所在区域水环境质量标准见表3.1.</w:t>
            </w:r>
            <w:r>
              <w:rPr>
                <w:rFonts w:hint="eastAsia"/>
                <w:color w:val="auto"/>
                <w:highlight w:val="none"/>
                <w:lang w:val="en-US" w:eastAsia="zh-CN"/>
              </w:rPr>
              <w:t>6</w:t>
            </w:r>
            <w:r>
              <w:rPr>
                <w:rFonts w:hint="eastAsia"/>
                <w:color w:val="auto"/>
                <w:highlight w:val="none"/>
              </w:rPr>
              <w:t>。</w:t>
            </w:r>
          </w:p>
          <w:p>
            <w:pPr>
              <w:pStyle w:val="68"/>
              <w:rPr>
                <w:color w:val="auto"/>
                <w:highlight w:val="none"/>
              </w:rPr>
            </w:pPr>
            <w:r>
              <w:rPr>
                <w:rFonts w:hint="eastAsia"/>
                <w:color w:val="auto"/>
                <w:highlight w:val="none"/>
              </w:rPr>
              <w:t>表3.1.</w:t>
            </w:r>
            <w:r>
              <w:rPr>
                <w:rFonts w:hint="eastAsia"/>
                <w:color w:val="auto"/>
                <w:highlight w:val="none"/>
                <w:lang w:val="en-US" w:eastAsia="zh-CN"/>
              </w:rPr>
              <w:t>6</w:t>
            </w:r>
            <w:r>
              <w:rPr>
                <w:rFonts w:hint="eastAsia"/>
                <w:color w:val="auto"/>
                <w:highlight w:val="none"/>
              </w:rPr>
              <w:t>地表水环境质量标准（GB3838-2002）（摘录）</w:t>
            </w:r>
          </w:p>
          <w:tbl>
            <w:tblPr>
              <w:tblStyle w:val="29"/>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52"/>
              <w:gridCol w:w="540"/>
              <w:gridCol w:w="2145"/>
              <w:gridCol w:w="1298"/>
              <w:gridCol w:w="805"/>
              <w:gridCol w:w="1404"/>
              <w:gridCol w:w="12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pPr>
                    <w:pStyle w:val="70"/>
                    <w:rPr>
                      <w:color w:val="auto"/>
                      <w:highlight w:val="none"/>
                    </w:rPr>
                  </w:pPr>
                  <w:r>
                    <w:rPr>
                      <w:rFonts w:hint="eastAsia"/>
                      <w:color w:val="auto"/>
                      <w:highlight w:val="none"/>
                    </w:rPr>
                    <w:t>标准分类</w:t>
                  </w:r>
                </w:p>
              </w:tc>
              <w:tc>
                <w:tcPr>
                  <w:tcW w:w="0" w:type="auto"/>
                  <w:tcBorders>
                    <w:tl2br w:val="nil"/>
                    <w:tr2bl w:val="nil"/>
                  </w:tcBorders>
                  <w:vAlign w:val="center"/>
                </w:tcPr>
                <w:p>
                  <w:pPr>
                    <w:pStyle w:val="70"/>
                    <w:rPr>
                      <w:color w:val="auto"/>
                      <w:highlight w:val="none"/>
                    </w:rPr>
                  </w:pPr>
                  <w:r>
                    <w:rPr>
                      <w:rFonts w:hint="eastAsia"/>
                      <w:color w:val="auto"/>
                      <w:highlight w:val="none"/>
                    </w:rPr>
                    <w:t>pH</w:t>
                  </w:r>
                </w:p>
              </w:tc>
              <w:tc>
                <w:tcPr>
                  <w:tcW w:w="0" w:type="auto"/>
                  <w:tcBorders>
                    <w:tl2br w:val="nil"/>
                    <w:tr2bl w:val="nil"/>
                  </w:tcBorders>
                  <w:vAlign w:val="center"/>
                </w:tcPr>
                <w:p>
                  <w:pPr>
                    <w:pStyle w:val="70"/>
                    <w:rPr>
                      <w:color w:val="auto"/>
                      <w:highlight w:val="none"/>
                    </w:rPr>
                  </w:pPr>
                  <w:r>
                    <w:rPr>
                      <w:rFonts w:hint="eastAsia"/>
                      <w:color w:val="auto"/>
                      <w:highlight w:val="none"/>
                    </w:rPr>
                    <w:t>高锰酸</w:t>
                  </w:r>
                  <w:r>
                    <w:rPr>
                      <w:rStyle w:val="71"/>
                      <w:rFonts w:hint="eastAsia"/>
                      <w:color w:val="auto"/>
                      <w:highlight w:val="none"/>
                      <w:lang w:val="en-US" w:eastAsia="zh-CN"/>
                    </w:rPr>
                    <w:t>盐</w:t>
                  </w:r>
                  <w:r>
                    <w:rPr>
                      <w:rFonts w:hint="eastAsia"/>
                      <w:color w:val="auto"/>
                      <w:highlight w:val="none"/>
                    </w:rPr>
                    <w:t>指数（mg/L）</w:t>
                  </w:r>
                </w:p>
              </w:tc>
              <w:tc>
                <w:tcPr>
                  <w:tcW w:w="0" w:type="auto"/>
                  <w:tcBorders>
                    <w:tl2br w:val="nil"/>
                    <w:tr2bl w:val="nil"/>
                  </w:tcBorders>
                  <w:vAlign w:val="center"/>
                </w:tcPr>
                <w:p>
                  <w:pPr>
                    <w:pStyle w:val="70"/>
                    <w:rPr>
                      <w:color w:val="auto"/>
                      <w:highlight w:val="none"/>
                    </w:rPr>
                  </w:pPr>
                  <w:r>
                    <w:rPr>
                      <w:rFonts w:hint="eastAsia"/>
                      <w:color w:val="auto"/>
                      <w:highlight w:val="none"/>
                    </w:rPr>
                    <w:t>BOD</w:t>
                  </w:r>
                  <w:r>
                    <w:rPr>
                      <w:rFonts w:hint="eastAsia"/>
                      <w:color w:val="auto"/>
                      <w:highlight w:val="none"/>
                      <w:vertAlign w:val="subscript"/>
                    </w:rPr>
                    <w:t>5</w:t>
                  </w:r>
                  <w:r>
                    <w:rPr>
                      <w:rFonts w:hint="eastAsia"/>
                      <w:color w:val="auto"/>
                      <w:highlight w:val="none"/>
                      <w:vertAlign w:val="subscript"/>
                      <w:lang w:eastAsia="zh-CN"/>
                    </w:rPr>
                    <w:t>(</w:t>
                  </w:r>
                  <w:r>
                    <w:rPr>
                      <w:rFonts w:hint="eastAsia"/>
                      <w:color w:val="auto"/>
                      <w:highlight w:val="none"/>
                    </w:rPr>
                    <w:t>mg/L</w:t>
                  </w:r>
                  <w:r>
                    <w:rPr>
                      <w:rFonts w:hint="eastAsia"/>
                      <w:color w:val="auto"/>
                      <w:highlight w:val="none"/>
                      <w:lang w:eastAsia="zh-CN"/>
                    </w:rPr>
                    <w:t>)</w:t>
                  </w:r>
                </w:p>
              </w:tc>
              <w:tc>
                <w:tcPr>
                  <w:tcW w:w="0" w:type="auto"/>
                  <w:tcBorders>
                    <w:tl2br w:val="nil"/>
                    <w:tr2bl w:val="nil"/>
                  </w:tcBorders>
                  <w:vAlign w:val="center"/>
                </w:tcPr>
                <w:p>
                  <w:pPr>
                    <w:pStyle w:val="70"/>
                    <w:rPr>
                      <w:color w:val="auto"/>
                      <w:highlight w:val="none"/>
                    </w:rPr>
                  </w:pPr>
                  <w:r>
                    <w:rPr>
                      <w:rFonts w:hint="eastAsia"/>
                      <w:color w:val="auto"/>
                      <w:highlight w:val="none"/>
                    </w:rPr>
                    <w:t>石油类</w:t>
                  </w:r>
                </w:p>
              </w:tc>
              <w:tc>
                <w:tcPr>
                  <w:tcW w:w="0" w:type="auto"/>
                  <w:tcBorders>
                    <w:tl2br w:val="nil"/>
                    <w:tr2bl w:val="nil"/>
                  </w:tcBorders>
                  <w:vAlign w:val="center"/>
                </w:tcPr>
                <w:p>
                  <w:pPr>
                    <w:pStyle w:val="70"/>
                    <w:rPr>
                      <w:color w:val="auto"/>
                      <w:highlight w:val="none"/>
                    </w:rPr>
                  </w:pPr>
                  <w:r>
                    <w:rPr>
                      <w:rFonts w:hint="eastAsia"/>
                      <w:color w:val="auto"/>
                      <w:highlight w:val="none"/>
                    </w:rPr>
                    <w:t>NH</w:t>
                  </w:r>
                  <w:r>
                    <w:rPr>
                      <w:rFonts w:hint="eastAsia"/>
                      <w:color w:val="auto"/>
                      <w:highlight w:val="none"/>
                      <w:vertAlign w:val="subscript"/>
                    </w:rPr>
                    <w:t>3</w:t>
                  </w:r>
                  <w:r>
                    <w:rPr>
                      <w:rFonts w:hint="eastAsia"/>
                      <w:color w:val="auto"/>
                      <w:highlight w:val="none"/>
                    </w:rPr>
                    <w:t>-N</w:t>
                  </w:r>
                  <w:r>
                    <w:rPr>
                      <w:rFonts w:hint="eastAsia"/>
                      <w:color w:val="auto"/>
                      <w:highlight w:val="none"/>
                      <w:lang w:eastAsia="zh-CN"/>
                    </w:rPr>
                    <w:t>(</w:t>
                  </w:r>
                  <w:r>
                    <w:rPr>
                      <w:rFonts w:hint="eastAsia"/>
                      <w:color w:val="auto"/>
                      <w:highlight w:val="none"/>
                    </w:rPr>
                    <w:t>mg/L</w:t>
                  </w:r>
                  <w:r>
                    <w:rPr>
                      <w:rFonts w:hint="eastAsia"/>
                      <w:color w:val="auto"/>
                      <w:highlight w:val="none"/>
                      <w:lang w:eastAsia="zh-CN"/>
                    </w:rPr>
                    <w:t>)</w:t>
                  </w:r>
                </w:p>
              </w:tc>
              <w:tc>
                <w:tcPr>
                  <w:tcW w:w="0" w:type="auto"/>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COD(mg/L)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0" w:type="auto"/>
                  <w:tcBorders>
                    <w:tl2br w:val="nil"/>
                    <w:tr2bl w:val="nil"/>
                  </w:tcBorders>
                  <w:vAlign w:val="center"/>
                </w:tcPr>
                <w:p>
                  <w:pPr>
                    <w:pStyle w:val="70"/>
                    <w:rPr>
                      <w:color w:val="auto"/>
                      <w:highlight w:val="none"/>
                    </w:rPr>
                  </w:pPr>
                  <w:r>
                    <w:rPr>
                      <w:color w:val="auto"/>
                      <w:highlight w:val="none"/>
                    </w:rPr>
                    <w:t>Ⅴ</w:t>
                  </w:r>
                </w:p>
              </w:tc>
              <w:tc>
                <w:tcPr>
                  <w:tcW w:w="0" w:type="auto"/>
                  <w:tcBorders>
                    <w:tl2br w:val="nil"/>
                    <w:tr2bl w:val="nil"/>
                  </w:tcBorders>
                  <w:vAlign w:val="center"/>
                </w:tcPr>
                <w:p>
                  <w:pPr>
                    <w:pStyle w:val="70"/>
                    <w:rPr>
                      <w:color w:val="auto"/>
                      <w:highlight w:val="none"/>
                    </w:rPr>
                  </w:pPr>
                  <w:r>
                    <w:rPr>
                      <w:rFonts w:hint="eastAsia"/>
                      <w:color w:val="auto"/>
                      <w:highlight w:val="none"/>
                    </w:rPr>
                    <w:t>6~9</w:t>
                  </w:r>
                </w:p>
              </w:tc>
              <w:tc>
                <w:tcPr>
                  <w:tcW w:w="0" w:type="auto"/>
                  <w:tcBorders>
                    <w:tl2br w:val="nil"/>
                    <w:tr2bl w:val="nil"/>
                  </w:tcBorders>
                  <w:vAlign w:val="center"/>
                </w:tcPr>
                <w:p>
                  <w:pPr>
                    <w:pStyle w:val="70"/>
                    <w:rPr>
                      <w:color w:val="auto"/>
                      <w:highlight w:val="none"/>
                    </w:rPr>
                  </w:pPr>
                  <w:r>
                    <w:rPr>
                      <w:color w:val="auto"/>
                      <w:highlight w:val="none"/>
                    </w:rPr>
                    <w:t>≤</w:t>
                  </w:r>
                  <w:r>
                    <w:rPr>
                      <w:rFonts w:hint="eastAsia"/>
                      <w:color w:val="auto"/>
                      <w:highlight w:val="none"/>
                    </w:rPr>
                    <w:t>15</w:t>
                  </w:r>
                </w:p>
              </w:tc>
              <w:tc>
                <w:tcPr>
                  <w:tcW w:w="0" w:type="auto"/>
                  <w:tcBorders>
                    <w:tl2br w:val="nil"/>
                    <w:tr2bl w:val="nil"/>
                  </w:tcBorders>
                  <w:vAlign w:val="center"/>
                </w:tcPr>
                <w:p>
                  <w:pPr>
                    <w:pStyle w:val="70"/>
                    <w:rPr>
                      <w:color w:val="auto"/>
                      <w:highlight w:val="none"/>
                    </w:rPr>
                  </w:pPr>
                  <w:r>
                    <w:rPr>
                      <w:color w:val="auto"/>
                      <w:highlight w:val="none"/>
                    </w:rPr>
                    <w:t>≤</w:t>
                  </w:r>
                  <w:r>
                    <w:rPr>
                      <w:rFonts w:hint="eastAsia"/>
                      <w:color w:val="auto"/>
                      <w:highlight w:val="none"/>
                    </w:rPr>
                    <w:t>10</w:t>
                  </w:r>
                </w:p>
              </w:tc>
              <w:tc>
                <w:tcPr>
                  <w:tcW w:w="0" w:type="auto"/>
                  <w:tcBorders>
                    <w:tl2br w:val="nil"/>
                    <w:tr2bl w:val="nil"/>
                  </w:tcBorders>
                  <w:vAlign w:val="center"/>
                </w:tcPr>
                <w:p>
                  <w:pPr>
                    <w:pStyle w:val="70"/>
                    <w:rPr>
                      <w:color w:val="auto"/>
                      <w:highlight w:val="none"/>
                    </w:rPr>
                  </w:pPr>
                  <w:r>
                    <w:rPr>
                      <w:color w:val="auto"/>
                      <w:highlight w:val="none"/>
                    </w:rPr>
                    <w:t>≤</w:t>
                  </w:r>
                  <w:r>
                    <w:rPr>
                      <w:rFonts w:hint="eastAsia"/>
                      <w:color w:val="auto"/>
                      <w:highlight w:val="none"/>
                    </w:rPr>
                    <w:t>1.0</w:t>
                  </w:r>
                </w:p>
              </w:tc>
              <w:tc>
                <w:tcPr>
                  <w:tcW w:w="0" w:type="auto"/>
                  <w:tcBorders>
                    <w:tl2br w:val="nil"/>
                    <w:tr2bl w:val="nil"/>
                  </w:tcBorders>
                  <w:vAlign w:val="center"/>
                </w:tcPr>
                <w:p>
                  <w:pPr>
                    <w:pStyle w:val="70"/>
                    <w:rPr>
                      <w:color w:val="auto"/>
                      <w:highlight w:val="none"/>
                    </w:rPr>
                  </w:pPr>
                  <w:r>
                    <w:rPr>
                      <w:color w:val="auto"/>
                      <w:highlight w:val="none"/>
                    </w:rPr>
                    <w:t>≤</w:t>
                  </w:r>
                  <w:r>
                    <w:rPr>
                      <w:rFonts w:hint="eastAsia"/>
                      <w:color w:val="auto"/>
                      <w:highlight w:val="none"/>
                    </w:rPr>
                    <w:t>2.0</w:t>
                  </w:r>
                </w:p>
              </w:tc>
              <w:tc>
                <w:tcPr>
                  <w:tcW w:w="0" w:type="auto"/>
                  <w:tcBorders>
                    <w:tl2br w:val="nil"/>
                    <w:tr2bl w:val="nil"/>
                  </w:tcBorders>
                  <w:vAlign w:val="center"/>
                </w:tcPr>
                <w:p>
                  <w:pPr>
                    <w:pStyle w:val="70"/>
                    <w:rPr>
                      <w:rFonts w:hint="default" w:eastAsia="宋体"/>
                      <w:color w:val="auto"/>
                      <w:highlight w:val="none"/>
                      <w:lang w:val="en-US" w:eastAsia="zh-CN"/>
                    </w:rPr>
                  </w:pPr>
                  <w:r>
                    <w:rPr>
                      <w:color w:val="auto"/>
                      <w:highlight w:val="none"/>
                    </w:rPr>
                    <w:t>≤</w:t>
                  </w:r>
                  <w:r>
                    <w:rPr>
                      <w:rFonts w:hint="eastAsia"/>
                      <w:color w:val="auto"/>
                      <w:highlight w:val="none"/>
                      <w:lang w:val="en-US" w:eastAsia="zh-CN"/>
                    </w:rPr>
                    <w:t>40</w:t>
                  </w:r>
                </w:p>
              </w:tc>
            </w:tr>
          </w:tbl>
          <w:p>
            <w:pPr>
              <w:pStyle w:val="68"/>
              <w:jc w:val="both"/>
              <w:rPr>
                <w:color w:val="auto"/>
                <w:highlight w:val="none"/>
              </w:rPr>
            </w:pPr>
          </w:p>
          <w:p>
            <w:pPr>
              <w:pStyle w:val="72"/>
              <w:ind w:firstLine="480"/>
              <w:rPr>
                <w:color w:val="auto"/>
                <w:highlight w:val="none"/>
              </w:rPr>
            </w:pPr>
            <w:r>
              <w:rPr>
                <w:rFonts w:hint="eastAsia"/>
                <w:color w:val="auto"/>
                <w:highlight w:val="none"/>
              </w:rPr>
              <w:t>项目外排废水水质</w:t>
            </w:r>
            <w:r>
              <w:rPr>
                <w:rFonts w:hint="eastAsia"/>
                <w:color w:val="auto"/>
                <w:highlight w:val="none"/>
                <w:lang w:eastAsia="zh-CN"/>
              </w:rPr>
              <w:t>达到</w:t>
            </w:r>
            <w:r>
              <w:rPr>
                <w:rFonts w:hint="eastAsia"/>
                <w:color w:val="auto"/>
                <w:highlight w:val="none"/>
              </w:rPr>
              <w:t>《污水综合排放标准》（GB8978-1996）表4中三级标准</w:t>
            </w:r>
            <w:r>
              <w:rPr>
                <w:rFonts w:hint="eastAsia"/>
                <w:color w:val="auto"/>
                <w:highlight w:val="none"/>
                <w:lang w:val="en-US" w:eastAsia="zh-CN"/>
              </w:rPr>
              <w:t>，氨氮参照执行《污水排入城镇下水道水质标准》（GB/T31962-2015）表1中的B级标准</w:t>
            </w:r>
            <w:r>
              <w:rPr>
                <w:rFonts w:hint="eastAsia"/>
                <w:color w:val="auto"/>
                <w:highlight w:val="none"/>
              </w:rPr>
              <w:t>后排入滨海工业区污水处理厂处理，经污水处理厂处理达标后外排牛头湾海域。</w:t>
            </w:r>
          </w:p>
          <w:p>
            <w:pPr>
              <w:pStyle w:val="72"/>
              <w:ind w:firstLine="480"/>
              <w:rPr>
                <w:rFonts w:hint="default" w:eastAsia="宋体"/>
                <w:color w:val="auto"/>
                <w:highlight w:val="none"/>
                <w:lang w:val="en-US" w:eastAsia="zh-CN"/>
              </w:rPr>
            </w:pPr>
            <w:r>
              <w:rPr>
                <w:rFonts w:hint="eastAsia"/>
                <w:color w:val="auto"/>
                <w:highlight w:val="none"/>
              </w:rPr>
              <w:t>根据《福建省近岸海域环境功能区划（修编）》，滨海工业区污水处理厂的纳污海域为长乐区松下镇牛头湾，属于长乐松下港四类区，执行《海水水质标准》（GB3097-1997）第三类标准，标准值详见表3.1.</w:t>
            </w:r>
            <w:r>
              <w:rPr>
                <w:rFonts w:hint="eastAsia"/>
                <w:color w:val="auto"/>
                <w:highlight w:val="none"/>
                <w:lang w:val="en-US" w:eastAsia="zh-CN"/>
              </w:rPr>
              <w:t>7。</w:t>
            </w:r>
          </w:p>
          <w:p>
            <w:pPr>
              <w:pStyle w:val="68"/>
              <w:rPr>
                <w:color w:val="auto"/>
                <w:highlight w:val="none"/>
              </w:rPr>
            </w:pPr>
            <w:r>
              <w:rPr>
                <w:rFonts w:hint="eastAsia"/>
                <w:color w:val="auto"/>
                <w:highlight w:val="none"/>
              </w:rPr>
              <w:t>表3.1.</w:t>
            </w:r>
            <w:r>
              <w:rPr>
                <w:rFonts w:hint="eastAsia"/>
                <w:color w:val="auto"/>
                <w:highlight w:val="none"/>
                <w:lang w:val="en-US" w:eastAsia="zh-CN"/>
              </w:rPr>
              <w:t>7</w:t>
            </w:r>
            <w:r>
              <w:rPr>
                <w:rFonts w:hint="eastAsia"/>
                <w:color w:val="auto"/>
                <w:highlight w:val="none"/>
              </w:rPr>
              <w:t>海水水质标准（摘录）单位：mg/L（pH无量纲）</w:t>
            </w:r>
          </w:p>
          <w:tbl>
            <w:tblPr>
              <w:tblStyle w:val="29"/>
              <w:tblW w:w="7974"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05"/>
              <w:gridCol w:w="2963"/>
              <w:gridCol w:w="968"/>
              <w:gridCol w:w="1000"/>
              <w:gridCol w:w="183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82" w:type="dxa"/>
                  <w:tcBorders>
                    <w:tl2br w:val="nil"/>
                    <w:tr2bl w:val="nil"/>
                  </w:tcBorders>
                  <w:vAlign w:val="center"/>
                </w:tcPr>
                <w:p>
                  <w:pPr>
                    <w:pStyle w:val="70"/>
                    <w:rPr>
                      <w:color w:val="auto"/>
                      <w:highlight w:val="none"/>
                    </w:rPr>
                  </w:pPr>
                  <w:r>
                    <w:rPr>
                      <w:rFonts w:hint="eastAsia"/>
                      <w:color w:val="auto"/>
                      <w:highlight w:val="none"/>
                    </w:rPr>
                    <w:t>类别</w:t>
                  </w:r>
                </w:p>
              </w:tc>
              <w:tc>
                <w:tcPr>
                  <w:tcW w:w="3300" w:type="dxa"/>
                  <w:tcBorders>
                    <w:tl2br w:val="nil"/>
                    <w:tr2bl w:val="nil"/>
                  </w:tcBorders>
                  <w:vAlign w:val="center"/>
                </w:tcPr>
                <w:p>
                  <w:pPr>
                    <w:pStyle w:val="70"/>
                    <w:rPr>
                      <w:color w:val="auto"/>
                      <w:highlight w:val="none"/>
                    </w:rPr>
                  </w:pPr>
                  <w:r>
                    <w:rPr>
                      <w:rFonts w:hint="eastAsia"/>
                      <w:color w:val="auto"/>
                      <w:highlight w:val="none"/>
                    </w:rPr>
                    <w:t>第二类</w:t>
                  </w:r>
                </w:p>
              </w:tc>
              <w:tc>
                <w:tcPr>
                  <w:tcW w:w="1029" w:type="dxa"/>
                  <w:tcBorders>
                    <w:tl2br w:val="nil"/>
                    <w:tr2bl w:val="nil"/>
                  </w:tcBorders>
                  <w:shd w:val="clear" w:color="auto" w:fill="D7D7D7" w:themeFill="background1" w:themeFillShade="D8"/>
                  <w:vAlign w:val="center"/>
                </w:tcPr>
                <w:p>
                  <w:pPr>
                    <w:pStyle w:val="70"/>
                    <w:rPr>
                      <w:color w:val="auto"/>
                      <w:highlight w:val="none"/>
                    </w:rPr>
                  </w:pPr>
                  <w:r>
                    <w:rPr>
                      <w:rFonts w:hint="eastAsia"/>
                      <w:color w:val="auto"/>
                      <w:highlight w:val="none"/>
                    </w:rPr>
                    <w:t>第三类</w:t>
                  </w:r>
                </w:p>
              </w:tc>
              <w:tc>
                <w:tcPr>
                  <w:tcW w:w="1050" w:type="dxa"/>
                  <w:tcBorders>
                    <w:tl2br w:val="nil"/>
                    <w:tr2bl w:val="nil"/>
                  </w:tcBorders>
                  <w:shd w:val="clear" w:color="auto" w:fill="auto"/>
                  <w:vAlign w:val="center"/>
                </w:tcPr>
                <w:p>
                  <w:pPr>
                    <w:pStyle w:val="70"/>
                    <w:rPr>
                      <w:color w:val="auto"/>
                      <w:highlight w:val="none"/>
                    </w:rPr>
                  </w:pPr>
                  <w:r>
                    <w:rPr>
                      <w:rFonts w:hint="eastAsia"/>
                      <w:color w:val="auto"/>
                      <w:highlight w:val="none"/>
                    </w:rPr>
                    <w:t>第四类</w:t>
                  </w:r>
                </w:p>
              </w:tc>
              <w:tc>
                <w:tcPr>
                  <w:tcW w:w="1313" w:type="dxa"/>
                  <w:tcBorders>
                    <w:tl2br w:val="nil"/>
                    <w:tr2bl w:val="nil"/>
                  </w:tcBorders>
                  <w:shd w:val="clear" w:color="auto" w:fill="auto"/>
                  <w:vAlign w:val="center"/>
                </w:tcPr>
                <w:p>
                  <w:pPr>
                    <w:pStyle w:val="70"/>
                    <w:rPr>
                      <w:color w:val="auto"/>
                      <w:highlight w:val="none"/>
                    </w:rPr>
                  </w:pPr>
                  <w:r>
                    <w:rPr>
                      <w:rFonts w:hint="eastAsia"/>
                      <w:color w:val="auto"/>
                      <w:highlight w:val="none"/>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82" w:type="dxa"/>
                  <w:tcBorders>
                    <w:tl2br w:val="nil"/>
                    <w:tr2bl w:val="nil"/>
                  </w:tcBorders>
                  <w:vAlign w:val="center"/>
                </w:tcPr>
                <w:p>
                  <w:pPr>
                    <w:pStyle w:val="70"/>
                    <w:rPr>
                      <w:color w:val="auto"/>
                      <w:highlight w:val="none"/>
                    </w:rPr>
                  </w:pPr>
                  <w:r>
                    <w:rPr>
                      <w:rFonts w:hint="eastAsia"/>
                      <w:color w:val="auto"/>
                      <w:highlight w:val="none"/>
                    </w:rPr>
                    <w:t>水温</w:t>
                  </w:r>
                </w:p>
              </w:tc>
              <w:tc>
                <w:tcPr>
                  <w:tcW w:w="3300" w:type="dxa"/>
                  <w:tcBorders>
                    <w:tl2br w:val="nil"/>
                    <w:tr2bl w:val="nil"/>
                  </w:tcBorders>
                  <w:vAlign w:val="center"/>
                </w:tcPr>
                <w:p>
                  <w:pPr>
                    <w:pStyle w:val="70"/>
                    <w:rPr>
                      <w:color w:val="auto"/>
                      <w:highlight w:val="none"/>
                    </w:rPr>
                  </w:pPr>
                  <w:r>
                    <w:rPr>
                      <w:rFonts w:hint="eastAsia"/>
                      <w:color w:val="auto"/>
                      <w:highlight w:val="none"/>
                    </w:rPr>
                    <w:t>人为造成海水升温夏季不超过当时当地1</w:t>
                  </w:r>
                  <w:r>
                    <w:rPr>
                      <w:color w:val="auto"/>
                      <w:highlight w:val="none"/>
                    </w:rPr>
                    <w:t>℃</w:t>
                  </w:r>
                  <w:r>
                    <w:rPr>
                      <w:rFonts w:hint="eastAsia"/>
                      <w:color w:val="auto"/>
                      <w:highlight w:val="none"/>
                    </w:rPr>
                    <w:t>，其他季节不超过2</w:t>
                  </w:r>
                  <w:r>
                    <w:rPr>
                      <w:color w:val="auto"/>
                      <w:highlight w:val="none"/>
                    </w:rPr>
                    <w:t>℃</w:t>
                  </w:r>
                </w:p>
              </w:tc>
              <w:tc>
                <w:tcPr>
                  <w:tcW w:w="2079" w:type="dxa"/>
                  <w:gridSpan w:val="2"/>
                  <w:tcBorders>
                    <w:tl2br w:val="nil"/>
                    <w:tr2bl w:val="nil"/>
                  </w:tcBorders>
                  <w:shd w:val="clear" w:color="auto" w:fill="D7D7D7" w:themeFill="background1" w:themeFillShade="D8"/>
                  <w:vAlign w:val="center"/>
                </w:tcPr>
                <w:p>
                  <w:pPr>
                    <w:pStyle w:val="70"/>
                    <w:rPr>
                      <w:color w:val="auto"/>
                      <w:highlight w:val="none"/>
                    </w:rPr>
                  </w:pPr>
                  <w:r>
                    <w:rPr>
                      <w:rFonts w:hint="eastAsia"/>
                      <w:color w:val="auto"/>
                      <w:highlight w:val="none"/>
                    </w:rPr>
                    <w:t>人为造成海水升温不超过当时当地4</w:t>
                  </w:r>
                  <w:r>
                    <w:rPr>
                      <w:color w:val="auto"/>
                      <w:highlight w:val="none"/>
                    </w:rPr>
                    <w:t>℃</w:t>
                  </w:r>
                </w:p>
              </w:tc>
              <w:tc>
                <w:tcPr>
                  <w:tcW w:w="1313" w:type="dxa"/>
                  <w:vMerge w:val="restart"/>
                  <w:tcBorders>
                    <w:tl2br w:val="nil"/>
                    <w:tr2bl w:val="nil"/>
                  </w:tcBorders>
                  <w:vAlign w:val="center"/>
                </w:tcPr>
                <w:p>
                  <w:pPr>
                    <w:pStyle w:val="70"/>
                    <w:rPr>
                      <w:color w:val="auto"/>
                      <w:highlight w:val="none"/>
                    </w:rPr>
                  </w:pPr>
                  <w:r>
                    <w:rPr>
                      <w:rFonts w:hint="eastAsia"/>
                      <w:color w:val="auto"/>
                      <w:highlight w:val="none"/>
                    </w:rPr>
                    <w:t>《海水水质标准》（GB3097-1997）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82" w:type="dxa"/>
                  <w:tcBorders>
                    <w:tl2br w:val="nil"/>
                    <w:tr2bl w:val="nil"/>
                  </w:tcBorders>
                  <w:vAlign w:val="center"/>
                </w:tcPr>
                <w:p>
                  <w:pPr>
                    <w:pStyle w:val="70"/>
                    <w:rPr>
                      <w:color w:val="auto"/>
                      <w:highlight w:val="none"/>
                    </w:rPr>
                  </w:pPr>
                  <w:r>
                    <w:rPr>
                      <w:rFonts w:hint="eastAsia"/>
                      <w:color w:val="auto"/>
                      <w:highlight w:val="none"/>
                    </w:rPr>
                    <w:t>pH</w:t>
                  </w:r>
                </w:p>
              </w:tc>
              <w:tc>
                <w:tcPr>
                  <w:tcW w:w="3300" w:type="dxa"/>
                  <w:tcBorders>
                    <w:tl2br w:val="nil"/>
                    <w:tr2bl w:val="nil"/>
                  </w:tcBorders>
                  <w:vAlign w:val="center"/>
                </w:tcPr>
                <w:p>
                  <w:pPr>
                    <w:pStyle w:val="70"/>
                    <w:rPr>
                      <w:color w:val="auto"/>
                      <w:highlight w:val="none"/>
                    </w:rPr>
                  </w:pPr>
                  <w:r>
                    <w:rPr>
                      <w:rFonts w:hint="eastAsia"/>
                      <w:color w:val="auto"/>
                      <w:highlight w:val="none"/>
                    </w:rPr>
                    <w:t>7.8~8.5</w:t>
                  </w:r>
                </w:p>
              </w:tc>
              <w:tc>
                <w:tcPr>
                  <w:tcW w:w="2079" w:type="dxa"/>
                  <w:gridSpan w:val="2"/>
                  <w:tcBorders>
                    <w:tl2br w:val="nil"/>
                    <w:tr2bl w:val="nil"/>
                  </w:tcBorders>
                  <w:shd w:val="clear" w:color="auto" w:fill="D7D7D7" w:themeFill="background1" w:themeFillShade="D8"/>
                  <w:vAlign w:val="center"/>
                </w:tcPr>
                <w:p>
                  <w:pPr>
                    <w:pStyle w:val="70"/>
                    <w:rPr>
                      <w:color w:val="auto"/>
                      <w:highlight w:val="none"/>
                    </w:rPr>
                  </w:pPr>
                  <w:r>
                    <w:rPr>
                      <w:rFonts w:hint="eastAsia"/>
                      <w:color w:val="auto"/>
                      <w:highlight w:val="none"/>
                    </w:rPr>
                    <w:t>6.8~8.8</w:t>
                  </w:r>
                </w:p>
              </w:tc>
              <w:tc>
                <w:tcPr>
                  <w:tcW w:w="1313" w:type="dxa"/>
                  <w:vMerge w:val="continue"/>
                  <w:tcBorders>
                    <w:tl2br w:val="nil"/>
                    <w:tr2bl w:val="nil"/>
                  </w:tcBorders>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82" w:type="dxa"/>
                  <w:tcBorders>
                    <w:tl2br w:val="nil"/>
                    <w:tr2bl w:val="nil"/>
                  </w:tcBorders>
                  <w:vAlign w:val="center"/>
                </w:tcPr>
                <w:p>
                  <w:pPr>
                    <w:pStyle w:val="70"/>
                    <w:rPr>
                      <w:color w:val="auto"/>
                      <w:highlight w:val="none"/>
                    </w:rPr>
                  </w:pPr>
                  <w:r>
                    <w:rPr>
                      <w:rFonts w:hint="eastAsia"/>
                      <w:color w:val="auto"/>
                      <w:highlight w:val="none"/>
                    </w:rPr>
                    <w:t>DO</w:t>
                  </w:r>
                </w:p>
              </w:tc>
              <w:tc>
                <w:tcPr>
                  <w:tcW w:w="3300" w:type="dxa"/>
                  <w:tcBorders>
                    <w:tl2br w:val="nil"/>
                    <w:tr2bl w:val="nil"/>
                  </w:tcBorders>
                  <w:vAlign w:val="center"/>
                </w:tcPr>
                <w:p>
                  <w:pPr>
                    <w:pStyle w:val="70"/>
                    <w:rPr>
                      <w:color w:val="auto"/>
                      <w:highlight w:val="none"/>
                    </w:rPr>
                  </w:pPr>
                  <w:r>
                    <w:rPr>
                      <w:rFonts w:hint="eastAsia"/>
                      <w:color w:val="auto"/>
                      <w:highlight w:val="none"/>
                    </w:rPr>
                    <w:t>5</w:t>
                  </w:r>
                </w:p>
              </w:tc>
              <w:tc>
                <w:tcPr>
                  <w:tcW w:w="1029" w:type="dxa"/>
                  <w:tcBorders>
                    <w:tl2br w:val="nil"/>
                    <w:tr2bl w:val="nil"/>
                  </w:tcBorders>
                  <w:shd w:val="clear" w:color="auto" w:fill="D7D7D7" w:themeFill="background1" w:themeFillShade="D8"/>
                  <w:vAlign w:val="center"/>
                </w:tcPr>
                <w:p>
                  <w:pPr>
                    <w:pStyle w:val="70"/>
                    <w:rPr>
                      <w:color w:val="auto"/>
                      <w:highlight w:val="none"/>
                    </w:rPr>
                  </w:pPr>
                  <w:r>
                    <w:rPr>
                      <w:rFonts w:hint="eastAsia"/>
                      <w:color w:val="auto"/>
                      <w:highlight w:val="none"/>
                    </w:rPr>
                    <w:t>4</w:t>
                  </w:r>
                </w:p>
              </w:tc>
              <w:tc>
                <w:tcPr>
                  <w:tcW w:w="1050" w:type="dxa"/>
                  <w:tcBorders>
                    <w:tl2br w:val="nil"/>
                    <w:tr2bl w:val="nil"/>
                  </w:tcBorders>
                  <w:vAlign w:val="center"/>
                </w:tcPr>
                <w:p>
                  <w:pPr>
                    <w:pStyle w:val="70"/>
                    <w:rPr>
                      <w:color w:val="auto"/>
                      <w:highlight w:val="none"/>
                    </w:rPr>
                  </w:pPr>
                  <w:r>
                    <w:rPr>
                      <w:rFonts w:hint="eastAsia"/>
                      <w:color w:val="auto"/>
                      <w:highlight w:val="none"/>
                    </w:rPr>
                    <w:t>3</w:t>
                  </w:r>
                </w:p>
              </w:tc>
              <w:tc>
                <w:tcPr>
                  <w:tcW w:w="1313" w:type="dxa"/>
                  <w:vMerge w:val="continue"/>
                  <w:tcBorders>
                    <w:tl2br w:val="nil"/>
                    <w:tr2bl w:val="nil"/>
                  </w:tcBorders>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82" w:type="dxa"/>
                  <w:tcBorders>
                    <w:tl2br w:val="nil"/>
                    <w:tr2bl w:val="nil"/>
                  </w:tcBorders>
                  <w:vAlign w:val="center"/>
                </w:tcPr>
                <w:p>
                  <w:pPr>
                    <w:pStyle w:val="70"/>
                    <w:rPr>
                      <w:color w:val="auto"/>
                      <w:highlight w:val="none"/>
                    </w:rPr>
                  </w:pPr>
                  <w:r>
                    <w:rPr>
                      <w:rFonts w:hint="eastAsia"/>
                      <w:color w:val="auto"/>
                      <w:highlight w:val="none"/>
                    </w:rPr>
                    <w:t>COD</w:t>
                  </w:r>
                </w:p>
              </w:tc>
              <w:tc>
                <w:tcPr>
                  <w:tcW w:w="3300" w:type="dxa"/>
                  <w:tcBorders>
                    <w:tl2br w:val="nil"/>
                    <w:tr2bl w:val="nil"/>
                  </w:tcBorders>
                  <w:vAlign w:val="center"/>
                </w:tcPr>
                <w:p>
                  <w:pPr>
                    <w:pStyle w:val="70"/>
                    <w:rPr>
                      <w:color w:val="auto"/>
                      <w:highlight w:val="none"/>
                    </w:rPr>
                  </w:pPr>
                  <w:r>
                    <w:rPr>
                      <w:rFonts w:hint="eastAsia"/>
                      <w:color w:val="auto"/>
                      <w:highlight w:val="none"/>
                    </w:rPr>
                    <w:t>3</w:t>
                  </w:r>
                </w:p>
              </w:tc>
              <w:tc>
                <w:tcPr>
                  <w:tcW w:w="1029" w:type="dxa"/>
                  <w:tcBorders>
                    <w:tl2br w:val="nil"/>
                    <w:tr2bl w:val="nil"/>
                  </w:tcBorders>
                  <w:shd w:val="clear" w:color="auto" w:fill="D7D7D7" w:themeFill="background1" w:themeFillShade="D8"/>
                  <w:vAlign w:val="center"/>
                </w:tcPr>
                <w:p>
                  <w:pPr>
                    <w:pStyle w:val="70"/>
                    <w:rPr>
                      <w:color w:val="auto"/>
                      <w:highlight w:val="none"/>
                    </w:rPr>
                  </w:pPr>
                  <w:r>
                    <w:rPr>
                      <w:rFonts w:hint="eastAsia"/>
                      <w:color w:val="auto"/>
                      <w:highlight w:val="none"/>
                    </w:rPr>
                    <w:t>4</w:t>
                  </w:r>
                </w:p>
              </w:tc>
              <w:tc>
                <w:tcPr>
                  <w:tcW w:w="1050" w:type="dxa"/>
                  <w:tcBorders>
                    <w:tl2br w:val="nil"/>
                    <w:tr2bl w:val="nil"/>
                  </w:tcBorders>
                  <w:vAlign w:val="center"/>
                </w:tcPr>
                <w:p>
                  <w:pPr>
                    <w:pStyle w:val="70"/>
                    <w:rPr>
                      <w:color w:val="auto"/>
                      <w:highlight w:val="none"/>
                    </w:rPr>
                  </w:pPr>
                  <w:r>
                    <w:rPr>
                      <w:rFonts w:hint="eastAsia"/>
                      <w:color w:val="auto"/>
                      <w:highlight w:val="none"/>
                    </w:rPr>
                    <w:t>5</w:t>
                  </w:r>
                </w:p>
              </w:tc>
              <w:tc>
                <w:tcPr>
                  <w:tcW w:w="1313" w:type="dxa"/>
                  <w:vMerge w:val="continue"/>
                  <w:tcBorders>
                    <w:tl2br w:val="nil"/>
                    <w:tr2bl w:val="nil"/>
                  </w:tcBorders>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82" w:type="dxa"/>
                  <w:tcBorders>
                    <w:tl2br w:val="nil"/>
                    <w:tr2bl w:val="nil"/>
                  </w:tcBorders>
                  <w:vAlign w:val="center"/>
                </w:tcPr>
                <w:p>
                  <w:pPr>
                    <w:pStyle w:val="70"/>
                    <w:rPr>
                      <w:color w:val="auto"/>
                      <w:highlight w:val="none"/>
                      <w:vertAlign w:val="subscript"/>
                    </w:rPr>
                  </w:pPr>
                  <w:r>
                    <w:rPr>
                      <w:rFonts w:hint="eastAsia"/>
                      <w:color w:val="auto"/>
                      <w:highlight w:val="none"/>
                    </w:rPr>
                    <w:t>BOD</w:t>
                  </w:r>
                  <w:r>
                    <w:rPr>
                      <w:rFonts w:hint="eastAsia"/>
                      <w:color w:val="auto"/>
                      <w:highlight w:val="none"/>
                      <w:vertAlign w:val="subscript"/>
                    </w:rPr>
                    <w:t>5</w:t>
                  </w:r>
                </w:p>
              </w:tc>
              <w:tc>
                <w:tcPr>
                  <w:tcW w:w="3300" w:type="dxa"/>
                  <w:tcBorders>
                    <w:tl2br w:val="nil"/>
                    <w:tr2bl w:val="nil"/>
                  </w:tcBorders>
                  <w:vAlign w:val="center"/>
                </w:tcPr>
                <w:p>
                  <w:pPr>
                    <w:pStyle w:val="70"/>
                    <w:rPr>
                      <w:color w:val="auto"/>
                      <w:highlight w:val="none"/>
                    </w:rPr>
                  </w:pPr>
                  <w:r>
                    <w:rPr>
                      <w:rFonts w:hint="eastAsia"/>
                      <w:color w:val="auto"/>
                      <w:highlight w:val="none"/>
                    </w:rPr>
                    <w:t>3</w:t>
                  </w:r>
                </w:p>
              </w:tc>
              <w:tc>
                <w:tcPr>
                  <w:tcW w:w="1029" w:type="dxa"/>
                  <w:tcBorders>
                    <w:tl2br w:val="nil"/>
                    <w:tr2bl w:val="nil"/>
                  </w:tcBorders>
                  <w:shd w:val="clear" w:color="auto" w:fill="D7D7D7" w:themeFill="background1" w:themeFillShade="D8"/>
                  <w:vAlign w:val="center"/>
                </w:tcPr>
                <w:p>
                  <w:pPr>
                    <w:pStyle w:val="70"/>
                    <w:rPr>
                      <w:color w:val="auto"/>
                      <w:highlight w:val="none"/>
                    </w:rPr>
                  </w:pPr>
                  <w:r>
                    <w:rPr>
                      <w:rFonts w:hint="eastAsia"/>
                      <w:color w:val="auto"/>
                      <w:highlight w:val="none"/>
                    </w:rPr>
                    <w:t>4</w:t>
                  </w:r>
                </w:p>
              </w:tc>
              <w:tc>
                <w:tcPr>
                  <w:tcW w:w="1050" w:type="dxa"/>
                  <w:tcBorders>
                    <w:tl2br w:val="nil"/>
                    <w:tr2bl w:val="nil"/>
                  </w:tcBorders>
                  <w:vAlign w:val="center"/>
                </w:tcPr>
                <w:p>
                  <w:pPr>
                    <w:pStyle w:val="70"/>
                    <w:rPr>
                      <w:color w:val="auto"/>
                      <w:highlight w:val="none"/>
                    </w:rPr>
                  </w:pPr>
                  <w:r>
                    <w:rPr>
                      <w:rFonts w:hint="eastAsia"/>
                      <w:color w:val="auto"/>
                      <w:highlight w:val="none"/>
                    </w:rPr>
                    <w:t>5</w:t>
                  </w:r>
                </w:p>
              </w:tc>
              <w:tc>
                <w:tcPr>
                  <w:tcW w:w="1313" w:type="dxa"/>
                  <w:vMerge w:val="continue"/>
                  <w:tcBorders>
                    <w:tl2br w:val="nil"/>
                    <w:tr2bl w:val="nil"/>
                  </w:tcBorders>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82" w:type="dxa"/>
                  <w:tcBorders>
                    <w:tl2br w:val="nil"/>
                    <w:tr2bl w:val="nil"/>
                  </w:tcBorders>
                  <w:vAlign w:val="center"/>
                </w:tcPr>
                <w:p>
                  <w:pPr>
                    <w:pStyle w:val="70"/>
                    <w:rPr>
                      <w:color w:val="auto"/>
                      <w:highlight w:val="none"/>
                    </w:rPr>
                  </w:pPr>
                  <w:r>
                    <w:rPr>
                      <w:rFonts w:hint="eastAsia"/>
                      <w:color w:val="auto"/>
                      <w:highlight w:val="none"/>
                    </w:rPr>
                    <w:t>无机氮</w:t>
                  </w:r>
                </w:p>
              </w:tc>
              <w:tc>
                <w:tcPr>
                  <w:tcW w:w="3300" w:type="dxa"/>
                  <w:tcBorders>
                    <w:tl2br w:val="nil"/>
                    <w:tr2bl w:val="nil"/>
                  </w:tcBorders>
                  <w:vAlign w:val="center"/>
                </w:tcPr>
                <w:p>
                  <w:pPr>
                    <w:pStyle w:val="70"/>
                    <w:rPr>
                      <w:color w:val="auto"/>
                      <w:highlight w:val="none"/>
                    </w:rPr>
                  </w:pPr>
                  <w:r>
                    <w:rPr>
                      <w:rFonts w:hint="eastAsia"/>
                      <w:color w:val="auto"/>
                      <w:highlight w:val="none"/>
                    </w:rPr>
                    <w:t>0.30</w:t>
                  </w:r>
                </w:p>
              </w:tc>
              <w:tc>
                <w:tcPr>
                  <w:tcW w:w="1029" w:type="dxa"/>
                  <w:tcBorders>
                    <w:tl2br w:val="nil"/>
                    <w:tr2bl w:val="nil"/>
                  </w:tcBorders>
                  <w:shd w:val="clear" w:color="auto" w:fill="D7D7D7" w:themeFill="background1" w:themeFillShade="D8"/>
                  <w:vAlign w:val="center"/>
                </w:tcPr>
                <w:p>
                  <w:pPr>
                    <w:pStyle w:val="70"/>
                    <w:rPr>
                      <w:color w:val="auto"/>
                      <w:highlight w:val="none"/>
                    </w:rPr>
                  </w:pPr>
                  <w:r>
                    <w:rPr>
                      <w:rFonts w:hint="eastAsia"/>
                      <w:color w:val="auto"/>
                      <w:highlight w:val="none"/>
                    </w:rPr>
                    <w:t>0.40</w:t>
                  </w:r>
                </w:p>
              </w:tc>
              <w:tc>
                <w:tcPr>
                  <w:tcW w:w="1050" w:type="dxa"/>
                  <w:tcBorders>
                    <w:tl2br w:val="nil"/>
                    <w:tr2bl w:val="nil"/>
                  </w:tcBorders>
                  <w:vAlign w:val="center"/>
                </w:tcPr>
                <w:p>
                  <w:pPr>
                    <w:pStyle w:val="70"/>
                    <w:rPr>
                      <w:color w:val="auto"/>
                      <w:highlight w:val="none"/>
                    </w:rPr>
                  </w:pPr>
                  <w:r>
                    <w:rPr>
                      <w:rFonts w:hint="eastAsia"/>
                      <w:color w:val="auto"/>
                      <w:highlight w:val="none"/>
                    </w:rPr>
                    <w:t>0.50</w:t>
                  </w:r>
                </w:p>
              </w:tc>
              <w:tc>
                <w:tcPr>
                  <w:tcW w:w="1313" w:type="dxa"/>
                  <w:vMerge w:val="continue"/>
                  <w:tcBorders>
                    <w:tl2br w:val="nil"/>
                    <w:tr2bl w:val="nil"/>
                  </w:tcBorders>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5" w:hRule="atLeast"/>
              </w:trPr>
              <w:tc>
                <w:tcPr>
                  <w:tcW w:w="1282" w:type="dxa"/>
                  <w:tcBorders>
                    <w:tl2br w:val="nil"/>
                    <w:tr2bl w:val="nil"/>
                  </w:tcBorders>
                  <w:vAlign w:val="center"/>
                </w:tcPr>
                <w:p>
                  <w:pPr>
                    <w:pStyle w:val="70"/>
                    <w:rPr>
                      <w:color w:val="auto"/>
                      <w:highlight w:val="none"/>
                    </w:rPr>
                  </w:pPr>
                  <w:r>
                    <w:rPr>
                      <w:rFonts w:hint="eastAsia"/>
                      <w:color w:val="auto"/>
                      <w:highlight w:val="none"/>
                    </w:rPr>
                    <w:t>活性磷酸盐</w:t>
                  </w:r>
                </w:p>
              </w:tc>
              <w:tc>
                <w:tcPr>
                  <w:tcW w:w="4329" w:type="dxa"/>
                  <w:gridSpan w:val="2"/>
                  <w:tcBorders>
                    <w:tl2br w:val="nil"/>
                    <w:tr2bl w:val="nil"/>
                  </w:tcBorders>
                  <w:shd w:val="clear" w:color="auto" w:fill="D7D7D7" w:themeFill="background1" w:themeFillShade="D8"/>
                  <w:vAlign w:val="center"/>
                </w:tcPr>
                <w:p>
                  <w:pPr>
                    <w:pStyle w:val="70"/>
                    <w:rPr>
                      <w:color w:val="auto"/>
                      <w:highlight w:val="none"/>
                    </w:rPr>
                  </w:pPr>
                  <w:r>
                    <w:rPr>
                      <w:rFonts w:hint="eastAsia"/>
                      <w:color w:val="auto"/>
                      <w:highlight w:val="none"/>
                      <w:shd w:val="clear" w:color="auto" w:fill="E7E6E6" w:themeFill="background2"/>
                    </w:rPr>
                    <w:t>0.03</w:t>
                  </w:r>
                </w:p>
              </w:tc>
              <w:tc>
                <w:tcPr>
                  <w:tcW w:w="1050" w:type="dxa"/>
                  <w:tcBorders>
                    <w:tl2br w:val="nil"/>
                    <w:tr2bl w:val="nil"/>
                  </w:tcBorders>
                  <w:vAlign w:val="center"/>
                </w:tcPr>
                <w:p>
                  <w:pPr>
                    <w:pStyle w:val="70"/>
                    <w:rPr>
                      <w:color w:val="auto"/>
                      <w:highlight w:val="none"/>
                    </w:rPr>
                  </w:pPr>
                  <w:r>
                    <w:rPr>
                      <w:rFonts w:hint="eastAsia"/>
                      <w:color w:val="auto"/>
                      <w:highlight w:val="none"/>
                    </w:rPr>
                    <w:t>0.045</w:t>
                  </w:r>
                </w:p>
              </w:tc>
              <w:tc>
                <w:tcPr>
                  <w:tcW w:w="1313" w:type="dxa"/>
                  <w:vMerge w:val="continue"/>
                  <w:tcBorders>
                    <w:tl2br w:val="nil"/>
                    <w:tr2bl w:val="nil"/>
                  </w:tcBorders>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82" w:type="dxa"/>
                  <w:tcBorders>
                    <w:tl2br w:val="nil"/>
                    <w:tr2bl w:val="nil"/>
                  </w:tcBorders>
                  <w:shd w:val="clear" w:color="auto" w:fill="auto"/>
                  <w:vAlign w:val="center"/>
                </w:tcPr>
                <w:p>
                  <w:pPr>
                    <w:pStyle w:val="70"/>
                    <w:rPr>
                      <w:color w:val="auto"/>
                      <w:highlight w:val="none"/>
                    </w:rPr>
                  </w:pPr>
                  <w:r>
                    <w:rPr>
                      <w:rFonts w:hint="eastAsia"/>
                      <w:color w:val="auto"/>
                      <w:highlight w:val="none"/>
                    </w:rPr>
                    <w:t>石油类</w:t>
                  </w:r>
                </w:p>
              </w:tc>
              <w:tc>
                <w:tcPr>
                  <w:tcW w:w="3300" w:type="dxa"/>
                  <w:tcBorders>
                    <w:tl2br w:val="nil"/>
                    <w:tr2bl w:val="nil"/>
                  </w:tcBorders>
                  <w:shd w:val="clear" w:color="auto" w:fill="auto"/>
                  <w:vAlign w:val="center"/>
                </w:tcPr>
                <w:p>
                  <w:pPr>
                    <w:pStyle w:val="70"/>
                    <w:rPr>
                      <w:color w:val="auto"/>
                      <w:highlight w:val="none"/>
                    </w:rPr>
                  </w:pPr>
                  <w:r>
                    <w:rPr>
                      <w:rFonts w:hint="eastAsia"/>
                      <w:color w:val="auto"/>
                      <w:highlight w:val="none"/>
                    </w:rPr>
                    <w:t>0.05</w:t>
                  </w:r>
                </w:p>
              </w:tc>
              <w:tc>
                <w:tcPr>
                  <w:tcW w:w="1029" w:type="dxa"/>
                  <w:tcBorders>
                    <w:tl2br w:val="nil"/>
                    <w:tr2bl w:val="nil"/>
                  </w:tcBorders>
                  <w:shd w:val="clear" w:color="auto" w:fill="D7D7D7" w:themeFill="background1" w:themeFillShade="D8"/>
                  <w:vAlign w:val="center"/>
                </w:tcPr>
                <w:p>
                  <w:pPr>
                    <w:pStyle w:val="70"/>
                    <w:rPr>
                      <w:color w:val="auto"/>
                      <w:highlight w:val="none"/>
                    </w:rPr>
                  </w:pPr>
                  <w:r>
                    <w:rPr>
                      <w:rFonts w:hint="eastAsia"/>
                      <w:color w:val="auto"/>
                      <w:highlight w:val="none"/>
                    </w:rPr>
                    <w:t>0.30</w:t>
                  </w:r>
                </w:p>
              </w:tc>
              <w:tc>
                <w:tcPr>
                  <w:tcW w:w="1050" w:type="dxa"/>
                  <w:tcBorders>
                    <w:tl2br w:val="nil"/>
                    <w:tr2bl w:val="nil"/>
                  </w:tcBorders>
                  <w:vAlign w:val="center"/>
                </w:tcPr>
                <w:p>
                  <w:pPr>
                    <w:pStyle w:val="70"/>
                    <w:rPr>
                      <w:color w:val="auto"/>
                      <w:highlight w:val="none"/>
                    </w:rPr>
                  </w:pPr>
                  <w:r>
                    <w:rPr>
                      <w:rFonts w:hint="eastAsia"/>
                      <w:color w:val="auto"/>
                      <w:highlight w:val="none"/>
                    </w:rPr>
                    <w:t>0.50</w:t>
                  </w:r>
                </w:p>
              </w:tc>
              <w:tc>
                <w:tcPr>
                  <w:tcW w:w="1313" w:type="dxa"/>
                  <w:vMerge w:val="continue"/>
                  <w:tcBorders>
                    <w:tl2br w:val="nil"/>
                    <w:tr2bl w:val="nil"/>
                  </w:tcBorders>
                </w:tcPr>
                <w:p>
                  <w:pPr>
                    <w:pStyle w:val="70"/>
                    <w:rPr>
                      <w:color w:val="auto"/>
                      <w:highlight w:val="none"/>
                    </w:rPr>
                  </w:pPr>
                </w:p>
              </w:tc>
            </w:tr>
          </w:tbl>
          <w:p>
            <w:pPr>
              <w:pStyle w:val="70"/>
              <w:rPr>
                <w:color w:val="auto"/>
                <w:highlight w:val="none"/>
              </w:rPr>
            </w:pPr>
          </w:p>
          <w:p>
            <w:pPr>
              <w:pStyle w:val="72"/>
              <w:ind w:firstLine="480"/>
              <w:rPr>
                <w:color w:val="auto"/>
                <w:highlight w:val="none"/>
              </w:rPr>
            </w:pPr>
            <w:r>
              <w:rPr>
                <w:rFonts w:hint="eastAsia"/>
                <w:color w:val="auto"/>
                <w:highlight w:val="none"/>
              </w:rPr>
              <w:t>（2）水质现状</w:t>
            </w:r>
          </w:p>
          <w:p>
            <w:pPr>
              <w:pStyle w:val="72"/>
              <w:ind w:firstLine="480"/>
              <w:rPr>
                <w:rFonts w:hint="eastAsia"/>
                <w:color w:val="auto"/>
                <w:highlight w:val="none"/>
              </w:rPr>
            </w:pPr>
            <w:r>
              <w:rPr>
                <w:rFonts w:hint="eastAsia"/>
                <w:color w:val="auto"/>
                <w:highlight w:val="none"/>
              </w:rPr>
              <w:t>本项目周边地表水为北洋水网，根据</w:t>
            </w:r>
            <w:r>
              <w:rPr>
                <w:rFonts w:hint="eastAsia"/>
                <w:color w:val="auto"/>
                <w:highlight w:val="none"/>
                <w:lang w:val="en-US" w:eastAsia="zh-CN"/>
              </w:rPr>
              <w:t>福州</w:t>
            </w:r>
            <w:r>
              <w:rPr>
                <w:rFonts w:hint="eastAsia"/>
                <w:color w:val="auto"/>
                <w:highlight w:val="none"/>
              </w:rPr>
              <w:t>《福州市长乐区环境质量月通报报表（</w:t>
            </w:r>
            <w:r>
              <w:rPr>
                <w:rFonts w:hint="eastAsia"/>
                <w:color w:val="auto"/>
                <w:highlight w:val="none"/>
                <w:lang w:val="en-US" w:eastAsia="zh-CN"/>
              </w:rPr>
              <w:t>2025</w:t>
            </w:r>
            <w:r>
              <w:rPr>
                <w:rFonts w:hint="eastAsia"/>
                <w:color w:val="auto"/>
                <w:highlight w:val="none"/>
              </w:rPr>
              <w:t>年1月</w:t>
            </w:r>
            <w:r>
              <w:rPr>
                <w:rFonts w:hint="eastAsia"/>
                <w:color w:val="auto"/>
                <w:highlight w:val="none"/>
                <w:lang w:eastAsia="zh-CN"/>
              </w:rPr>
              <w:t>—</w:t>
            </w:r>
            <w:r>
              <w:rPr>
                <w:rFonts w:hint="eastAsia"/>
                <w:color w:val="auto"/>
                <w:highlight w:val="none"/>
                <w:lang w:val="en-US" w:eastAsia="zh-CN"/>
              </w:rPr>
              <w:t>12</w:t>
            </w:r>
            <w:r>
              <w:rPr>
                <w:rFonts w:hint="eastAsia"/>
                <w:color w:val="auto"/>
                <w:highlight w:val="none"/>
              </w:rPr>
              <w:t>月）》内容：202</w:t>
            </w:r>
            <w:r>
              <w:rPr>
                <w:rFonts w:hint="eastAsia"/>
                <w:color w:val="auto"/>
                <w:highlight w:val="none"/>
                <w:lang w:val="en-US" w:eastAsia="zh-CN"/>
              </w:rPr>
              <w:t>5</w:t>
            </w:r>
            <w:r>
              <w:rPr>
                <w:rFonts w:hint="eastAsia"/>
                <w:color w:val="auto"/>
                <w:highlight w:val="none"/>
              </w:rPr>
              <w:t>年1</w:t>
            </w:r>
            <w:r>
              <w:rPr>
                <w:rFonts w:hint="eastAsia"/>
                <w:color w:val="auto"/>
                <w:highlight w:val="none"/>
                <w:lang w:eastAsia="zh-CN"/>
              </w:rPr>
              <w:t>—</w:t>
            </w:r>
            <w:r>
              <w:rPr>
                <w:rFonts w:hint="eastAsia"/>
                <w:color w:val="auto"/>
                <w:highlight w:val="none"/>
                <w:lang w:val="en-US" w:eastAsia="zh-CN"/>
              </w:rPr>
              <w:t>12</w:t>
            </w:r>
            <w:r>
              <w:rPr>
                <w:rFonts w:hint="eastAsia"/>
                <w:color w:val="auto"/>
                <w:highlight w:val="none"/>
              </w:rPr>
              <w:t>月，</w:t>
            </w:r>
            <w:r>
              <w:rPr>
                <w:rFonts w:hint="eastAsia"/>
                <w:color w:val="auto"/>
                <w:highlight w:val="none"/>
                <w:lang w:val="en-US" w:eastAsia="zh-CN"/>
              </w:rPr>
              <w:t>长乐区下游的闽江闽安断面为</w:t>
            </w:r>
            <w:r>
              <w:rPr>
                <w:color w:val="auto"/>
                <w:highlight w:val="none"/>
              </w:rPr>
              <w:t>Ⅲ</w:t>
            </w:r>
            <w:r>
              <w:rPr>
                <w:rFonts w:hint="eastAsia"/>
                <w:color w:val="auto"/>
                <w:highlight w:val="none"/>
              </w:rPr>
              <w:t>类水质</w:t>
            </w:r>
            <w:r>
              <w:rPr>
                <w:rFonts w:hint="eastAsia"/>
                <w:color w:val="auto"/>
                <w:highlight w:val="none"/>
                <w:lang w:eastAsia="zh-CN"/>
              </w:rPr>
              <w:t>，</w:t>
            </w:r>
            <w:r>
              <w:rPr>
                <w:rFonts w:hint="eastAsia"/>
                <w:color w:val="auto"/>
                <w:highlight w:val="none"/>
                <w:lang w:val="en-US" w:eastAsia="zh-CN"/>
              </w:rPr>
              <w:t>达标率100%</w:t>
            </w:r>
            <w:r>
              <w:rPr>
                <w:rFonts w:hint="eastAsia"/>
                <w:color w:val="auto"/>
                <w:highlight w:val="none"/>
              </w:rPr>
              <w:t>，属于达标区。</w:t>
            </w:r>
          </w:p>
          <w:p>
            <w:pPr>
              <w:pStyle w:val="72"/>
              <w:ind w:firstLine="480"/>
              <w:rPr>
                <w:rFonts w:hint="eastAsia"/>
                <w:color w:val="auto"/>
                <w:highlight w:val="none"/>
                <w:lang w:eastAsia="zh-CN"/>
              </w:rPr>
            </w:pPr>
            <w:r>
              <w:rPr>
                <w:rFonts w:hint="eastAsia"/>
                <w:color w:val="auto"/>
                <w:highlight w:val="none"/>
                <w:lang w:val="en-US" w:eastAsia="zh-CN"/>
              </w:rPr>
              <w:t>根据《</w:t>
            </w:r>
            <w:r>
              <w:rPr>
                <w:rFonts w:hint="eastAsia"/>
                <w:color w:val="auto"/>
                <w:highlight w:val="none"/>
              </w:rPr>
              <w:t>福建省近岸海域水质状况（2025年）</w:t>
            </w:r>
            <w:r>
              <w:rPr>
                <w:rFonts w:hint="eastAsia"/>
                <w:color w:val="auto"/>
                <w:highlight w:val="none"/>
                <w:lang w:eastAsia="zh-CN"/>
              </w:rPr>
              <w:t>》，</w:t>
            </w:r>
            <w:r>
              <w:rPr>
                <w:rFonts w:ascii="宋体" w:hAnsi="宋体" w:eastAsia="宋体" w:cs="宋体"/>
                <w:i w:val="0"/>
                <w:iCs w:val="0"/>
                <w:caps w:val="0"/>
                <w:color w:val="auto"/>
                <w:spacing w:val="0"/>
                <w:sz w:val="24"/>
                <w:szCs w:val="24"/>
                <w:shd w:val="clear" w:fill="FFFFFF"/>
              </w:rPr>
              <w:t>2025年，基于235个近岸海域国省控点位一、二类面积比例，</w:t>
            </w:r>
            <w:r>
              <w:rPr>
                <w:rFonts w:ascii="宋体" w:hAnsi="宋体" w:eastAsia="宋体" w:cs="宋体"/>
                <w:b/>
                <w:bCs/>
                <w:i w:val="0"/>
                <w:iCs w:val="0"/>
                <w:caps w:val="0"/>
                <w:color w:val="auto"/>
                <w:spacing w:val="0"/>
                <w:sz w:val="24"/>
                <w:szCs w:val="24"/>
                <w:shd w:val="clear" w:fill="FFFFFF"/>
              </w:rPr>
              <w:t>沿海设区市优良（一、二类）水质相对较好的</w:t>
            </w:r>
            <w:r>
              <w:rPr>
                <w:rFonts w:ascii="宋体" w:hAnsi="宋体" w:eastAsia="宋体" w:cs="宋体"/>
                <w:i w:val="0"/>
                <w:iCs w:val="0"/>
                <w:caps w:val="0"/>
                <w:color w:val="auto"/>
                <w:spacing w:val="0"/>
                <w:sz w:val="24"/>
                <w:szCs w:val="24"/>
                <w:shd w:val="clear" w:fill="FFFFFF"/>
              </w:rPr>
              <w:t>是莆田、漳州、</w:t>
            </w:r>
            <w:r>
              <w:rPr>
                <w:rFonts w:ascii="宋体" w:hAnsi="宋体" w:eastAsia="宋体" w:cs="宋体"/>
                <w:b/>
                <w:bCs/>
                <w:i w:val="0"/>
                <w:iCs w:val="0"/>
                <w:caps w:val="0"/>
                <w:color w:val="auto"/>
                <w:spacing w:val="0"/>
                <w:sz w:val="24"/>
                <w:szCs w:val="24"/>
                <w:shd w:val="clear" w:fill="FFFFFF"/>
              </w:rPr>
              <w:t>福州</w:t>
            </w:r>
            <w:r>
              <w:rPr>
                <w:rFonts w:ascii="宋体" w:hAnsi="宋体" w:eastAsia="宋体" w:cs="宋体"/>
                <w:i w:val="0"/>
                <w:iCs w:val="0"/>
                <w:caps w:val="0"/>
                <w:color w:val="auto"/>
                <w:spacing w:val="0"/>
                <w:sz w:val="24"/>
                <w:szCs w:val="24"/>
                <w:shd w:val="clear" w:fill="FFFFFF"/>
              </w:rPr>
              <w:t>。全省沿海31个县级行政区，</w:t>
            </w:r>
            <w:r>
              <w:rPr>
                <w:rFonts w:ascii="宋体" w:hAnsi="宋体" w:eastAsia="宋体" w:cs="宋体"/>
                <w:b/>
                <w:bCs/>
                <w:i w:val="0"/>
                <w:iCs w:val="0"/>
                <w:caps w:val="0"/>
                <w:color w:val="auto"/>
                <w:spacing w:val="0"/>
                <w:sz w:val="24"/>
                <w:szCs w:val="24"/>
                <w:shd w:val="clear" w:fill="FFFFFF"/>
              </w:rPr>
              <w:t>海水水质相对较好的</w:t>
            </w:r>
            <w:r>
              <w:rPr>
                <w:rFonts w:ascii="宋体" w:hAnsi="宋体" w:eastAsia="宋体" w:cs="宋体"/>
                <w:i w:val="0"/>
                <w:iCs w:val="0"/>
                <w:caps w:val="0"/>
                <w:color w:val="auto"/>
                <w:spacing w:val="0"/>
                <w:sz w:val="24"/>
                <w:szCs w:val="24"/>
                <w:shd w:val="clear" w:fill="FFFFFF"/>
              </w:rPr>
              <w:t>分别是：南安市、平潭综合实验区、</w:t>
            </w:r>
            <w:r>
              <w:rPr>
                <w:rFonts w:ascii="宋体" w:hAnsi="宋体" w:eastAsia="宋体" w:cs="宋体"/>
                <w:b/>
                <w:bCs/>
                <w:i w:val="0"/>
                <w:iCs w:val="0"/>
                <w:caps w:val="0"/>
                <w:color w:val="auto"/>
                <w:spacing w:val="0"/>
                <w:sz w:val="24"/>
                <w:szCs w:val="24"/>
                <w:shd w:val="clear" w:fill="FFFFFF"/>
              </w:rPr>
              <w:t>长乐区、</w:t>
            </w:r>
            <w:r>
              <w:rPr>
                <w:rFonts w:ascii="宋体" w:hAnsi="宋体" w:eastAsia="宋体" w:cs="宋体"/>
                <w:i w:val="0"/>
                <w:iCs w:val="0"/>
                <w:caps w:val="0"/>
                <w:color w:val="auto"/>
                <w:spacing w:val="0"/>
                <w:sz w:val="24"/>
                <w:szCs w:val="24"/>
                <w:shd w:val="clear" w:fill="FFFFFF"/>
              </w:rPr>
              <w:t>秀屿区、连江县、漳浦县、东山县、惠安县、晋江市、翔安区；相对较差的分别是：洛江区、福安市、海沧区、蕉城区、马尾区、集美区、云霄县、城厢区、罗源县、涵江区。</w:t>
            </w:r>
          </w:p>
          <w:p>
            <w:pPr>
              <w:pStyle w:val="72"/>
              <w:ind w:firstLine="480"/>
              <w:rPr>
                <w:color w:val="auto"/>
                <w:highlight w:val="none"/>
              </w:rPr>
            </w:pPr>
            <w:r>
              <w:rPr>
                <w:rFonts w:hint="eastAsia"/>
                <w:color w:val="auto"/>
                <w:highlight w:val="none"/>
              </w:rPr>
              <w:t>3.1.3声环境质量现状</w:t>
            </w:r>
          </w:p>
          <w:p>
            <w:pPr>
              <w:pStyle w:val="72"/>
              <w:ind w:firstLine="480"/>
              <w:rPr>
                <w:color w:val="auto"/>
                <w:highlight w:val="none"/>
              </w:rPr>
            </w:pPr>
            <w:r>
              <w:rPr>
                <w:rFonts w:hint="eastAsia"/>
                <w:color w:val="auto"/>
                <w:highlight w:val="none"/>
              </w:rPr>
              <w:t>（1）环境功能区划</w:t>
            </w:r>
          </w:p>
          <w:p>
            <w:pPr>
              <w:pStyle w:val="72"/>
              <w:ind w:firstLine="480"/>
              <w:rPr>
                <w:color w:val="auto"/>
                <w:highlight w:val="none"/>
              </w:rPr>
            </w:pPr>
            <w:r>
              <w:rPr>
                <w:rFonts w:hint="eastAsia"/>
                <w:color w:val="auto"/>
                <w:highlight w:val="none"/>
              </w:rPr>
              <w:t>项目位于</w:t>
            </w:r>
            <w:r>
              <w:rPr>
                <w:rFonts w:hint="eastAsia"/>
                <w:color w:val="auto"/>
                <w:highlight w:val="none"/>
                <w:lang w:val="en-US" w:eastAsia="zh-CN"/>
              </w:rPr>
              <w:t>福州临空经济区</w:t>
            </w:r>
            <w:r>
              <w:rPr>
                <w:rFonts w:hint="eastAsia"/>
                <w:color w:val="auto"/>
                <w:highlight w:val="none"/>
              </w:rPr>
              <w:t>内，根据《福州市声环境功能区划》，项目所在区域为3类声环境功能区，执行《声环境质量标准》（GB3096-2008）中的3类区标准，南侧临漳湖路执行4a类标准，周边村庄执行2类标准。详见表3.1.</w:t>
            </w:r>
            <w:r>
              <w:rPr>
                <w:rFonts w:hint="eastAsia"/>
                <w:color w:val="auto"/>
                <w:highlight w:val="none"/>
                <w:lang w:val="en-US" w:eastAsia="zh-CN"/>
              </w:rPr>
              <w:t>8</w:t>
            </w:r>
            <w:r>
              <w:rPr>
                <w:rFonts w:hint="eastAsia"/>
                <w:color w:val="auto"/>
                <w:highlight w:val="none"/>
              </w:rPr>
              <w:t>。</w:t>
            </w:r>
          </w:p>
          <w:p>
            <w:pPr>
              <w:pStyle w:val="68"/>
              <w:rPr>
                <w:color w:val="auto"/>
                <w:highlight w:val="none"/>
              </w:rPr>
            </w:pPr>
            <w:r>
              <w:rPr>
                <w:rFonts w:hint="eastAsia"/>
                <w:color w:val="auto"/>
                <w:highlight w:val="none"/>
              </w:rPr>
              <w:t>表3.1.</w:t>
            </w:r>
            <w:r>
              <w:rPr>
                <w:rFonts w:hint="eastAsia"/>
                <w:color w:val="auto"/>
                <w:highlight w:val="none"/>
                <w:lang w:val="en-US" w:eastAsia="zh-CN"/>
              </w:rPr>
              <w:t>8</w:t>
            </w:r>
            <w:r>
              <w:rPr>
                <w:rFonts w:hint="eastAsia"/>
                <w:color w:val="auto"/>
                <w:highlight w:val="none"/>
              </w:rPr>
              <w:t>声环境质量标准</w:t>
            </w:r>
          </w:p>
          <w:tbl>
            <w:tblPr>
              <w:tblStyle w:val="29"/>
              <w:tblW w:w="7974"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93"/>
              <w:gridCol w:w="1993"/>
              <w:gridCol w:w="1994"/>
              <w:gridCol w:w="19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93" w:type="dxa"/>
                  <w:tcBorders>
                    <w:tl2br w:val="nil"/>
                    <w:tr2bl w:val="nil"/>
                  </w:tcBorders>
                  <w:vAlign w:val="center"/>
                </w:tcPr>
                <w:p>
                  <w:pPr>
                    <w:pStyle w:val="70"/>
                    <w:rPr>
                      <w:color w:val="auto"/>
                      <w:highlight w:val="none"/>
                    </w:rPr>
                  </w:pPr>
                  <w:r>
                    <w:rPr>
                      <w:rFonts w:hint="eastAsia"/>
                      <w:color w:val="auto"/>
                      <w:highlight w:val="none"/>
                    </w:rPr>
                    <w:t>类别</w:t>
                  </w:r>
                </w:p>
              </w:tc>
              <w:tc>
                <w:tcPr>
                  <w:tcW w:w="1993" w:type="dxa"/>
                  <w:tcBorders>
                    <w:tl2br w:val="nil"/>
                    <w:tr2bl w:val="nil"/>
                  </w:tcBorders>
                  <w:vAlign w:val="center"/>
                </w:tcPr>
                <w:p>
                  <w:pPr>
                    <w:pStyle w:val="70"/>
                    <w:rPr>
                      <w:color w:val="auto"/>
                      <w:highlight w:val="none"/>
                    </w:rPr>
                  </w:pPr>
                  <w:r>
                    <w:rPr>
                      <w:rFonts w:hint="eastAsia"/>
                      <w:color w:val="auto"/>
                      <w:highlight w:val="none"/>
                    </w:rPr>
                    <w:t>昼间（dB）</w:t>
                  </w:r>
                </w:p>
              </w:tc>
              <w:tc>
                <w:tcPr>
                  <w:tcW w:w="1994" w:type="dxa"/>
                  <w:tcBorders>
                    <w:tl2br w:val="nil"/>
                    <w:tr2bl w:val="nil"/>
                  </w:tcBorders>
                  <w:vAlign w:val="center"/>
                </w:tcPr>
                <w:p>
                  <w:pPr>
                    <w:pStyle w:val="70"/>
                    <w:rPr>
                      <w:color w:val="auto"/>
                      <w:highlight w:val="none"/>
                    </w:rPr>
                  </w:pPr>
                  <w:r>
                    <w:rPr>
                      <w:rFonts w:hint="eastAsia"/>
                      <w:color w:val="auto"/>
                      <w:highlight w:val="none"/>
                    </w:rPr>
                    <w:t>夜间（dB）</w:t>
                  </w:r>
                </w:p>
              </w:tc>
              <w:tc>
                <w:tcPr>
                  <w:tcW w:w="1994" w:type="dxa"/>
                  <w:tcBorders>
                    <w:tl2br w:val="nil"/>
                    <w:tr2bl w:val="nil"/>
                  </w:tcBorders>
                  <w:vAlign w:val="center"/>
                </w:tcPr>
                <w:p>
                  <w:pPr>
                    <w:pStyle w:val="70"/>
                    <w:rPr>
                      <w:color w:val="auto"/>
                      <w:highlight w:val="none"/>
                    </w:rPr>
                  </w:pPr>
                  <w:r>
                    <w:rPr>
                      <w:rFonts w:hint="eastAsia"/>
                      <w:color w:val="auto"/>
                      <w:highlight w:val="none"/>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93" w:type="dxa"/>
                  <w:tcBorders>
                    <w:tl2br w:val="nil"/>
                    <w:tr2bl w:val="nil"/>
                  </w:tcBorders>
                  <w:vAlign w:val="center"/>
                </w:tcPr>
                <w:p>
                  <w:pPr>
                    <w:pStyle w:val="70"/>
                    <w:rPr>
                      <w:color w:val="auto"/>
                      <w:highlight w:val="none"/>
                    </w:rPr>
                  </w:pPr>
                  <w:r>
                    <w:rPr>
                      <w:rFonts w:hint="eastAsia"/>
                      <w:color w:val="auto"/>
                      <w:highlight w:val="none"/>
                    </w:rPr>
                    <w:t>2</w:t>
                  </w:r>
                </w:p>
              </w:tc>
              <w:tc>
                <w:tcPr>
                  <w:tcW w:w="1993" w:type="dxa"/>
                  <w:tcBorders>
                    <w:tl2br w:val="nil"/>
                    <w:tr2bl w:val="nil"/>
                  </w:tcBorders>
                  <w:vAlign w:val="center"/>
                </w:tcPr>
                <w:p>
                  <w:pPr>
                    <w:pStyle w:val="70"/>
                    <w:rPr>
                      <w:color w:val="auto"/>
                      <w:highlight w:val="none"/>
                    </w:rPr>
                  </w:pPr>
                  <w:r>
                    <w:rPr>
                      <w:rFonts w:hint="eastAsia"/>
                      <w:color w:val="auto"/>
                      <w:highlight w:val="none"/>
                    </w:rPr>
                    <w:t>60</w:t>
                  </w:r>
                </w:p>
              </w:tc>
              <w:tc>
                <w:tcPr>
                  <w:tcW w:w="1994" w:type="dxa"/>
                  <w:tcBorders>
                    <w:tl2br w:val="nil"/>
                    <w:tr2bl w:val="nil"/>
                  </w:tcBorders>
                  <w:vAlign w:val="center"/>
                </w:tcPr>
                <w:p>
                  <w:pPr>
                    <w:pStyle w:val="70"/>
                    <w:rPr>
                      <w:color w:val="auto"/>
                      <w:highlight w:val="none"/>
                    </w:rPr>
                  </w:pPr>
                  <w:r>
                    <w:rPr>
                      <w:rFonts w:hint="eastAsia"/>
                      <w:color w:val="auto"/>
                      <w:highlight w:val="none"/>
                    </w:rPr>
                    <w:t>50</w:t>
                  </w:r>
                </w:p>
              </w:tc>
              <w:tc>
                <w:tcPr>
                  <w:tcW w:w="1994" w:type="dxa"/>
                  <w:vMerge w:val="restart"/>
                  <w:tcBorders>
                    <w:tl2br w:val="nil"/>
                    <w:tr2bl w:val="nil"/>
                  </w:tcBorders>
                  <w:vAlign w:val="center"/>
                </w:tcPr>
                <w:p>
                  <w:pPr>
                    <w:pStyle w:val="70"/>
                    <w:rPr>
                      <w:color w:val="auto"/>
                      <w:highlight w:val="none"/>
                    </w:rPr>
                  </w:pPr>
                  <w:r>
                    <w:rPr>
                      <w:rFonts w:hint="eastAsia"/>
                      <w:color w:val="auto"/>
                      <w:highlight w:val="none"/>
                    </w:rPr>
                    <w:t>《声环境质量标准》（GB3096-2008）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93" w:type="dxa"/>
                  <w:tcBorders>
                    <w:tl2br w:val="nil"/>
                    <w:tr2bl w:val="nil"/>
                  </w:tcBorders>
                  <w:vAlign w:val="center"/>
                </w:tcPr>
                <w:p>
                  <w:pPr>
                    <w:pStyle w:val="70"/>
                    <w:rPr>
                      <w:color w:val="auto"/>
                      <w:highlight w:val="none"/>
                    </w:rPr>
                  </w:pPr>
                  <w:r>
                    <w:rPr>
                      <w:rFonts w:hint="eastAsia"/>
                      <w:color w:val="auto"/>
                      <w:highlight w:val="none"/>
                    </w:rPr>
                    <w:t>3</w:t>
                  </w:r>
                </w:p>
              </w:tc>
              <w:tc>
                <w:tcPr>
                  <w:tcW w:w="1993" w:type="dxa"/>
                  <w:tcBorders>
                    <w:tl2br w:val="nil"/>
                    <w:tr2bl w:val="nil"/>
                  </w:tcBorders>
                  <w:vAlign w:val="center"/>
                </w:tcPr>
                <w:p>
                  <w:pPr>
                    <w:pStyle w:val="70"/>
                    <w:rPr>
                      <w:color w:val="auto"/>
                      <w:highlight w:val="none"/>
                    </w:rPr>
                  </w:pPr>
                  <w:r>
                    <w:rPr>
                      <w:rFonts w:hint="eastAsia"/>
                      <w:color w:val="auto"/>
                      <w:highlight w:val="none"/>
                    </w:rPr>
                    <w:t>65</w:t>
                  </w:r>
                </w:p>
              </w:tc>
              <w:tc>
                <w:tcPr>
                  <w:tcW w:w="1994" w:type="dxa"/>
                  <w:tcBorders>
                    <w:tl2br w:val="nil"/>
                    <w:tr2bl w:val="nil"/>
                  </w:tcBorders>
                  <w:vAlign w:val="center"/>
                </w:tcPr>
                <w:p>
                  <w:pPr>
                    <w:pStyle w:val="70"/>
                    <w:rPr>
                      <w:color w:val="auto"/>
                      <w:highlight w:val="none"/>
                    </w:rPr>
                  </w:pPr>
                  <w:r>
                    <w:rPr>
                      <w:rFonts w:hint="eastAsia"/>
                      <w:color w:val="auto"/>
                      <w:highlight w:val="none"/>
                    </w:rPr>
                    <w:t>55</w:t>
                  </w:r>
                </w:p>
              </w:tc>
              <w:tc>
                <w:tcPr>
                  <w:tcW w:w="1994" w:type="dxa"/>
                  <w:vMerge w:val="continue"/>
                  <w:tcBorders>
                    <w:tl2br w:val="nil"/>
                    <w:tr2bl w:val="nil"/>
                  </w:tcBorders>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993" w:type="dxa"/>
                  <w:tcBorders>
                    <w:tl2br w:val="nil"/>
                    <w:tr2bl w:val="nil"/>
                  </w:tcBorders>
                  <w:vAlign w:val="center"/>
                </w:tcPr>
                <w:p>
                  <w:pPr>
                    <w:pStyle w:val="70"/>
                    <w:rPr>
                      <w:color w:val="auto"/>
                      <w:highlight w:val="none"/>
                    </w:rPr>
                  </w:pPr>
                  <w:r>
                    <w:rPr>
                      <w:rFonts w:hint="eastAsia"/>
                      <w:color w:val="auto"/>
                      <w:highlight w:val="none"/>
                    </w:rPr>
                    <w:t>4a</w:t>
                  </w:r>
                </w:p>
              </w:tc>
              <w:tc>
                <w:tcPr>
                  <w:tcW w:w="1993" w:type="dxa"/>
                  <w:tcBorders>
                    <w:tl2br w:val="nil"/>
                    <w:tr2bl w:val="nil"/>
                  </w:tcBorders>
                  <w:vAlign w:val="center"/>
                </w:tcPr>
                <w:p>
                  <w:pPr>
                    <w:pStyle w:val="70"/>
                    <w:rPr>
                      <w:color w:val="auto"/>
                      <w:highlight w:val="none"/>
                    </w:rPr>
                  </w:pPr>
                  <w:r>
                    <w:rPr>
                      <w:rFonts w:hint="eastAsia"/>
                      <w:color w:val="auto"/>
                      <w:highlight w:val="none"/>
                    </w:rPr>
                    <w:t>70</w:t>
                  </w:r>
                </w:p>
              </w:tc>
              <w:tc>
                <w:tcPr>
                  <w:tcW w:w="1994" w:type="dxa"/>
                  <w:tcBorders>
                    <w:tl2br w:val="nil"/>
                    <w:tr2bl w:val="nil"/>
                  </w:tcBorders>
                  <w:vAlign w:val="center"/>
                </w:tcPr>
                <w:p>
                  <w:pPr>
                    <w:pStyle w:val="70"/>
                    <w:rPr>
                      <w:color w:val="auto"/>
                      <w:highlight w:val="none"/>
                    </w:rPr>
                  </w:pPr>
                  <w:r>
                    <w:rPr>
                      <w:rFonts w:hint="eastAsia"/>
                      <w:color w:val="auto"/>
                      <w:highlight w:val="none"/>
                    </w:rPr>
                    <w:t>55</w:t>
                  </w:r>
                </w:p>
              </w:tc>
              <w:tc>
                <w:tcPr>
                  <w:tcW w:w="1994" w:type="dxa"/>
                  <w:vMerge w:val="continue"/>
                  <w:tcBorders>
                    <w:tl2br w:val="nil"/>
                    <w:tr2bl w:val="nil"/>
                  </w:tcBorders>
                </w:tcPr>
                <w:p>
                  <w:pPr>
                    <w:pStyle w:val="70"/>
                    <w:rPr>
                      <w:color w:val="auto"/>
                      <w:highlight w:val="none"/>
                    </w:rPr>
                  </w:pPr>
                </w:p>
              </w:tc>
            </w:tr>
          </w:tbl>
          <w:p>
            <w:pPr>
              <w:pStyle w:val="72"/>
              <w:ind w:firstLine="480"/>
              <w:rPr>
                <w:rFonts w:hint="eastAsia"/>
                <w:color w:val="auto"/>
                <w:highlight w:val="none"/>
                <w:lang w:val="en-US" w:eastAsia="zh-CN"/>
              </w:rPr>
            </w:pPr>
            <w:r>
              <w:rPr>
                <w:rFonts w:hint="eastAsia"/>
                <w:color w:val="auto"/>
                <w:highlight w:val="none"/>
              </w:rPr>
              <w:t>（2）</w:t>
            </w:r>
            <w:r>
              <w:rPr>
                <w:rFonts w:hint="eastAsia"/>
                <w:color w:val="auto"/>
                <w:highlight w:val="none"/>
                <w:lang w:val="en-US" w:eastAsia="zh-CN"/>
              </w:rPr>
              <w:t>声环境质量现状</w:t>
            </w:r>
          </w:p>
          <w:p>
            <w:pPr>
              <w:pStyle w:val="72"/>
              <w:ind w:firstLine="480"/>
              <w:rPr>
                <w:color w:val="auto"/>
                <w:highlight w:val="none"/>
              </w:rPr>
            </w:pPr>
            <w:r>
              <w:rPr>
                <w:rFonts w:hint="eastAsia"/>
                <w:color w:val="auto"/>
                <w:highlight w:val="none"/>
              </w:rPr>
              <w:t>福建</w:t>
            </w:r>
            <w:r>
              <w:rPr>
                <w:rFonts w:hint="eastAsia"/>
                <w:color w:val="auto"/>
                <w:highlight w:val="none"/>
                <w:lang w:val="en-US" w:eastAsia="zh-CN"/>
              </w:rPr>
              <w:t>天顺</w:t>
            </w:r>
            <w:r>
              <w:rPr>
                <w:rFonts w:hint="eastAsia"/>
                <w:color w:val="auto"/>
                <w:highlight w:val="none"/>
              </w:rPr>
              <w:t>检测</w:t>
            </w:r>
            <w:r>
              <w:rPr>
                <w:rFonts w:hint="eastAsia"/>
                <w:color w:val="auto"/>
                <w:highlight w:val="none"/>
                <w:lang w:val="en-US" w:eastAsia="zh-CN"/>
              </w:rPr>
              <w:t>技术服务</w:t>
            </w:r>
            <w:r>
              <w:rPr>
                <w:rFonts w:hint="eastAsia"/>
                <w:color w:val="auto"/>
                <w:highlight w:val="none"/>
              </w:rPr>
              <w:t>有限公司于202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12</w:t>
            </w:r>
            <w:r>
              <w:rPr>
                <w:rFonts w:hint="eastAsia"/>
                <w:color w:val="auto"/>
                <w:highlight w:val="none"/>
              </w:rPr>
              <w:t>月1</w:t>
            </w:r>
            <w:r>
              <w:rPr>
                <w:rFonts w:hint="eastAsia"/>
                <w:color w:val="auto"/>
                <w:highlight w:val="none"/>
                <w:lang w:val="en-US" w:eastAsia="zh-CN"/>
              </w:rPr>
              <w:t>5</w:t>
            </w:r>
            <w:r>
              <w:rPr>
                <w:rFonts w:hint="eastAsia"/>
                <w:color w:val="auto"/>
                <w:highlight w:val="none"/>
              </w:rPr>
              <w:t>日对项目厂界噪声进行了监测，监测结果见表3.1.</w:t>
            </w:r>
            <w:r>
              <w:rPr>
                <w:rFonts w:hint="eastAsia"/>
                <w:color w:val="auto"/>
                <w:highlight w:val="none"/>
                <w:lang w:val="en-US" w:eastAsia="zh-CN"/>
              </w:rPr>
              <w:t>9，检测报告编号：TS2512110101</w:t>
            </w:r>
            <w:r>
              <w:rPr>
                <w:rFonts w:hint="eastAsia"/>
                <w:color w:val="auto"/>
                <w:highlight w:val="none"/>
              </w:rPr>
              <w:t>。</w:t>
            </w:r>
          </w:p>
          <w:p>
            <w:pPr>
              <w:pStyle w:val="68"/>
              <w:rPr>
                <w:color w:val="auto"/>
                <w:highlight w:val="none"/>
              </w:rPr>
            </w:pPr>
            <w:r>
              <w:rPr>
                <w:rFonts w:hint="eastAsia"/>
                <w:color w:val="auto"/>
                <w:highlight w:val="none"/>
              </w:rPr>
              <w:t>表3.1.</w:t>
            </w:r>
            <w:r>
              <w:rPr>
                <w:rFonts w:hint="eastAsia"/>
                <w:color w:val="auto"/>
                <w:highlight w:val="none"/>
                <w:lang w:val="en-US" w:eastAsia="zh-CN"/>
              </w:rPr>
              <w:t>9</w:t>
            </w:r>
            <w:r>
              <w:rPr>
                <w:rFonts w:hint="eastAsia"/>
                <w:color w:val="auto"/>
                <w:highlight w:val="none"/>
              </w:rPr>
              <w:t>项目声环境质量现状</w:t>
            </w:r>
            <w:r>
              <w:rPr>
                <w:rFonts w:hint="eastAsia"/>
                <w:color w:val="auto"/>
                <w:highlight w:val="none"/>
                <w:lang w:eastAsia="zh-CN"/>
              </w:rPr>
              <w:t>监测</w:t>
            </w:r>
            <w:r>
              <w:rPr>
                <w:rFonts w:hint="eastAsia"/>
                <w:color w:val="auto"/>
                <w:highlight w:val="none"/>
              </w:rPr>
              <w:t>结果一览表单位：dB(A)</w:t>
            </w:r>
          </w:p>
          <w:tbl>
            <w:tblPr>
              <w:tblStyle w:val="29"/>
              <w:tblW w:w="4998" w:type="pct"/>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76"/>
              <w:gridCol w:w="2279"/>
              <w:gridCol w:w="1365"/>
              <w:gridCol w:w="1350"/>
              <w:gridCol w:w="1276"/>
              <w:gridCol w:w="12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tcBorders>
                    <w:tl2br w:val="nil"/>
                    <w:tr2bl w:val="nil"/>
                  </w:tcBorders>
                  <w:vAlign w:val="center"/>
                </w:tcPr>
                <w:p>
                  <w:pPr>
                    <w:pStyle w:val="70"/>
                    <w:rPr>
                      <w:color w:val="auto"/>
                      <w:highlight w:val="none"/>
                    </w:rPr>
                  </w:pPr>
                  <w:r>
                    <w:rPr>
                      <w:rFonts w:hint="eastAsia"/>
                      <w:color w:val="auto"/>
                      <w:highlight w:val="none"/>
                    </w:rPr>
                    <w:t>监测时间</w:t>
                  </w:r>
                </w:p>
              </w:tc>
              <w:tc>
                <w:tcPr>
                  <w:tcW w:w="1355" w:type="pct"/>
                  <w:tcBorders>
                    <w:tl2br w:val="nil"/>
                    <w:tr2bl w:val="nil"/>
                  </w:tcBorders>
                  <w:vAlign w:val="center"/>
                </w:tcPr>
                <w:p>
                  <w:pPr>
                    <w:pStyle w:val="70"/>
                    <w:rPr>
                      <w:color w:val="auto"/>
                      <w:highlight w:val="none"/>
                    </w:rPr>
                  </w:pPr>
                  <w:r>
                    <w:rPr>
                      <w:rFonts w:hint="eastAsia"/>
                      <w:color w:val="auto"/>
                      <w:highlight w:val="none"/>
                    </w:rPr>
                    <w:t>监测点位</w:t>
                  </w:r>
                </w:p>
              </w:tc>
              <w:tc>
                <w:tcPr>
                  <w:tcW w:w="812"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检测时段</w:t>
                  </w:r>
                </w:p>
              </w:tc>
              <w:tc>
                <w:tcPr>
                  <w:tcW w:w="803" w:type="pct"/>
                  <w:tcBorders>
                    <w:tl2br w:val="nil"/>
                    <w:tr2bl w:val="nil"/>
                  </w:tcBorders>
                  <w:vAlign w:val="center"/>
                </w:tcPr>
                <w:p>
                  <w:pPr>
                    <w:pStyle w:val="70"/>
                    <w:rPr>
                      <w:rFonts w:hint="eastAsia"/>
                      <w:color w:val="auto"/>
                      <w:highlight w:val="none"/>
                    </w:rPr>
                  </w:pPr>
                  <w:r>
                    <w:rPr>
                      <w:rFonts w:hint="eastAsia"/>
                      <w:color w:val="auto"/>
                      <w:highlight w:val="none"/>
                    </w:rPr>
                    <w:t>监测结果</w:t>
                  </w:r>
                </w:p>
              </w:tc>
              <w:tc>
                <w:tcPr>
                  <w:tcW w:w="759" w:type="pct"/>
                  <w:tcBorders>
                    <w:tl2br w:val="nil"/>
                    <w:tr2bl w:val="nil"/>
                  </w:tcBorders>
                  <w:vAlign w:val="center"/>
                </w:tcPr>
                <w:p>
                  <w:pPr>
                    <w:pStyle w:val="70"/>
                    <w:rPr>
                      <w:color w:val="auto"/>
                      <w:highlight w:val="none"/>
                    </w:rPr>
                  </w:pPr>
                  <w:r>
                    <w:rPr>
                      <w:rFonts w:hint="eastAsia"/>
                      <w:color w:val="auto"/>
                      <w:highlight w:val="none"/>
                    </w:rPr>
                    <w:t>标准限值</w:t>
                  </w:r>
                </w:p>
              </w:tc>
              <w:tc>
                <w:tcPr>
                  <w:tcW w:w="747" w:type="pct"/>
                  <w:tcBorders>
                    <w:tl2br w:val="nil"/>
                    <w:tr2bl w:val="nil"/>
                  </w:tcBorders>
                  <w:vAlign w:val="center"/>
                </w:tcPr>
                <w:p>
                  <w:pPr>
                    <w:pStyle w:val="70"/>
                    <w:rPr>
                      <w:color w:val="auto"/>
                      <w:highlight w:val="none"/>
                    </w:rPr>
                  </w:pPr>
                  <w:r>
                    <w:rPr>
                      <w:rFonts w:hint="eastAsia"/>
                      <w:color w:val="auto"/>
                      <w:highlight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restart"/>
                  <w:tcBorders>
                    <w:tl2br w:val="nil"/>
                    <w:tr2bl w:val="nil"/>
                  </w:tcBorders>
                  <w:vAlign w:val="center"/>
                </w:tcPr>
                <w:p>
                  <w:pPr>
                    <w:pStyle w:val="70"/>
                    <w:rPr>
                      <w:rFonts w:hint="eastAsia" w:eastAsia="宋体"/>
                      <w:color w:val="auto"/>
                      <w:highlight w:val="none"/>
                      <w:lang w:val="en-US" w:eastAsia="zh-CN"/>
                    </w:rPr>
                  </w:pPr>
                  <w:r>
                    <w:rPr>
                      <w:rFonts w:hint="eastAsia"/>
                      <w:color w:val="auto"/>
                      <w:highlight w:val="none"/>
                    </w:rPr>
                    <w:t>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12</w:t>
                  </w:r>
                  <w:r>
                    <w:rPr>
                      <w:rFonts w:hint="eastAsia"/>
                      <w:color w:val="auto"/>
                      <w:highlight w:val="none"/>
                    </w:rPr>
                    <w:t>月1</w:t>
                  </w:r>
                  <w:r>
                    <w:rPr>
                      <w:rFonts w:hint="eastAsia"/>
                      <w:color w:val="auto"/>
                      <w:highlight w:val="none"/>
                      <w:lang w:val="en-US" w:eastAsia="zh-CN"/>
                    </w:rPr>
                    <w:t>5</w:t>
                  </w:r>
                  <w:r>
                    <w:rPr>
                      <w:rFonts w:hint="eastAsia"/>
                      <w:color w:val="auto"/>
                      <w:highlight w:val="none"/>
                    </w:rPr>
                    <w:t>日</w:t>
                  </w:r>
                </w:p>
              </w:tc>
              <w:tc>
                <w:tcPr>
                  <w:tcW w:w="1355" w:type="pct"/>
                  <w:tcBorders>
                    <w:tl2br w:val="nil"/>
                    <w:tr2bl w:val="nil"/>
                  </w:tcBorders>
                  <w:vAlign w:val="center"/>
                </w:tcPr>
                <w:p>
                  <w:pPr>
                    <w:pStyle w:val="70"/>
                    <w:rPr>
                      <w:color w:val="auto"/>
                      <w:highlight w:val="none"/>
                    </w:rPr>
                  </w:pPr>
                  <w:r>
                    <w:rPr>
                      <w:rFonts w:hint="eastAsia"/>
                      <w:color w:val="auto"/>
                      <w:highlight w:val="none"/>
                    </w:rPr>
                    <w:t>北侧厂界外1m</w:t>
                  </w:r>
                  <w:r>
                    <w:rPr>
                      <w:color w:val="auto"/>
                      <w:highlight w:val="none"/>
                    </w:rPr>
                    <w:t>N1</w:t>
                  </w:r>
                </w:p>
              </w:tc>
              <w:tc>
                <w:tcPr>
                  <w:tcW w:w="812"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16:49~16:54</w:t>
                  </w:r>
                </w:p>
              </w:tc>
              <w:tc>
                <w:tcPr>
                  <w:tcW w:w="803" w:type="pct"/>
                  <w:tcBorders>
                    <w:tl2br w:val="nil"/>
                    <w:tr2bl w:val="nil"/>
                  </w:tcBorders>
                  <w:vAlign w:val="center"/>
                </w:tcPr>
                <w:p>
                  <w:pPr>
                    <w:pStyle w:val="70"/>
                    <w:rPr>
                      <w:rFonts w:hint="eastAsia" w:eastAsia="宋体"/>
                      <w:color w:val="auto"/>
                      <w:highlight w:val="none"/>
                      <w:lang w:eastAsia="zh-CN"/>
                    </w:rPr>
                  </w:pPr>
                  <w:r>
                    <w:rPr>
                      <w:rFonts w:hint="eastAsia"/>
                      <w:color w:val="auto"/>
                      <w:highlight w:val="none"/>
                    </w:rPr>
                    <w:t>56.</w:t>
                  </w:r>
                  <w:r>
                    <w:rPr>
                      <w:rFonts w:hint="eastAsia"/>
                      <w:color w:val="auto"/>
                      <w:highlight w:val="none"/>
                      <w:lang w:val="en-US" w:eastAsia="zh-CN"/>
                    </w:rPr>
                    <w:t>4</w:t>
                  </w:r>
                </w:p>
              </w:tc>
              <w:tc>
                <w:tcPr>
                  <w:tcW w:w="759" w:type="pct"/>
                  <w:tcBorders>
                    <w:tl2br w:val="nil"/>
                    <w:tr2bl w:val="nil"/>
                  </w:tcBorders>
                  <w:vAlign w:val="center"/>
                </w:tcPr>
                <w:p>
                  <w:pPr>
                    <w:pStyle w:val="70"/>
                    <w:rPr>
                      <w:color w:val="auto"/>
                      <w:highlight w:val="none"/>
                    </w:rPr>
                  </w:pPr>
                  <w:r>
                    <w:rPr>
                      <w:rFonts w:hint="eastAsia"/>
                      <w:color w:val="auto"/>
                      <w:highlight w:val="none"/>
                    </w:rPr>
                    <w:t>65</w:t>
                  </w:r>
                </w:p>
              </w:tc>
              <w:tc>
                <w:tcPr>
                  <w:tcW w:w="747" w:type="pct"/>
                  <w:tcBorders>
                    <w:tl2br w:val="nil"/>
                    <w:tr2bl w:val="nil"/>
                  </w:tcBorders>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color w:val="auto"/>
                      <w:highlight w:val="none"/>
                    </w:rPr>
                  </w:pPr>
                  <w:r>
                    <w:rPr>
                      <w:rFonts w:hint="eastAsia"/>
                      <w:color w:val="auto"/>
                      <w:highlight w:val="none"/>
                      <w:lang w:val="en-US" w:eastAsia="zh-CN"/>
                    </w:rPr>
                    <w:t>西</w:t>
                  </w:r>
                  <w:r>
                    <w:rPr>
                      <w:rFonts w:hint="eastAsia"/>
                      <w:color w:val="auto"/>
                      <w:highlight w:val="none"/>
                    </w:rPr>
                    <w:t>侧厂界外1m</w:t>
                  </w:r>
                  <w:r>
                    <w:rPr>
                      <w:color w:val="auto"/>
                      <w:highlight w:val="none"/>
                    </w:rPr>
                    <w:t>N</w:t>
                  </w:r>
                  <w:r>
                    <w:rPr>
                      <w:rFonts w:hint="eastAsia"/>
                      <w:color w:val="auto"/>
                      <w:highlight w:val="none"/>
                    </w:rPr>
                    <w:t>2</w:t>
                  </w:r>
                </w:p>
              </w:tc>
              <w:tc>
                <w:tcPr>
                  <w:tcW w:w="812" w:type="pct"/>
                  <w:tcBorders>
                    <w:tl2br w:val="nil"/>
                    <w:tr2bl w:val="nil"/>
                  </w:tcBorders>
                  <w:vAlign w:val="center"/>
                </w:tcPr>
                <w:p>
                  <w:pPr>
                    <w:pStyle w:val="70"/>
                    <w:rPr>
                      <w:rFonts w:hint="default"/>
                      <w:color w:val="auto"/>
                      <w:highlight w:val="none"/>
                      <w:lang w:val="en-US"/>
                    </w:rPr>
                  </w:pPr>
                  <w:r>
                    <w:rPr>
                      <w:rFonts w:hint="eastAsia"/>
                      <w:color w:val="auto"/>
                      <w:highlight w:val="none"/>
                      <w:lang w:val="en-US" w:eastAsia="zh-CN"/>
                    </w:rPr>
                    <w:t>16:57~17:02</w:t>
                  </w:r>
                </w:p>
              </w:tc>
              <w:tc>
                <w:tcPr>
                  <w:tcW w:w="803" w:type="pct"/>
                  <w:tcBorders>
                    <w:tl2br w:val="nil"/>
                    <w:tr2bl w:val="nil"/>
                  </w:tcBorders>
                  <w:vAlign w:val="center"/>
                </w:tcPr>
                <w:p>
                  <w:pPr>
                    <w:pStyle w:val="70"/>
                    <w:rPr>
                      <w:rFonts w:hint="eastAsia" w:eastAsia="宋体"/>
                      <w:color w:val="auto"/>
                      <w:highlight w:val="none"/>
                      <w:lang w:eastAsia="zh-CN"/>
                    </w:rPr>
                  </w:pPr>
                  <w:r>
                    <w:rPr>
                      <w:rFonts w:hint="eastAsia"/>
                      <w:color w:val="auto"/>
                      <w:highlight w:val="none"/>
                    </w:rPr>
                    <w:t>55.</w:t>
                  </w:r>
                  <w:r>
                    <w:rPr>
                      <w:rFonts w:hint="eastAsia"/>
                      <w:color w:val="auto"/>
                      <w:highlight w:val="none"/>
                      <w:lang w:val="en-US" w:eastAsia="zh-CN"/>
                    </w:rPr>
                    <w:t>3</w:t>
                  </w:r>
                </w:p>
              </w:tc>
              <w:tc>
                <w:tcPr>
                  <w:tcW w:w="759"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65</w:t>
                  </w:r>
                </w:p>
              </w:tc>
              <w:tc>
                <w:tcPr>
                  <w:tcW w:w="747" w:type="pct"/>
                  <w:tcBorders>
                    <w:tl2br w:val="nil"/>
                    <w:tr2bl w:val="nil"/>
                  </w:tcBorders>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color w:val="auto"/>
                      <w:highlight w:val="none"/>
                    </w:rPr>
                  </w:pPr>
                  <w:r>
                    <w:rPr>
                      <w:rFonts w:hint="eastAsia"/>
                      <w:color w:val="auto"/>
                      <w:highlight w:val="none"/>
                    </w:rPr>
                    <w:t>南侧厂界外1m</w:t>
                  </w:r>
                  <w:r>
                    <w:rPr>
                      <w:color w:val="auto"/>
                      <w:highlight w:val="none"/>
                    </w:rPr>
                    <w:t>N</w:t>
                  </w:r>
                  <w:r>
                    <w:rPr>
                      <w:rFonts w:hint="eastAsia"/>
                      <w:color w:val="auto"/>
                      <w:highlight w:val="none"/>
                    </w:rPr>
                    <w:t>3</w:t>
                  </w:r>
                </w:p>
              </w:tc>
              <w:tc>
                <w:tcPr>
                  <w:tcW w:w="812" w:type="pct"/>
                  <w:tcBorders>
                    <w:tl2br w:val="nil"/>
                    <w:tr2bl w:val="nil"/>
                  </w:tcBorders>
                  <w:vAlign w:val="center"/>
                </w:tcPr>
                <w:p>
                  <w:pPr>
                    <w:pStyle w:val="70"/>
                    <w:rPr>
                      <w:color w:val="auto"/>
                      <w:highlight w:val="none"/>
                    </w:rPr>
                  </w:pPr>
                  <w:r>
                    <w:rPr>
                      <w:rFonts w:hint="eastAsia"/>
                      <w:color w:val="auto"/>
                      <w:highlight w:val="none"/>
                      <w:lang w:val="en-US" w:eastAsia="zh-CN"/>
                    </w:rPr>
                    <w:t>17:04~17:09</w:t>
                  </w:r>
                </w:p>
              </w:tc>
              <w:tc>
                <w:tcPr>
                  <w:tcW w:w="803"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57.5</w:t>
                  </w:r>
                </w:p>
              </w:tc>
              <w:tc>
                <w:tcPr>
                  <w:tcW w:w="759" w:type="pct"/>
                  <w:tcBorders>
                    <w:tl2br w:val="nil"/>
                    <w:tr2bl w:val="nil"/>
                  </w:tcBorders>
                  <w:vAlign w:val="center"/>
                </w:tcPr>
                <w:p>
                  <w:pPr>
                    <w:pStyle w:val="70"/>
                    <w:rPr>
                      <w:color w:val="auto"/>
                      <w:highlight w:val="none"/>
                    </w:rPr>
                  </w:pPr>
                  <w:r>
                    <w:rPr>
                      <w:rFonts w:hint="eastAsia"/>
                      <w:color w:val="auto"/>
                      <w:highlight w:val="none"/>
                    </w:rPr>
                    <w:t>65</w:t>
                  </w:r>
                </w:p>
              </w:tc>
              <w:tc>
                <w:tcPr>
                  <w:tcW w:w="747" w:type="pct"/>
                  <w:tcBorders>
                    <w:tl2br w:val="nil"/>
                    <w:tr2bl w:val="nil"/>
                  </w:tcBorders>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color w:val="auto"/>
                      <w:highlight w:val="none"/>
                    </w:rPr>
                  </w:pPr>
                  <w:r>
                    <w:rPr>
                      <w:rFonts w:hint="eastAsia"/>
                      <w:color w:val="auto"/>
                      <w:highlight w:val="none"/>
                      <w:lang w:val="en-US" w:eastAsia="zh-CN"/>
                    </w:rPr>
                    <w:t>东南</w:t>
                  </w:r>
                  <w:r>
                    <w:rPr>
                      <w:rFonts w:hint="eastAsia"/>
                      <w:color w:val="auto"/>
                      <w:highlight w:val="none"/>
                    </w:rPr>
                    <w:t>侧厂界外1m</w:t>
                  </w:r>
                  <w:r>
                    <w:rPr>
                      <w:color w:val="auto"/>
                      <w:highlight w:val="none"/>
                    </w:rPr>
                    <w:t>N</w:t>
                  </w:r>
                  <w:r>
                    <w:rPr>
                      <w:rFonts w:hint="eastAsia"/>
                      <w:color w:val="auto"/>
                      <w:highlight w:val="none"/>
                    </w:rPr>
                    <w:t>4</w:t>
                  </w:r>
                </w:p>
              </w:tc>
              <w:tc>
                <w:tcPr>
                  <w:tcW w:w="812" w:type="pct"/>
                  <w:tcBorders>
                    <w:tl2br w:val="nil"/>
                    <w:tr2bl w:val="nil"/>
                  </w:tcBorders>
                  <w:vAlign w:val="center"/>
                </w:tcPr>
                <w:p>
                  <w:pPr>
                    <w:pStyle w:val="70"/>
                    <w:rPr>
                      <w:rFonts w:hint="default"/>
                      <w:color w:val="auto"/>
                      <w:highlight w:val="none"/>
                      <w:lang w:val="en-US"/>
                    </w:rPr>
                  </w:pPr>
                  <w:r>
                    <w:rPr>
                      <w:rFonts w:hint="eastAsia"/>
                      <w:color w:val="auto"/>
                      <w:highlight w:val="none"/>
                      <w:lang w:val="en-US" w:eastAsia="zh-CN"/>
                    </w:rPr>
                    <w:t>17:11~17:16</w:t>
                  </w:r>
                </w:p>
              </w:tc>
              <w:tc>
                <w:tcPr>
                  <w:tcW w:w="803"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59.5</w:t>
                  </w:r>
                </w:p>
              </w:tc>
              <w:tc>
                <w:tcPr>
                  <w:tcW w:w="759"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70</w:t>
                  </w:r>
                </w:p>
              </w:tc>
              <w:tc>
                <w:tcPr>
                  <w:tcW w:w="747" w:type="pct"/>
                  <w:tcBorders>
                    <w:tl2br w:val="nil"/>
                    <w:tr2bl w:val="nil"/>
                  </w:tcBorders>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rFonts w:hint="eastAsia" w:eastAsia="宋体"/>
                      <w:color w:val="auto"/>
                      <w:highlight w:val="none"/>
                      <w:lang w:val="en-US" w:eastAsia="zh-CN"/>
                    </w:rPr>
                  </w:pPr>
                  <w:r>
                    <w:rPr>
                      <w:rFonts w:hint="eastAsia"/>
                      <w:color w:val="auto"/>
                      <w:highlight w:val="none"/>
                      <w:lang w:val="en-US" w:eastAsia="zh-CN"/>
                    </w:rPr>
                    <w:t>东南</w:t>
                  </w:r>
                  <w:r>
                    <w:rPr>
                      <w:rFonts w:hint="eastAsia"/>
                      <w:color w:val="auto"/>
                      <w:highlight w:val="none"/>
                    </w:rPr>
                    <w:t>侧厂界外1m</w:t>
                  </w:r>
                  <w:r>
                    <w:rPr>
                      <w:color w:val="auto"/>
                      <w:highlight w:val="none"/>
                    </w:rPr>
                    <w:t>N</w:t>
                  </w:r>
                  <w:r>
                    <w:rPr>
                      <w:rFonts w:hint="eastAsia"/>
                      <w:color w:val="auto"/>
                      <w:highlight w:val="none"/>
                      <w:lang w:val="en-US" w:eastAsia="zh-CN"/>
                    </w:rPr>
                    <w:t>5</w:t>
                  </w:r>
                </w:p>
              </w:tc>
              <w:tc>
                <w:tcPr>
                  <w:tcW w:w="812" w:type="pct"/>
                  <w:tcBorders>
                    <w:tl2br w:val="nil"/>
                    <w:tr2bl w:val="nil"/>
                  </w:tcBorders>
                  <w:vAlign w:val="center"/>
                </w:tcPr>
                <w:p>
                  <w:pPr>
                    <w:pStyle w:val="70"/>
                    <w:rPr>
                      <w:rFonts w:hint="default"/>
                      <w:color w:val="auto"/>
                      <w:highlight w:val="none"/>
                      <w:lang w:val="en-US"/>
                    </w:rPr>
                  </w:pPr>
                  <w:r>
                    <w:rPr>
                      <w:rFonts w:hint="eastAsia"/>
                      <w:color w:val="auto"/>
                      <w:highlight w:val="none"/>
                      <w:lang w:val="en-US" w:eastAsia="zh-CN"/>
                    </w:rPr>
                    <w:t>17:18~17:23</w:t>
                  </w:r>
                </w:p>
              </w:tc>
              <w:tc>
                <w:tcPr>
                  <w:tcW w:w="803"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61.5</w:t>
                  </w:r>
                </w:p>
              </w:tc>
              <w:tc>
                <w:tcPr>
                  <w:tcW w:w="759"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70</w:t>
                  </w:r>
                </w:p>
              </w:tc>
              <w:tc>
                <w:tcPr>
                  <w:tcW w:w="747" w:type="pct"/>
                  <w:tcBorders>
                    <w:tl2br w:val="nil"/>
                    <w:tr2bl w:val="nil"/>
                  </w:tcBorders>
                  <w:vAlign w:val="center"/>
                </w:tcPr>
                <w:p>
                  <w:pPr>
                    <w:pStyle w:val="70"/>
                    <w:rPr>
                      <w:rFonts w:hint="eastAsia"/>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rFonts w:hint="eastAsia" w:eastAsia="宋体"/>
                      <w:color w:val="auto"/>
                      <w:highlight w:val="none"/>
                      <w:lang w:val="en-US" w:eastAsia="zh-CN"/>
                    </w:rPr>
                  </w:pPr>
                  <w:r>
                    <w:rPr>
                      <w:rFonts w:hint="eastAsia"/>
                      <w:color w:val="auto"/>
                      <w:highlight w:val="none"/>
                      <w:lang w:val="en-US" w:eastAsia="zh-CN"/>
                    </w:rPr>
                    <w:t>东南</w:t>
                  </w:r>
                  <w:r>
                    <w:rPr>
                      <w:rFonts w:hint="eastAsia"/>
                      <w:color w:val="auto"/>
                      <w:highlight w:val="none"/>
                    </w:rPr>
                    <w:t>侧厂界外1m</w:t>
                  </w:r>
                  <w:r>
                    <w:rPr>
                      <w:color w:val="auto"/>
                      <w:highlight w:val="none"/>
                    </w:rPr>
                    <w:t>N</w:t>
                  </w:r>
                  <w:r>
                    <w:rPr>
                      <w:rFonts w:hint="eastAsia"/>
                      <w:color w:val="auto"/>
                      <w:highlight w:val="none"/>
                      <w:lang w:val="en-US" w:eastAsia="zh-CN"/>
                    </w:rPr>
                    <w:t>6</w:t>
                  </w:r>
                </w:p>
              </w:tc>
              <w:tc>
                <w:tcPr>
                  <w:tcW w:w="812" w:type="pct"/>
                  <w:tcBorders>
                    <w:tl2br w:val="nil"/>
                    <w:tr2bl w:val="nil"/>
                  </w:tcBorders>
                  <w:vAlign w:val="center"/>
                </w:tcPr>
                <w:p>
                  <w:pPr>
                    <w:pStyle w:val="70"/>
                    <w:rPr>
                      <w:rFonts w:hint="default"/>
                      <w:color w:val="auto"/>
                      <w:highlight w:val="none"/>
                      <w:lang w:val="en-US"/>
                    </w:rPr>
                  </w:pPr>
                  <w:r>
                    <w:rPr>
                      <w:rFonts w:hint="eastAsia"/>
                      <w:color w:val="auto"/>
                      <w:highlight w:val="none"/>
                      <w:lang w:val="en-US" w:eastAsia="zh-CN"/>
                    </w:rPr>
                    <w:t>17:26~17:31</w:t>
                  </w:r>
                </w:p>
              </w:tc>
              <w:tc>
                <w:tcPr>
                  <w:tcW w:w="803"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59.5</w:t>
                  </w:r>
                </w:p>
              </w:tc>
              <w:tc>
                <w:tcPr>
                  <w:tcW w:w="759"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65</w:t>
                  </w:r>
                </w:p>
              </w:tc>
              <w:tc>
                <w:tcPr>
                  <w:tcW w:w="747" w:type="pct"/>
                  <w:tcBorders>
                    <w:tl2br w:val="nil"/>
                    <w:tr2bl w:val="nil"/>
                  </w:tcBorders>
                  <w:vAlign w:val="center"/>
                </w:tcPr>
                <w:p>
                  <w:pPr>
                    <w:pStyle w:val="70"/>
                    <w:rPr>
                      <w:rFonts w:hint="eastAsia"/>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color w:val="auto"/>
                      <w:highlight w:val="none"/>
                    </w:rPr>
                  </w:pPr>
                  <w:r>
                    <w:rPr>
                      <w:rFonts w:hint="eastAsia"/>
                      <w:color w:val="auto"/>
                      <w:highlight w:val="none"/>
                    </w:rPr>
                    <w:t>北侧厂界外1m</w:t>
                  </w:r>
                  <w:r>
                    <w:rPr>
                      <w:color w:val="auto"/>
                      <w:highlight w:val="none"/>
                    </w:rPr>
                    <w:t>N1</w:t>
                  </w:r>
                </w:p>
              </w:tc>
              <w:tc>
                <w:tcPr>
                  <w:tcW w:w="812"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22:37~22:42</w:t>
                  </w:r>
                </w:p>
              </w:tc>
              <w:tc>
                <w:tcPr>
                  <w:tcW w:w="803"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46.3</w:t>
                  </w:r>
                </w:p>
              </w:tc>
              <w:tc>
                <w:tcPr>
                  <w:tcW w:w="759"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55</w:t>
                  </w:r>
                </w:p>
              </w:tc>
              <w:tc>
                <w:tcPr>
                  <w:tcW w:w="747" w:type="pct"/>
                  <w:tcBorders>
                    <w:tl2br w:val="nil"/>
                    <w:tr2bl w:val="nil"/>
                  </w:tcBorders>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color w:val="auto"/>
                      <w:highlight w:val="none"/>
                    </w:rPr>
                  </w:pPr>
                  <w:r>
                    <w:rPr>
                      <w:rFonts w:hint="eastAsia"/>
                      <w:color w:val="auto"/>
                      <w:highlight w:val="none"/>
                      <w:lang w:val="en-US" w:eastAsia="zh-CN"/>
                    </w:rPr>
                    <w:t>西</w:t>
                  </w:r>
                  <w:r>
                    <w:rPr>
                      <w:rFonts w:hint="eastAsia"/>
                      <w:color w:val="auto"/>
                      <w:highlight w:val="none"/>
                    </w:rPr>
                    <w:t>侧厂界外1m</w:t>
                  </w:r>
                  <w:r>
                    <w:rPr>
                      <w:color w:val="auto"/>
                      <w:highlight w:val="none"/>
                    </w:rPr>
                    <w:t>N</w:t>
                  </w:r>
                  <w:r>
                    <w:rPr>
                      <w:rFonts w:hint="eastAsia"/>
                      <w:color w:val="auto"/>
                      <w:highlight w:val="none"/>
                    </w:rPr>
                    <w:t>2</w:t>
                  </w:r>
                </w:p>
              </w:tc>
              <w:tc>
                <w:tcPr>
                  <w:tcW w:w="812"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22:30~22:35</w:t>
                  </w:r>
                </w:p>
              </w:tc>
              <w:tc>
                <w:tcPr>
                  <w:tcW w:w="803"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47.4</w:t>
                  </w:r>
                </w:p>
              </w:tc>
              <w:tc>
                <w:tcPr>
                  <w:tcW w:w="759"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55</w:t>
                  </w:r>
                </w:p>
              </w:tc>
              <w:tc>
                <w:tcPr>
                  <w:tcW w:w="747" w:type="pct"/>
                  <w:tcBorders>
                    <w:tl2br w:val="nil"/>
                    <w:tr2bl w:val="nil"/>
                  </w:tcBorders>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color w:val="auto"/>
                      <w:highlight w:val="none"/>
                    </w:rPr>
                  </w:pPr>
                  <w:r>
                    <w:rPr>
                      <w:rFonts w:hint="eastAsia"/>
                      <w:color w:val="auto"/>
                      <w:highlight w:val="none"/>
                    </w:rPr>
                    <w:t>南侧厂界外1m</w:t>
                  </w:r>
                  <w:r>
                    <w:rPr>
                      <w:color w:val="auto"/>
                      <w:highlight w:val="none"/>
                    </w:rPr>
                    <w:t>N</w:t>
                  </w:r>
                  <w:r>
                    <w:rPr>
                      <w:rFonts w:hint="eastAsia"/>
                      <w:color w:val="auto"/>
                      <w:highlight w:val="none"/>
                    </w:rPr>
                    <w:t>3</w:t>
                  </w:r>
                </w:p>
              </w:tc>
              <w:tc>
                <w:tcPr>
                  <w:tcW w:w="812" w:type="pct"/>
                  <w:tcBorders>
                    <w:tl2br w:val="nil"/>
                    <w:tr2bl w:val="nil"/>
                  </w:tcBorders>
                  <w:vAlign w:val="center"/>
                </w:tcPr>
                <w:p>
                  <w:pPr>
                    <w:pStyle w:val="70"/>
                    <w:rPr>
                      <w:rFonts w:hint="default"/>
                      <w:color w:val="auto"/>
                      <w:highlight w:val="none"/>
                      <w:lang w:val="en-US"/>
                    </w:rPr>
                  </w:pPr>
                  <w:r>
                    <w:rPr>
                      <w:rFonts w:hint="eastAsia"/>
                      <w:color w:val="auto"/>
                      <w:highlight w:val="none"/>
                      <w:lang w:val="en-US" w:eastAsia="zh-CN"/>
                    </w:rPr>
                    <w:t>22:22~22:27</w:t>
                  </w:r>
                </w:p>
              </w:tc>
              <w:tc>
                <w:tcPr>
                  <w:tcW w:w="803"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48.6</w:t>
                  </w:r>
                </w:p>
              </w:tc>
              <w:tc>
                <w:tcPr>
                  <w:tcW w:w="759"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55</w:t>
                  </w:r>
                </w:p>
              </w:tc>
              <w:tc>
                <w:tcPr>
                  <w:tcW w:w="747" w:type="pct"/>
                  <w:tcBorders>
                    <w:tl2br w:val="nil"/>
                    <w:tr2bl w:val="nil"/>
                  </w:tcBorders>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color w:val="auto"/>
                      <w:highlight w:val="none"/>
                    </w:rPr>
                  </w:pPr>
                  <w:r>
                    <w:rPr>
                      <w:rFonts w:hint="eastAsia"/>
                      <w:color w:val="auto"/>
                      <w:highlight w:val="none"/>
                      <w:lang w:val="en-US" w:eastAsia="zh-CN"/>
                    </w:rPr>
                    <w:t>东南</w:t>
                  </w:r>
                  <w:r>
                    <w:rPr>
                      <w:rFonts w:hint="eastAsia"/>
                      <w:color w:val="auto"/>
                      <w:highlight w:val="none"/>
                    </w:rPr>
                    <w:t>侧厂界外1m</w:t>
                  </w:r>
                  <w:r>
                    <w:rPr>
                      <w:color w:val="auto"/>
                      <w:highlight w:val="none"/>
                    </w:rPr>
                    <w:t>N</w:t>
                  </w:r>
                  <w:r>
                    <w:rPr>
                      <w:rFonts w:hint="eastAsia"/>
                      <w:color w:val="auto"/>
                      <w:highlight w:val="none"/>
                    </w:rPr>
                    <w:t>4</w:t>
                  </w:r>
                </w:p>
              </w:tc>
              <w:tc>
                <w:tcPr>
                  <w:tcW w:w="812" w:type="pct"/>
                  <w:tcBorders>
                    <w:tl2br w:val="nil"/>
                    <w:tr2bl w:val="nil"/>
                  </w:tcBorders>
                  <w:vAlign w:val="center"/>
                </w:tcPr>
                <w:p>
                  <w:pPr>
                    <w:pStyle w:val="70"/>
                    <w:rPr>
                      <w:color w:val="auto"/>
                      <w:highlight w:val="none"/>
                    </w:rPr>
                  </w:pPr>
                  <w:r>
                    <w:rPr>
                      <w:rFonts w:hint="eastAsia"/>
                      <w:color w:val="auto"/>
                      <w:highlight w:val="none"/>
                      <w:lang w:val="en-US" w:eastAsia="zh-CN"/>
                    </w:rPr>
                    <w:t>22:15~22:20</w:t>
                  </w:r>
                </w:p>
              </w:tc>
              <w:tc>
                <w:tcPr>
                  <w:tcW w:w="803"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52.2</w:t>
                  </w:r>
                </w:p>
              </w:tc>
              <w:tc>
                <w:tcPr>
                  <w:tcW w:w="759"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55</w:t>
                  </w:r>
                </w:p>
              </w:tc>
              <w:tc>
                <w:tcPr>
                  <w:tcW w:w="747" w:type="pct"/>
                  <w:tcBorders>
                    <w:tl2br w:val="nil"/>
                    <w:tr2bl w:val="nil"/>
                  </w:tcBorders>
                  <w:vAlign w:val="center"/>
                </w:tcPr>
                <w:p>
                  <w:pPr>
                    <w:pStyle w:val="70"/>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rFonts w:hint="eastAsia"/>
                      <w:color w:val="auto"/>
                      <w:highlight w:val="none"/>
                    </w:rPr>
                  </w:pPr>
                  <w:r>
                    <w:rPr>
                      <w:rFonts w:hint="eastAsia"/>
                      <w:color w:val="auto"/>
                      <w:highlight w:val="none"/>
                      <w:lang w:val="en-US" w:eastAsia="zh-CN"/>
                    </w:rPr>
                    <w:t>东南</w:t>
                  </w:r>
                  <w:r>
                    <w:rPr>
                      <w:rFonts w:hint="eastAsia"/>
                      <w:color w:val="auto"/>
                      <w:highlight w:val="none"/>
                    </w:rPr>
                    <w:t>侧厂界外1m</w:t>
                  </w:r>
                  <w:r>
                    <w:rPr>
                      <w:color w:val="auto"/>
                      <w:highlight w:val="none"/>
                    </w:rPr>
                    <w:t>N</w:t>
                  </w:r>
                  <w:r>
                    <w:rPr>
                      <w:rFonts w:hint="eastAsia"/>
                      <w:color w:val="auto"/>
                      <w:highlight w:val="none"/>
                      <w:lang w:val="en-US" w:eastAsia="zh-CN"/>
                    </w:rPr>
                    <w:t>5</w:t>
                  </w:r>
                </w:p>
              </w:tc>
              <w:tc>
                <w:tcPr>
                  <w:tcW w:w="812" w:type="pct"/>
                  <w:tcBorders>
                    <w:tl2br w:val="nil"/>
                    <w:tr2bl w:val="nil"/>
                  </w:tcBorders>
                  <w:vAlign w:val="center"/>
                </w:tcPr>
                <w:p>
                  <w:pPr>
                    <w:pStyle w:val="70"/>
                    <w:rPr>
                      <w:rFonts w:hint="default"/>
                      <w:color w:val="auto"/>
                      <w:highlight w:val="none"/>
                      <w:lang w:val="en-US"/>
                    </w:rPr>
                  </w:pPr>
                  <w:r>
                    <w:rPr>
                      <w:rFonts w:hint="eastAsia"/>
                      <w:color w:val="auto"/>
                      <w:highlight w:val="none"/>
                      <w:lang w:val="en-US" w:eastAsia="zh-CN"/>
                    </w:rPr>
                    <w:t>22:08~22:13</w:t>
                  </w:r>
                </w:p>
              </w:tc>
              <w:tc>
                <w:tcPr>
                  <w:tcW w:w="803"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51.5</w:t>
                  </w:r>
                </w:p>
              </w:tc>
              <w:tc>
                <w:tcPr>
                  <w:tcW w:w="759"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55</w:t>
                  </w:r>
                </w:p>
              </w:tc>
              <w:tc>
                <w:tcPr>
                  <w:tcW w:w="747" w:type="pct"/>
                  <w:tcBorders>
                    <w:tl2br w:val="nil"/>
                    <w:tr2bl w:val="nil"/>
                  </w:tcBorders>
                  <w:vAlign w:val="center"/>
                </w:tcPr>
                <w:p>
                  <w:pPr>
                    <w:pStyle w:val="70"/>
                    <w:rPr>
                      <w:rFonts w:hint="eastAsia"/>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1" w:type="pct"/>
                  <w:vMerge w:val="continue"/>
                  <w:tcBorders>
                    <w:tl2br w:val="nil"/>
                    <w:tr2bl w:val="nil"/>
                  </w:tcBorders>
                  <w:vAlign w:val="center"/>
                </w:tcPr>
                <w:p>
                  <w:pPr>
                    <w:pStyle w:val="70"/>
                    <w:rPr>
                      <w:color w:val="auto"/>
                      <w:highlight w:val="none"/>
                    </w:rPr>
                  </w:pPr>
                </w:p>
              </w:tc>
              <w:tc>
                <w:tcPr>
                  <w:tcW w:w="1355" w:type="pct"/>
                  <w:tcBorders>
                    <w:tl2br w:val="nil"/>
                    <w:tr2bl w:val="nil"/>
                  </w:tcBorders>
                  <w:vAlign w:val="center"/>
                </w:tcPr>
                <w:p>
                  <w:pPr>
                    <w:pStyle w:val="70"/>
                    <w:rPr>
                      <w:rFonts w:hint="eastAsia"/>
                      <w:color w:val="auto"/>
                      <w:highlight w:val="none"/>
                    </w:rPr>
                  </w:pPr>
                  <w:r>
                    <w:rPr>
                      <w:rFonts w:hint="eastAsia"/>
                      <w:color w:val="auto"/>
                      <w:highlight w:val="none"/>
                      <w:lang w:val="en-US" w:eastAsia="zh-CN"/>
                    </w:rPr>
                    <w:t>东南</w:t>
                  </w:r>
                  <w:r>
                    <w:rPr>
                      <w:rFonts w:hint="eastAsia"/>
                      <w:color w:val="auto"/>
                      <w:highlight w:val="none"/>
                    </w:rPr>
                    <w:t>侧厂界外1m</w:t>
                  </w:r>
                  <w:r>
                    <w:rPr>
                      <w:color w:val="auto"/>
                      <w:highlight w:val="none"/>
                    </w:rPr>
                    <w:t>N</w:t>
                  </w:r>
                  <w:r>
                    <w:rPr>
                      <w:rFonts w:hint="eastAsia"/>
                      <w:color w:val="auto"/>
                      <w:highlight w:val="none"/>
                      <w:lang w:val="en-US" w:eastAsia="zh-CN"/>
                    </w:rPr>
                    <w:t>6</w:t>
                  </w:r>
                </w:p>
              </w:tc>
              <w:tc>
                <w:tcPr>
                  <w:tcW w:w="812" w:type="pct"/>
                  <w:tcBorders>
                    <w:tl2br w:val="nil"/>
                    <w:tr2bl w:val="nil"/>
                  </w:tcBorders>
                  <w:vAlign w:val="center"/>
                </w:tcPr>
                <w:p>
                  <w:pPr>
                    <w:pStyle w:val="70"/>
                    <w:rPr>
                      <w:rFonts w:hint="default"/>
                      <w:color w:val="auto"/>
                      <w:highlight w:val="none"/>
                      <w:lang w:val="en-US"/>
                    </w:rPr>
                  </w:pPr>
                  <w:r>
                    <w:rPr>
                      <w:rFonts w:hint="eastAsia"/>
                      <w:color w:val="auto"/>
                      <w:highlight w:val="none"/>
                      <w:lang w:val="en-US" w:eastAsia="zh-CN"/>
                    </w:rPr>
                    <w:t>22:00~22:05</w:t>
                  </w:r>
                </w:p>
              </w:tc>
              <w:tc>
                <w:tcPr>
                  <w:tcW w:w="803"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50.5</w:t>
                  </w:r>
                </w:p>
              </w:tc>
              <w:tc>
                <w:tcPr>
                  <w:tcW w:w="759" w:type="pc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55</w:t>
                  </w:r>
                </w:p>
              </w:tc>
              <w:tc>
                <w:tcPr>
                  <w:tcW w:w="747" w:type="pct"/>
                  <w:tcBorders>
                    <w:tl2br w:val="nil"/>
                    <w:tr2bl w:val="nil"/>
                  </w:tcBorders>
                  <w:vAlign w:val="center"/>
                </w:tcPr>
                <w:p>
                  <w:pPr>
                    <w:pStyle w:val="70"/>
                    <w:rPr>
                      <w:rFonts w:hint="eastAsia"/>
                      <w:color w:val="auto"/>
                      <w:highlight w:val="none"/>
                    </w:rPr>
                  </w:pPr>
                  <w:r>
                    <w:rPr>
                      <w:rFonts w:hint="eastAsia"/>
                      <w:color w:val="auto"/>
                      <w:highlight w:val="none"/>
                    </w:rPr>
                    <w:t>达标</w:t>
                  </w:r>
                </w:p>
              </w:tc>
            </w:tr>
          </w:tbl>
          <w:p>
            <w:pPr>
              <w:pStyle w:val="68"/>
              <w:rPr>
                <w:color w:val="auto"/>
                <w:highlight w:val="none"/>
              </w:rPr>
            </w:pPr>
          </w:p>
          <w:p>
            <w:pPr>
              <w:pStyle w:val="72"/>
              <w:ind w:firstLine="480"/>
              <w:rPr>
                <w:color w:val="auto"/>
                <w:highlight w:val="none"/>
              </w:rPr>
            </w:pPr>
            <w:r>
              <w:rPr>
                <w:rFonts w:hint="eastAsia"/>
                <w:color w:val="auto"/>
                <w:highlight w:val="none"/>
              </w:rPr>
              <w:t>根据监测结果可知，在正常生产时，项目临漳湖路一侧厂界声环境符合《</w:t>
            </w:r>
            <w:r>
              <w:rPr>
                <w:rFonts w:hint="eastAsia"/>
                <w:color w:val="auto"/>
                <w:highlight w:val="none"/>
                <w:lang w:val="en-US" w:eastAsia="zh-CN"/>
              </w:rPr>
              <w:t>声环境质量标准</w:t>
            </w:r>
            <w:r>
              <w:rPr>
                <w:rFonts w:hint="eastAsia"/>
                <w:color w:val="auto"/>
                <w:highlight w:val="none"/>
              </w:rPr>
              <w:t>》（GB3096－2008）中的4类标准；其余厂界声环境符合《</w:t>
            </w:r>
            <w:r>
              <w:rPr>
                <w:rFonts w:hint="eastAsia"/>
                <w:color w:val="auto"/>
                <w:highlight w:val="none"/>
                <w:lang w:val="en-US" w:eastAsia="zh-CN"/>
              </w:rPr>
              <w:t>声环境质量标准</w:t>
            </w:r>
            <w:r>
              <w:rPr>
                <w:rFonts w:hint="eastAsia"/>
                <w:color w:val="auto"/>
                <w:highlight w:val="none"/>
              </w:rPr>
              <w:t>》（GB3096－2008）中的3类标准。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800"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环境</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保护</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目标</w:t>
            </w:r>
          </w:p>
        </w:tc>
        <w:tc>
          <w:tcPr>
            <w:tcW w:w="8190" w:type="dxa"/>
            <w:vAlign w:val="center"/>
          </w:tcPr>
          <w:p>
            <w:pPr>
              <w:pStyle w:val="72"/>
              <w:ind w:firstLine="480"/>
              <w:rPr>
                <w:color w:val="auto"/>
                <w:highlight w:val="none"/>
              </w:rPr>
            </w:pPr>
            <w:r>
              <w:rPr>
                <w:rFonts w:hint="eastAsia"/>
                <w:color w:val="auto"/>
                <w:highlight w:val="none"/>
              </w:rPr>
              <w:t>项目选址周边无文物古迹，不在水源地保护区、风景名胜区、自然保护区等敏感区域内。项目周边环境敏感目标详见表3.2.1。项目周边环境敏感目标分布图见图3.2.1</w:t>
            </w:r>
          </w:p>
          <w:p>
            <w:pPr>
              <w:pStyle w:val="68"/>
              <w:rPr>
                <w:color w:val="auto"/>
                <w:highlight w:val="none"/>
              </w:rPr>
            </w:pPr>
            <w:r>
              <w:rPr>
                <w:rFonts w:hint="eastAsia"/>
                <w:color w:val="auto"/>
                <w:highlight w:val="none"/>
              </w:rPr>
              <w:t>表3.2.1项目周边环境敏感目标</w:t>
            </w:r>
          </w:p>
          <w:tbl>
            <w:tblPr>
              <w:tblStyle w:val="29"/>
              <w:tblW w:w="7917"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37"/>
              <w:gridCol w:w="1599"/>
              <w:gridCol w:w="574"/>
              <w:gridCol w:w="1134"/>
              <w:gridCol w:w="1092"/>
              <w:gridCol w:w="258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937" w:type="dxa"/>
                  <w:vMerge w:val="restart"/>
                  <w:tcBorders>
                    <w:tl2br w:val="nil"/>
                    <w:tr2bl w:val="nil"/>
                  </w:tcBorders>
                  <w:vAlign w:val="center"/>
                </w:tcPr>
                <w:p>
                  <w:pPr>
                    <w:pStyle w:val="70"/>
                    <w:rPr>
                      <w:color w:val="auto"/>
                      <w:highlight w:val="none"/>
                    </w:rPr>
                  </w:pPr>
                  <w:r>
                    <w:rPr>
                      <w:rFonts w:hint="eastAsia"/>
                      <w:color w:val="auto"/>
                      <w:highlight w:val="none"/>
                    </w:rPr>
                    <w:t>环境要素</w:t>
                  </w:r>
                </w:p>
              </w:tc>
              <w:tc>
                <w:tcPr>
                  <w:tcW w:w="1599" w:type="dxa"/>
                  <w:vMerge w:val="restart"/>
                  <w:tcBorders>
                    <w:tl2br w:val="nil"/>
                    <w:tr2bl w:val="nil"/>
                  </w:tcBorders>
                  <w:vAlign w:val="center"/>
                </w:tcPr>
                <w:p>
                  <w:pPr>
                    <w:pStyle w:val="70"/>
                    <w:rPr>
                      <w:color w:val="auto"/>
                      <w:highlight w:val="none"/>
                    </w:rPr>
                  </w:pPr>
                  <w:r>
                    <w:rPr>
                      <w:rFonts w:hint="eastAsia"/>
                      <w:color w:val="auto"/>
                      <w:highlight w:val="none"/>
                    </w:rPr>
                    <w:t>环境保护目标</w:t>
                  </w:r>
                </w:p>
              </w:tc>
              <w:tc>
                <w:tcPr>
                  <w:tcW w:w="1708" w:type="dxa"/>
                  <w:gridSpan w:val="2"/>
                  <w:vMerge w:val="restart"/>
                  <w:tcBorders>
                    <w:tl2br w:val="nil"/>
                    <w:tr2bl w:val="nil"/>
                  </w:tcBorders>
                  <w:vAlign w:val="center"/>
                </w:tcPr>
                <w:p>
                  <w:pPr>
                    <w:pStyle w:val="70"/>
                    <w:rPr>
                      <w:color w:val="auto"/>
                      <w:highlight w:val="none"/>
                    </w:rPr>
                  </w:pPr>
                  <w:r>
                    <w:rPr>
                      <w:rFonts w:hint="eastAsia"/>
                      <w:color w:val="auto"/>
                      <w:highlight w:val="none"/>
                    </w:rPr>
                    <w:t>方位/与厂界最近距离（m）</w:t>
                  </w:r>
                </w:p>
              </w:tc>
              <w:tc>
                <w:tcPr>
                  <w:tcW w:w="1092" w:type="dxa"/>
                  <w:vMerge w:val="restart"/>
                  <w:tcBorders>
                    <w:tl2br w:val="nil"/>
                    <w:tr2bl w:val="nil"/>
                  </w:tcBorders>
                  <w:vAlign w:val="center"/>
                </w:tcPr>
                <w:p>
                  <w:pPr>
                    <w:pStyle w:val="70"/>
                    <w:rPr>
                      <w:color w:val="auto"/>
                      <w:highlight w:val="none"/>
                    </w:rPr>
                  </w:pPr>
                  <w:r>
                    <w:rPr>
                      <w:rFonts w:hint="eastAsia"/>
                      <w:color w:val="auto"/>
                      <w:highlight w:val="none"/>
                    </w:rPr>
                    <w:t>敏感目标规模（人）</w:t>
                  </w:r>
                </w:p>
              </w:tc>
              <w:tc>
                <w:tcPr>
                  <w:tcW w:w="2581" w:type="dxa"/>
                  <w:vMerge w:val="restart"/>
                  <w:tcBorders>
                    <w:tl2br w:val="nil"/>
                    <w:tr2bl w:val="nil"/>
                  </w:tcBorders>
                  <w:vAlign w:val="center"/>
                </w:tcPr>
                <w:p>
                  <w:pPr>
                    <w:pStyle w:val="70"/>
                    <w:rPr>
                      <w:color w:val="auto"/>
                      <w:highlight w:val="none"/>
                    </w:rPr>
                  </w:pPr>
                  <w:r>
                    <w:rPr>
                      <w:rFonts w:hint="eastAsia"/>
                      <w:color w:val="auto"/>
                      <w:highlight w:val="none"/>
                    </w:rPr>
                    <w:t>保护级别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7" w:hRule="atLeast"/>
              </w:trPr>
              <w:tc>
                <w:tcPr>
                  <w:tcW w:w="937" w:type="dxa"/>
                  <w:vMerge w:val="continue"/>
                  <w:tcBorders>
                    <w:tl2br w:val="nil"/>
                    <w:tr2bl w:val="nil"/>
                  </w:tcBorders>
                  <w:vAlign w:val="center"/>
                </w:tcPr>
                <w:p>
                  <w:pPr>
                    <w:pStyle w:val="70"/>
                    <w:rPr>
                      <w:color w:val="auto"/>
                      <w:highlight w:val="none"/>
                    </w:rPr>
                  </w:pPr>
                </w:p>
              </w:tc>
              <w:tc>
                <w:tcPr>
                  <w:tcW w:w="1599" w:type="dxa"/>
                  <w:vMerge w:val="continue"/>
                  <w:tcBorders>
                    <w:tl2br w:val="nil"/>
                    <w:tr2bl w:val="nil"/>
                  </w:tcBorders>
                  <w:vAlign w:val="center"/>
                </w:tcPr>
                <w:p>
                  <w:pPr>
                    <w:pStyle w:val="70"/>
                    <w:rPr>
                      <w:color w:val="auto"/>
                      <w:highlight w:val="none"/>
                    </w:rPr>
                  </w:pPr>
                </w:p>
              </w:tc>
              <w:tc>
                <w:tcPr>
                  <w:tcW w:w="1708" w:type="dxa"/>
                  <w:gridSpan w:val="2"/>
                  <w:vMerge w:val="continue"/>
                  <w:tcBorders>
                    <w:tl2br w:val="nil"/>
                    <w:tr2bl w:val="nil"/>
                  </w:tcBorders>
                  <w:vAlign w:val="center"/>
                </w:tcPr>
                <w:p>
                  <w:pPr>
                    <w:pStyle w:val="70"/>
                    <w:rPr>
                      <w:color w:val="auto"/>
                      <w:highlight w:val="none"/>
                    </w:rPr>
                  </w:pPr>
                </w:p>
              </w:tc>
              <w:tc>
                <w:tcPr>
                  <w:tcW w:w="1092" w:type="dxa"/>
                  <w:vMerge w:val="continue"/>
                  <w:tcBorders>
                    <w:tl2br w:val="nil"/>
                    <w:tr2bl w:val="nil"/>
                  </w:tcBorders>
                  <w:vAlign w:val="center"/>
                </w:tcPr>
                <w:p>
                  <w:pPr>
                    <w:pStyle w:val="70"/>
                    <w:rPr>
                      <w:color w:val="auto"/>
                      <w:highlight w:val="none"/>
                    </w:rPr>
                  </w:pPr>
                </w:p>
              </w:tc>
              <w:tc>
                <w:tcPr>
                  <w:tcW w:w="2581"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7" w:hRule="atLeast"/>
              </w:trPr>
              <w:tc>
                <w:tcPr>
                  <w:tcW w:w="937" w:type="dxa"/>
                  <w:vMerge w:val="restar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大气环境</w:t>
                  </w:r>
                </w:p>
              </w:tc>
              <w:tc>
                <w:tcPr>
                  <w:tcW w:w="1599" w:type="dxa"/>
                  <w:tcBorders>
                    <w:tl2br w:val="nil"/>
                    <w:tr2bl w:val="nil"/>
                  </w:tcBorders>
                  <w:vAlign w:val="center"/>
                </w:tcPr>
                <w:p>
                  <w:pPr>
                    <w:pStyle w:val="70"/>
                    <w:rPr>
                      <w:color w:val="auto"/>
                      <w:highlight w:val="none"/>
                    </w:rPr>
                  </w:pPr>
                  <w:r>
                    <w:rPr>
                      <w:rFonts w:hint="eastAsia"/>
                      <w:color w:val="auto"/>
                      <w:highlight w:val="none"/>
                    </w:rPr>
                    <w:t>龙峰村</w:t>
                  </w:r>
                </w:p>
              </w:tc>
              <w:tc>
                <w:tcPr>
                  <w:tcW w:w="574" w:type="dxa"/>
                  <w:tcBorders>
                    <w:tl2br w:val="nil"/>
                    <w:tr2bl w:val="nil"/>
                  </w:tcBorders>
                  <w:vAlign w:val="center"/>
                </w:tcPr>
                <w:p>
                  <w:pPr>
                    <w:pStyle w:val="70"/>
                    <w:rPr>
                      <w:color w:val="auto"/>
                      <w:highlight w:val="none"/>
                    </w:rPr>
                  </w:pPr>
                  <w:r>
                    <w:rPr>
                      <w:rFonts w:hint="eastAsia"/>
                      <w:color w:val="auto"/>
                      <w:highlight w:val="none"/>
                    </w:rPr>
                    <w:t>W</w:t>
                  </w:r>
                </w:p>
              </w:tc>
              <w:tc>
                <w:tcPr>
                  <w:tcW w:w="1134"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290</w:t>
                  </w:r>
                </w:p>
              </w:tc>
              <w:tc>
                <w:tcPr>
                  <w:tcW w:w="1092" w:type="dxa"/>
                  <w:tcBorders>
                    <w:tl2br w:val="nil"/>
                    <w:tr2bl w:val="nil"/>
                  </w:tcBorders>
                  <w:vAlign w:val="center"/>
                </w:tcPr>
                <w:p>
                  <w:pPr>
                    <w:pStyle w:val="70"/>
                    <w:rPr>
                      <w:color w:val="auto"/>
                      <w:highlight w:val="none"/>
                    </w:rPr>
                  </w:pPr>
                  <w:r>
                    <w:rPr>
                      <w:rFonts w:hint="eastAsia"/>
                      <w:color w:val="auto"/>
                      <w:highlight w:val="none"/>
                    </w:rPr>
                    <w:t>5028</w:t>
                  </w:r>
                </w:p>
              </w:tc>
              <w:tc>
                <w:tcPr>
                  <w:tcW w:w="2581" w:type="dxa"/>
                  <w:vMerge w:val="restar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rPr>
                    <w:t>《环境空气质量标准》（GB3095-2012）</w:t>
                  </w:r>
                  <w:r>
                    <w:rPr>
                      <w:rFonts w:hint="eastAsia"/>
                      <w:color w:val="auto"/>
                      <w:highlight w:val="none"/>
                      <w:lang w:val="en-US" w:eastAsia="zh-CN"/>
                    </w:rPr>
                    <w:t>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937" w:type="dxa"/>
                  <w:vMerge w:val="continue"/>
                  <w:tcBorders>
                    <w:tl2br w:val="nil"/>
                    <w:tr2bl w:val="nil"/>
                  </w:tcBorders>
                  <w:vAlign w:val="center"/>
                </w:tcPr>
                <w:p>
                  <w:pPr>
                    <w:pStyle w:val="70"/>
                    <w:rPr>
                      <w:color w:val="auto"/>
                      <w:highlight w:val="none"/>
                    </w:rPr>
                  </w:pPr>
                </w:p>
              </w:tc>
              <w:tc>
                <w:tcPr>
                  <w:tcW w:w="1599" w:type="dxa"/>
                  <w:tcBorders>
                    <w:tl2br w:val="nil"/>
                    <w:tr2bl w:val="nil"/>
                  </w:tcBorders>
                  <w:vAlign w:val="center"/>
                </w:tcPr>
                <w:p>
                  <w:pPr>
                    <w:pStyle w:val="70"/>
                    <w:rPr>
                      <w:color w:val="auto"/>
                      <w:highlight w:val="none"/>
                    </w:rPr>
                  </w:pPr>
                  <w:r>
                    <w:rPr>
                      <w:rFonts w:hint="eastAsia"/>
                      <w:color w:val="auto"/>
                      <w:highlight w:val="none"/>
                    </w:rPr>
                    <w:t>上垱顶村</w:t>
                  </w:r>
                </w:p>
              </w:tc>
              <w:tc>
                <w:tcPr>
                  <w:tcW w:w="574" w:type="dxa"/>
                  <w:tcBorders>
                    <w:tl2br w:val="nil"/>
                    <w:tr2bl w:val="nil"/>
                  </w:tcBorders>
                  <w:vAlign w:val="center"/>
                </w:tcPr>
                <w:p>
                  <w:pPr>
                    <w:pStyle w:val="70"/>
                    <w:rPr>
                      <w:color w:val="auto"/>
                      <w:highlight w:val="none"/>
                    </w:rPr>
                  </w:pPr>
                  <w:r>
                    <w:rPr>
                      <w:rFonts w:hint="eastAsia"/>
                      <w:color w:val="auto"/>
                      <w:highlight w:val="none"/>
                    </w:rPr>
                    <w:t>S</w:t>
                  </w:r>
                </w:p>
              </w:tc>
              <w:tc>
                <w:tcPr>
                  <w:tcW w:w="1134"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350</w:t>
                  </w:r>
                </w:p>
              </w:tc>
              <w:tc>
                <w:tcPr>
                  <w:tcW w:w="1092" w:type="dxa"/>
                  <w:tcBorders>
                    <w:tl2br w:val="nil"/>
                    <w:tr2bl w:val="nil"/>
                  </w:tcBorders>
                  <w:vAlign w:val="center"/>
                </w:tcPr>
                <w:p>
                  <w:pPr>
                    <w:pStyle w:val="70"/>
                    <w:rPr>
                      <w:color w:val="auto"/>
                      <w:highlight w:val="none"/>
                    </w:rPr>
                  </w:pPr>
                  <w:r>
                    <w:rPr>
                      <w:rFonts w:hint="eastAsia"/>
                      <w:color w:val="auto"/>
                      <w:highlight w:val="none"/>
                    </w:rPr>
                    <w:t>1513</w:t>
                  </w:r>
                </w:p>
              </w:tc>
              <w:tc>
                <w:tcPr>
                  <w:tcW w:w="2581"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937" w:type="dxa"/>
                  <w:vMerge w:val="continue"/>
                  <w:tcBorders>
                    <w:tl2br w:val="nil"/>
                    <w:tr2bl w:val="nil"/>
                  </w:tcBorders>
                  <w:vAlign w:val="center"/>
                </w:tcPr>
                <w:p>
                  <w:pPr>
                    <w:pStyle w:val="70"/>
                    <w:rPr>
                      <w:color w:val="auto"/>
                      <w:highlight w:val="none"/>
                    </w:rPr>
                  </w:pPr>
                </w:p>
              </w:tc>
              <w:tc>
                <w:tcPr>
                  <w:tcW w:w="1599" w:type="dxa"/>
                  <w:tcBorders>
                    <w:tl2br w:val="nil"/>
                    <w:tr2bl w:val="nil"/>
                  </w:tcBorders>
                  <w:vAlign w:val="center"/>
                </w:tcPr>
                <w:p>
                  <w:pPr>
                    <w:pStyle w:val="7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在建</w:t>
                  </w:r>
                  <w:r>
                    <w:rPr>
                      <w:rFonts w:hint="eastAsia" w:ascii="Times New Roman" w:hAnsi="Times New Roman" w:eastAsia="宋体" w:cs="Times New Roman"/>
                      <w:color w:val="auto"/>
                      <w:highlight w:val="none"/>
                      <w:lang w:val="en-US" w:eastAsia="zh-CN"/>
                    </w:rPr>
                    <w:t>养老院</w:t>
                  </w:r>
                </w:p>
              </w:tc>
              <w:tc>
                <w:tcPr>
                  <w:tcW w:w="574" w:type="dxa"/>
                  <w:tcBorders>
                    <w:tl2br w:val="nil"/>
                    <w:tr2bl w:val="nil"/>
                  </w:tcBorders>
                  <w:vAlign w:val="center"/>
                </w:tcPr>
                <w:p>
                  <w:pPr>
                    <w:pStyle w:val="7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E</w:t>
                  </w:r>
                </w:p>
              </w:tc>
              <w:tc>
                <w:tcPr>
                  <w:tcW w:w="1134" w:type="dxa"/>
                  <w:tcBorders>
                    <w:tl2br w:val="nil"/>
                    <w:tr2bl w:val="nil"/>
                  </w:tcBorders>
                  <w:vAlign w:val="center"/>
                </w:tcPr>
                <w:p>
                  <w:pPr>
                    <w:pStyle w:val="7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110</w:t>
                  </w:r>
                </w:p>
                <w:p>
                  <w:pPr>
                    <w:pStyle w:val="7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与新增地块距离约210m</w:t>
                  </w:r>
                  <w:r>
                    <w:rPr>
                      <w:rFonts w:hint="eastAsia" w:cs="Times New Roman"/>
                      <w:color w:val="auto"/>
                      <w:highlight w:val="none"/>
                      <w:lang w:val="en-US" w:eastAsia="zh-CN"/>
                    </w:rPr>
                    <w:t>）</w:t>
                  </w:r>
                </w:p>
              </w:tc>
              <w:tc>
                <w:tcPr>
                  <w:tcW w:w="1092" w:type="dxa"/>
                  <w:tcBorders>
                    <w:tl2br w:val="nil"/>
                    <w:tr2bl w:val="nil"/>
                  </w:tcBorders>
                  <w:vAlign w:val="center"/>
                </w:tcPr>
                <w:p>
                  <w:pPr>
                    <w:pStyle w:val="7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600床位</w:t>
                  </w:r>
                </w:p>
              </w:tc>
              <w:tc>
                <w:tcPr>
                  <w:tcW w:w="2581" w:type="dxa"/>
                  <w:vMerge w:val="continue"/>
                  <w:tcBorders>
                    <w:tl2br w:val="nil"/>
                    <w:tr2bl w:val="nil"/>
                  </w:tcBorders>
                  <w:vAlign w:val="center"/>
                </w:tcPr>
                <w:p>
                  <w:pPr>
                    <w:pStyle w:val="70"/>
                    <w:rPr>
                      <w:color w:val="auto"/>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trPr>
              <w:tc>
                <w:tcPr>
                  <w:tcW w:w="937" w:type="dxa"/>
                  <w:tcBorders>
                    <w:tl2br w:val="nil"/>
                    <w:tr2bl w:val="nil"/>
                  </w:tcBorders>
                  <w:vAlign w:val="center"/>
                </w:tcPr>
                <w:p>
                  <w:pPr>
                    <w:pStyle w:val="70"/>
                    <w:rPr>
                      <w:color w:val="auto"/>
                      <w:highlight w:val="none"/>
                    </w:rPr>
                  </w:pPr>
                  <w:r>
                    <w:rPr>
                      <w:rFonts w:hint="eastAsia"/>
                      <w:color w:val="auto"/>
                      <w:highlight w:val="none"/>
                    </w:rPr>
                    <w:t>水环境</w:t>
                  </w:r>
                </w:p>
              </w:tc>
              <w:tc>
                <w:tcPr>
                  <w:tcW w:w="1599" w:type="dxa"/>
                  <w:tcBorders>
                    <w:tl2br w:val="nil"/>
                    <w:tr2bl w:val="nil"/>
                  </w:tcBorders>
                  <w:vAlign w:val="center"/>
                </w:tcPr>
                <w:p>
                  <w:pPr>
                    <w:pStyle w:val="70"/>
                    <w:rPr>
                      <w:color w:val="auto"/>
                      <w:highlight w:val="none"/>
                    </w:rPr>
                  </w:pPr>
                  <w:r>
                    <w:rPr>
                      <w:rFonts w:hint="eastAsia"/>
                      <w:color w:val="auto"/>
                      <w:highlight w:val="none"/>
                    </w:rPr>
                    <w:t>三营河</w:t>
                  </w:r>
                </w:p>
              </w:tc>
              <w:tc>
                <w:tcPr>
                  <w:tcW w:w="574" w:type="dxa"/>
                  <w:tcBorders>
                    <w:tl2br w:val="nil"/>
                    <w:tr2bl w:val="nil"/>
                  </w:tcBorders>
                  <w:vAlign w:val="center"/>
                </w:tcPr>
                <w:p>
                  <w:pPr>
                    <w:pStyle w:val="70"/>
                    <w:rPr>
                      <w:color w:val="auto"/>
                      <w:highlight w:val="none"/>
                    </w:rPr>
                  </w:pPr>
                  <w:r>
                    <w:rPr>
                      <w:rFonts w:hint="eastAsia"/>
                      <w:color w:val="auto"/>
                      <w:highlight w:val="none"/>
                    </w:rPr>
                    <w:t>S</w:t>
                  </w:r>
                </w:p>
              </w:tc>
              <w:tc>
                <w:tcPr>
                  <w:tcW w:w="1134" w:type="dxa"/>
                  <w:tcBorders>
                    <w:tl2br w:val="nil"/>
                    <w:tr2bl w:val="nil"/>
                  </w:tcBorders>
                  <w:vAlign w:val="center"/>
                </w:tcPr>
                <w:p>
                  <w:pPr>
                    <w:pStyle w:val="70"/>
                    <w:rPr>
                      <w:color w:val="auto"/>
                      <w:highlight w:val="none"/>
                    </w:rPr>
                  </w:pPr>
                  <w:r>
                    <w:rPr>
                      <w:rFonts w:hint="eastAsia"/>
                      <w:color w:val="auto"/>
                      <w:highlight w:val="none"/>
                    </w:rPr>
                    <w:t>236</w:t>
                  </w:r>
                </w:p>
              </w:tc>
              <w:tc>
                <w:tcPr>
                  <w:tcW w:w="1092" w:type="dxa"/>
                  <w:tcBorders>
                    <w:tl2br w:val="nil"/>
                    <w:tr2bl w:val="nil"/>
                  </w:tcBorders>
                  <w:vAlign w:val="center"/>
                </w:tcPr>
                <w:p>
                  <w:pPr>
                    <w:pStyle w:val="70"/>
                    <w:rPr>
                      <w:color w:val="auto"/>
                      <w:highlight w:val="none"/>
                    </w:rPr>
                  </w:pPr>
                  <w:r>
                    <w:rPr>
                      <w:rFonts w:hint="eastAsia"/>
                      <w:color w:val="auto"/>
                      <w:highlight w:val="none"/>
                    </w:rPr>
                    <w:t>小型河流</w:t>
                  </w:r>
                </w:p>
              </w:tc>
              <w:tc>
                <w:tcPr>
                  <w:tcW w:w="2581" w:type="dxa"/>
                  <w:tcBorders>
                    <w:tl2br w:val="nil"/>
                    <w:tr2bl w:val="nil"/>
                  </w:tcBorders>
                  <w:vAlign w:val="center"/>
                </w:tcPr>
                <w:p>
                  <w:pPr>
                    <w:pStyle w:val="70"/>
                    <w:rPr>
                      <w:color w:val="auto"/>
                      <w:highlight w:val="none"/>
                    </w:rPr>
                  </w:pPr>
                  <w:r>
                    <w:rPr>
                      <w:rFonts w:hint="eastAsia"/>
                      <w:color w:val="auto"/>
                      <w:highlight w:val="none"/>
                    </w:rPr>
                    <w:t>GB3838-2002中的</w:t>
                  </w:r>
                  <w:r>
                    <w:rPr>
                      <w:color w:val="auto"/>
                      <w:highlight w:val="none"/>
                    </w:rPr>
                    <w:t>Ⅴ</w:t>
                  </w:r>
                  <w:r>
                    <w:rPr>
                      <w:rFonts w:hint="eastAsia"/>
                      <w:color w:val="auto"/>
                      <w:highlight w:val="none"/>
                    </w:rPr>
                    <w:t>类标准</w:t>
                  </w:r>
                </w:p>
              </w:tc>
            </w:tr>
          </w:tbl>
          <w:p>
            <w:pPr>
              <w:pStyle w:val="72"/>
              <w:ind w:firstLine="0" w:firstLineChars="0"/>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污染</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物排</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放控</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制标</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190" w:type="dxa"/>
          </w:tcPr>
          <w:p>
            <w:pPr>
              <w:pStyle w:val="70"/>
              <w:rPr>
                <w:color w:val="auto"/>
                <w:highlight w:val="none"/>
              </w:rPr>
            </w:pPr>
          </w:p>
          <w:p>
            <w:pPr>
              <w:pStyle w:val="72"/>
              <w:ind w:firstLine="480"/>
              <w:rPr>
                <w:color w:val="auto"/>
                <w:highlight w:val="none"/>
              </w:rPr>
            </w:pPr>
            <w:r>
              <w:rPr>
                <w:rFonts w:hint="eastAsia"/>
                <w:color w:val="auto"/>
                <w:highlight w:val="none"/>
              </w:rPr>
              <w:t>（1）废气</w:t>
            </w:r>
          </w:p>
          <w:p>
            <w:pPr>
              <w:pStyle w:val="72"/>
              <w:ind w:firstLine="480"/>
              <w:rPr>
                <w:rFonts w:hint="eastAsia"/>
                <w:color w:val="auto"/>
                <w:highlight w:val="none"/>
                <w:lang w:val="en-US" w:eastAsia="zh-CN"/>
              </w:rPr>
            </w:pPr>
            <w:r>
              <w:rPr>
                <w:rFonts w:hint="eastAsia"/>
                <w:color w:val="auto"/>
                <w:highlight w:val="none"/>
              </w:rPr>
              <w:t>项目颗粒物排放执行《大气污染物综合排放标准》（GB16297-1996）表2有组织最高允许排放</w:t>
            </w:r>
            <w:r>
              <w:rPr>
                <w:rFonts w:hint="eastAsia"/>
                <w:color w:val="auto"/>
                <w:highlight w:val="none"/>
                <w:lang w:val="en-US" w:eastAsia="zh-CN"/>
              </w:rPr>
              <w:t>速率、</w:t>
            </w:r>
            <w:r>
              <w:rPr>
                <w:rFonts w:hint="eastAsia"/>
                <w:color w:val="auto"/>
                <w:highlight w:val="none"/>
              </w:rPr>
              <w:t>浓度和无组织排放监控浓度限值；非甲烷总烃无组织排放执行</w:t>
            </w:r>
            <w:r>
              <w:rPr>
                <w:rFonts w:hint="eastAsia"/>
                <w:color w:val="auto"/>
                <w:highlight w:val="none"/>
                <w:lang w:eastAsia="zh-CN"/>
              </w:rPr>
              <w:t>《</w:t>
            </w:r>
            <w:r>
              <w:rPr>
                <w:rFonts w:hint="eastAsia"/>
                <w:color w:val="auto"/>
                <w:highlight w:val="none"/>
              </w:rPr>
              <w:t>工业企业挥发性有机物排放标准》（DB35/1782—2018）表3企业边界监控点浓度限值</w:t>
            </w:r>
            <w:r>
              <w:rPr>
                <w:rFonts w:hint="eastAsia"/>
                <w:color w:val="auto"/>
                <w:highlight w:val="none"/>
                <w:lang w:val="en-US" w:eastAsia="zh-CN"/>
              </w:rPr>
              <w:t>和</w:t>
            </w:r>
            <w:r>
              <w:rPr>
                <w:rFonts w:hint="eastAsia"/>
                <w:color w:val="auto"/>
                <w:highlight w:val="none"/>
              </w:rPr>
              <w:t>《挥发性有机物无组织排放标准》（GB37822-2019）表A.1监控点处1h平均浓度值和监控点处任意一次浓度值。</w:t>
            </w:r>
            <w:r>
              <w:rPr>
                <w:rFonts w:hint="eastAsia"/>
                <w:color w:val="auto"/>
                <w:highlight w:val="none"/>
                <w:lang w:val="en-US" w:eastAsia="zh-CN"/>
              </w:rPr>
              <w:t>具体见表3.3.1。</w:t>
            </w:r>
          </w:p>
          <w:p>
            <w:pPr>
              <w:pStyle w:val="72"/>
              <w:ind w:firstLine="480"/>
              <w:rPr>
                <w:color w:val="auto"/>
                <w:highlight w:val="none"/>
              </w:rPr>
            </w:pPr>
            <w:r>
              <w:rPr>
                <w:rFonts w:hint="eastAsia"/>
                <w:color w:val="auto"/>
                <w:highlight w:val="none"/>
              </w:rPr>
              <w:t>（2）废水</w:t>
            </w:r>
          </w:p>
          <w:p>
            <w:pPr>
              <w:pStyle w:val="72"/>
              <w:ind w:firstLine="480"/>
              <w:rPr>
                <w:rFonts w:hint="eastAsia"/>
                <w:color w:val="auto"/>
                <w:highlight w:val="none"/>
                <w:lang w:val="en-US" w:eastAsia="zh-CN"/>
              </w:rPr>
            </w:pPr>
            <w:r>
              <w:rPr>
                <w:rFonts w:hint="eastAsia"/>
                <w:color w:val="auto"/>
                <w:highlight w:val="none"/>
                <w:lang w:val="en-US" w:eastAsia="zh-CN"/>
              </w:rPr>
              <w:t>项目属于</w:t>
            </w:r>
            <w:r>
              <w:rPr>
                <w:rFonts w:hint="eastAsia"/>
                <w:color w:val="auto"/>
                <w:highlight w:val="none"/>
              </w:rPr>
              <w:t>电子专用材料制造</w:t>
            </w:r>
            <w:r>
              <w:rPr>
                <w:rFonts w:hint="eastAsia"/>
                <w:color w:val="auto"/>
                <w:highlight w:val="none"/>
                <w:lang w:val="en-US" w:eastAsia="zh-CN"/>
              </w:rPr>
              <w:t>行业</w:t>
            </w:r>
            <w:r>
              <w:rPr>
                <w:rFonts w:hint="eastAsia"/>
                <w:color w:val="auto"/>
                <w:highlight w:val="none"/>
              </w:rPr>
              <w:t>，本项目排放的废水适用《电子工业水污染物排放标准》（GB39731-2020）。</w:t>
            </w:r>
            <w:r>
              <w:rPr>
                <w:rFonts w:hint="eastAsia"/>
                <w:color w:val="auto"/>
                <w:highlight w:val="none"/>
                <w:lang w:val="en-US" w:eastAsia="zh-CN"/>
              </w:rPr>
              <w:t>项目生产废水经厂内</w:t>
            </w:r>
            <w:r>
              <w:rPr>
                <w:rFonts w:hint="eastAsia"/>
                <w:color w:val="auto"/>
                <w:highlight w:val="none"/>
              </w:rPr>
              <w:t>污水处理站</w:t>
            </w:r>
            <w:r>
              <w:rPr>
                <w:rFonts w:hint="eastAsia"/>
                <w:color w:val="auto"/>
                <w:highlight w:val="none"/>
                <w:lang w:val="en-US" w:eastAsia="zh-CN"/>
              </w:rPr>
              <w:t>处理</w:t>
            </w:r>
            <w:r>
              <w:rPr>
                <w:rFonts w:hint="eastAsia"/>
                <w:color w:val="auto"/>
                <w:highlight w:val="none"/>
              </w:rPr>
              <w:t>达到《</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）表</w:t>
            </w:r>
            <w:r>
              <w:rPr>
                <w:rFonts w:hint="eastAsia"/>
                <w:color w:val="auto"/>
                <w:highlight w:val="none"/>
                <w:lang w:val="en-US" w:eastAsia="zh-CN"/>
              </w:rPr>
              <w:t>1</w:t>
            </w:r>
            <w:r>
              <w:rPr>
                <w:rFonts w:hint="eastAsia"/>
                <w:color w:val="auto"/>
                <w:highlight w:val="none"/>
              </w:rPr>
              <w:t>中的</w:t>
            </w:r>
            <w:r>
              <w:rPr>
                <w:rFonts w:hint="eastAsia"/>
                <w:color w:val="auto"/>
                <w:highlight w:val="none"/>
                <w:lang w:val="en-US" w:eastAsia="zh-CN"/>
              </w:rPr>
              <w:t>间接</w:t>
            </w:r>
            <w:r>
              <w:rPr>
                <w:rFonts w:hint="eastAsia"/>
                <w:color w:val="auto"/>
                <w:highlight w:val="none"/>
              </w:rPr>
              <w:t>排放</w:t>
            </w:r>
            <w:r>
              <w:rPr>
                <w:rFonts w:hint="eastAsia"/>
                <w:color w:val="auto"/>
                <w:highlight w:val="none"/>
                <w:lang w:val="en-US" w:eastAsia="zh-CN"/>
              </w:rPr>
              <w:t>限值</w:t>
            </w:r>
            <w:r>
              <w:rPr>
                <w:rFonts w:hint="eastAsia"/>
                <w:color w:val="auto"/>
                <w:highlight w:val="none"/>
              </w:rPr>
              <w:t>，经市政污水管网进入滨海工业区污水处理厂处理。生活污水经</w:t>
            </w:r>
            <w:r>
              <w:rPr>
                <w:rFonts w:hint="eastAsia"/>
                <w:color w:val="auto"/>
                <w:highlight w:val="none"/>
                <w:lang w:val="en-US" w:eastAsia="zh-CN"/>
              </w:rPr>
              <w:t>隔油池、</w:t>
            </w:r>
            <w:r>
              <w:rPr>
                <w:rFonts w:hint="eastAsia"/>
                <w:color w:val="auto"/>
                <w:highlight w:val="none"/>
              </w:rPr>
              <w:t>化粪池预处理后达到《污水综合排放标准》（GB8978-1996）表4中的三级排放标准，氨氮参照执行《污水排入城镇下水道水质标准》（GB/T31962-2015）表1中的B级标准</w:t>
            </w:r>
            <w:r>
              <w:rPr>
                <w:rFonts w:hint="eastAsia"/>
                <w:color w:val="auto"/>
                <w:highlight w:val="none"/>
                <w:lang w:eastAsia="zh-CN"/>
              </w:rPr>
              <w:t>，</w:t>
            </w:r>
            <w:r>
              <w:rPr>
                <w:rFonts w:hint="eastAsia"/>
                <w:color w:val="auto"/>
                <w:highlight w:val="none"/>
              </w:rPr>
              <w:t>经市政污水管网进入滨海工业区污水处理厂处理。</w:t>
            </w:r>
            <w:r>
              <w:rPr>
                <w:rFonts w:hint="eastAsia"/>
                <w:color w:val="auto"/>
                <w:highlight w:val="none"/>
                <w:lang w:val="en-US" w:eastAsia="zh-CN"/>
              </w:rPr>
              <w:t>滨海工业区污水处理厂尾水排放执行</w:t>
            </w:r>
            <w:r>
              <w:rPr>
                <w:rFonts w:hint="eastAsia"/>
                <w:color w:val="auto"/>
                <w:highlight w:val="none"/>
              </w:rPr>
              <w:t>《城镇污水处理厂污染物排放标准》（GB18918-2002）</w:t>
            </w:r>
            <w:r>
              <w:rPr>
                <w:rFonts w:hint="eastAsia"/>
                <w:color w:val="auto"/>
                <w:highlight w:val="none"/>
                <w:lang w:val="en-US" w:eastAsia="zh-CN"/>
              </w:rPr>
              <w:t>及其修改单</w:t>
            </w:r>
            <w:r>
              <w:rPr>
                <w:rFonts w:hint="eastAsia"/>
                <w:color w:val="auto"/>
                <w:highlight w:val="none"/>
              </w:rPr>
              <w:t>中一级A排放标准</w:t>
            </w:r>
            <w:r>
              <w:rPr>
                <w:rFonts w:hint="eastAsia"/>
                <w:color w:val="auto"/>
                <w:highlight w:val="none"/>
                <w:lang w:eastAsia="zh-CN"/>
              </w:rPr>
              <w:t>。</w:t>
            </w:r>
            <w:r>
              <w:rPr>
                <w:rFonts w:hint="eastAsia"/>
                <w:color w:val="auto"/>
                <w:highlight w:val="none"/>
                <w:lang w:val="en-US" w:eastAsia="zh-CN"/>
              </w:rPr>
              <w:t>具体见表3.3.2、表3.3.3。</w:t>
            </w:r>
          </w:p>
          <w:p>
            <w:pPr>
              <w:pStyle w:val="72"/>
              <w:ind w:firstLine="480"/>
              <w:rPr>
                <w:rFonts w:hint="default"/>
                <w:color w:val="auto"/>
                <w:highlight w:val="none"/>
                <w:lang w:val="en-US" w:eastAsia="zh-CN"/>
              </w:rPr>
            </w:pPr>
          </w:p>
          <w:p>
            <w:pPr>
              <w:pStyle w:val="72"/>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eastAsia" w:ascii="Times New Roman" w:hAnsi="Times New Roman" w:eastAsia="黑体" w:cs="Times New Roman"/>
                <w:b/>
                <w:color w:val="auto"/>
                <w:kern w:val="2"/>
                <w:sz w:val="24"/>
                <w:szCs w:val="22"/>
                <w:highlight w:val="none"/>
                <w:lang w:val="en-US" w:eastAsia="zh-CN" w:bidi="ar-SA"/>
              </w:rPr>
            </w:pPr>
            <w:r>
              <w:rPr>
                <w:rFonts w:hint="eastAsia" w:ascii="Times New Roman" w:hAnsi="Times New Roman" w:eastAsia="黑体" w:cs="Times New Roman"/>
                <w:b/>
                <w:color w:val="auto"/>
                <w:kern w:val="2"/>
                <w:sz w:val="24"/>
                <w:szCs w:val="22"/>
                <w:highlight w:val="none"/>
                <w:lang w:val="en-US" w:eastAsia="zh-CN" w:bidi="ar-SA"/>
              </w:rPr>
              <w:t>表3.3.1大气污染物排放标准</w:t>
            </w:r>
          </w:p>
          <w:tbl>
            <w:tblPr>
              <w:tblStyle w:val="29"/>
              <w:tblW w:w="8239" w:type="dxa"/>
              <w:tblInd w:w="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910"/>
              <w:gridCol w:w="1195"/>
              <w:gridCol w:w="1004"/>
              <w:gridCol w:w="1035"/>
              <w:gridCol w:w="32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5" w:type="dxa"/>
                  <w:tcBorders>
                    <w:top w:val="single" w:color="000000" w:sz="6" w:space="0"/>
                    <w:left w:val="single" w:color="000000" w:sz="6"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污染物</w:t>
                  </w:r>
                </w:p>
              </w:tc>
              <w:tc>
                <w:tcPr>
                  <w:tcW w:w="910" w:type="dxa"/>
                  <w:tcBorders>
                    <w:top w:val="single" w:color="000000" w:sz="6"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排放类型</w:t>
                  </w:r>
                </w:p>
              </w:tc>
              <w:tc>
                <w:tcPr>
                  <w:tcW w:w="1195" w:type="dxa"/>
                  <w:tcBorders>
                    <w:top w:val="single" w:color="000000" w:sz="6"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排放浓度（mg/m</w:t>
                  </w:r>
                  <w:r>
                    <w:rPr>
                      <w:rFonts w:hint="eastAsia"/>
                      <w:color w:val="auto"/>
                      <w:highlight w:val="none"/>
                      <w:vertAlign w:val="superscript"/>
                    </w:rPr>
                    <w:t>3</w:t>
                  </w:r>
                  <w:r>
                    <w:rPr>
                      <w:rFonts w:hint="eastAsia"/>
                      <w:color w:val="auto"/>
                      <w:highlight w:val="none"/>
                    </w:rPr>
                    <w:t>）</w:t>
                  </w:r>
                </w:p>
              </w:tc>
              <w:tc>
                <w:tcPr>
                  <w:tcW w:w="1004" w:type="dxa"/>
                  <w:tcBorders>
                    <w:top w:val="single" w:color="000000" w:sz="6"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排气筒高度（m）</w:t>
                  </w:r>
                </w:p>
              </w:tc>
              <w:tc>
                <w:tcPr>
                  <w:tcW w:w="1035" w:type="dxa"/>
                  <w:tcBorders>
                    <w:top w:val="single" w:color="000000" w:sz="6"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排放速率（kg/h）</w:t>
                  </w:r>
                </w:p>
              </w:tc>
              <w:tc>
                <w:tcPr>
                  <w:tcW w:w="3220" w:type="dxa"/>
                  <w:tcBorders>
                    <w:top w:val="single" w:color="000000" w:sz="6" w:space="0"/>
                    <w:bottom w:val="single" w:color="000000" w:sz="4" w:space="0"/>
                    <w:right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5" w:type="dxa"/>
                  <w:vMerge w:val="restart"/>
                  <w:tcBorders>
                    <w:top w:val="single" w:color="000000" w:sz="4" w:space="0"/>
                    <w:left w:val="single" w:color="000000" w:sz="6"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颗粒物</w:t>
                  </w:r>
                </w:p>
              </w:tc>
              <w:tc>
                <w:tcPr>
                  <w:tcW w:w="910"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有组织</w:t>
                  </w:r>
                </w:p>
              </w:tc>
              <w:tc>
                <w:tcPr>
                  <w:tcW w:w="1195"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120</w:t>
                  </w:r>
                </w:p>
              </w:tc>
              <w:tc>
                <w:tcPr>
                  <w:tcW w:w="1004"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15</w:t>
                  </w:r>
                </w:p>
              </w:tc>
              <w:tc>
                <w:tcPr>
                  <w:tcW w:w="1035"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vertAlign w:val="superscript"/>
                      <w:lang w:val="en-US" w:eastAsia="zh-CN"/>
                    </w:rPr>
                  </w:pPr>
                  <w:r>
                    <w:rPr>
                      <w:rFonts w:hint="eastAsia"/>
                      <w:color w:val="auto"/>
                      <w:highlight w:val="none"/>
                      <w:lang w:val="en-US" w:eastAsia="zh-CN"/>
                    </w:rPr>
                    <w:t>3.5</w:t>
                  </w:r>
                  <w:r>
                    <w:rPr>
                      <w:rFonts w:hint="eastAsia"/>
                      <w:color w:val="auto"/>
                      <w:highlight w:val="none"/>
                      <w:vertAlign w:val="superscript"/>
                      <w:lang w:val="en-US" w:eastAsia="zh-CN"/>
                    </w:rPr>
                    <w:t>*</w:t>
                  </w:r>
                </w:p>
              </w:tc>
              <w:tc>
                <w:tcPr>
                  <w:tcW w:w="3220" w:type="dxa"/>
                  <w:vMerge w:val="restart"/>
                  <w:tcBorders>
                    <w:top w:val="single" w:color="000000" w:sz="4" w:space="0"/>
                    <w:bottom w:val="single" w:color="000000" w:sz="4" w:space="0"/>
                    <w:right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《大气污染物综合排放标准》（GB16297-1996）表2颗粒物（其他）有组织最高允许排放浓度</w:t>
                  </w:r>
                  <w:r>
                    <w:rPr>
                      <w:rFonts w:hint="eastAsia"/>
                      <w:color w:val="auto"/>
                      <w:highlight w:val="none"/>
                      <w:lang w:eastAsia="zh-CN"/>
                    </w:rPr>
                    <w:t>、</w:t>
                  </w:r>
                  <w:r>
                    <w:rPr>
                      <w:rFonts w:hint="eastAsia"/>
                      <w:color w:val="auto"/>
                      <w:highlight w:val="none"/>
                      <w:lang w:val="en-US" w:eastAsia="zh-CN"/>
                    </w:rPr>
                    <w:t>速率</w:t>
                  </w:r>
                  <w:r>
                    <w:rPr>
                      <w:rFonts w:hint="eastAsia"/>
                      <w:color w:val="auto"/>
                      <w:highlight w:val="none"/>
                    </w:rPr>
                    <w:t>和无组织排放监控浓度限值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5" w:type="dxa"/>
                  <w:vMerge w:val="continue"/>
                  <w:tcBorders>
                    <w:top w:val="single" w:color="000000" w:sz="4" w:space="0"/>
                    <w:left w:val="single" w:color="000000" w:sz="6"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910"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无组织</w:t>
                  </w:r>
                </w:p>
              </w:tc>
              <w:tc>
                <w:tcPr>
                  <w:tcW w:w="1195"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1.0</w:t>
                  </w:r>
                </w:p>
              </w:tc>
              <w:tc>
                <w:tcPr>
                  <w:tcW w:w="1004"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w:t>
                  </w:r>
                </w:p>
              </w:tc>
              <w:tc>
                <w:tcPr>
                  <w:tcW w:w="1035"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w:t>
                  </w:r>
                </w:p>
              </w:tc>
              <w:tc>
                <w:tcPr>
                  <w:tcW w:w="3220" w:type="dxa"/>
                  <w:vMerge w:val="continue"/>
                  <w:tcBorders>
                    <w:top w:val="single" w:color="000000" w:sz="4" w:space="0"/>
                    <w:bottom w:val="single" w:color="000000" w:sz="4" w:space="0"/>
                    <w:right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5" w:type="dxa"/>
                  <w:vMerge w:val="restart"/>
                  <w:tcBorders>
                    <w:top w:val="single" w:color="000000" w:sz="4" w:space="0"/>
                    <w:left w:val="single" w:color="000000" w:sz="6"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非甲烷总烃</w:t>
                  </w:r>
                </w:p>
              </w:tc>
              <w:tc>
                <w:tcPr>
                  <w:tcW w:w="910" w:type="dxa"/>
                  <w:vMerge w:val="restart"/>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无组织</w:t>
                  </w:r>
                </w:p>
              </w:tc>
              <w:tc>
                <w:tcPr>
                  <w:tcW w:w="1195"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2.0</w:t>
                  </w:r>
                </w:p>
              </w:tc>
              <w:tc>
                <w:tcPr>
                  <w:tcW w:w="1004"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1035"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3220" w:type="dxa"/>
                  <w:tcBorders>
                    <w:top w:val="single" w:color="000000" w:sz="4" w:space="0"/>
                    <w:bottom w:val="single" w:color="000000" w:sz="4" w:space="0"/>
                    <w:right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《工业企业挥发性有机物排放标准》（DB35/1782—2018）表3企业边界监控点浓度限值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5" w:type="dxa"/>
                  <w:vMerge w:val="continue"/>
                  <w:tcBorders>
                    <w:top w:val="single" w:color="000000" w:sz="4" w:space="0"/>
                    <w:left w:val="single" w:color="000000" w:sz="6"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910" w:type="dxa"/>
                  <w:vMerge w:val="continue"/>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1195"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6.0</w:t>
                  </w:r>
                </w:p>
              </w:tc>
              <w:tc>
                <w:tcPr>
                  <w:tcW w:w="1004"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w:t>
                  </w:r>
                </w:p>
              </w:tc>
              <w:tc>
                <w:tcPr>
                  <w:tcW w:w="1035" w:type="dxa"/>
                  <w:tcBorders>
                    <w:top w:val="single" w:color="000000" w:sz="4" w:space="0"/>
                    <w:bottom w:val="single" w:color="000000" w:sz="4"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w:t>
                  </w:r>
                </w:p>
              </w:tc>
              <w:tc>
                <w:tcPr>
                  <w:tcW w:w="3220" w:type="dxa"/>
                  <w:tcBorders>
                    <w:top w:val="single" w:color="000000" w:sz="4" w:space="0"/>
                    <w:bottom w:val="single" w:color="000000" w:sz="4" w:space="0"/>
                    <w:right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《挥发性有机物无组织排放标准》（GB37822-2019）表A.1监控点处1h平均浓度值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75" w:type="dxa"/>
                  <w:vMerge w:val="continue"/>
                  <w:tcBorders>
                    <w:top w:val="single" w:color="000000" w:sz="4" w:space="0"/>
                    <w:left w:val="single" w:color="000000" w:sz="6" w:space="0"/>
                    <w:bottom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910" w:type="dxa"/>
                  <w:vMerge w:val="continue"/>
                  <w:tcBorders>
                    <w:top w:val="single" w:color="000000" w:sz="4" w:space="0"/>
                    <w:bottom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1195" w:type="dxa"/>
                  <w:tcBorders>
                    <w:top w:val="single" w:color="000000" w:sz="4" w:space="0"/>
                    <w:bottom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20</w:t>
                  </w:r>
                </w:p>
              </w:tc>
              <w:tc>
                <w:tcPr>
                  <w:tcW w:w="1004" w:type="dxa"/>
                  <w:tcBorders>
                    <w:top w:val="single" w:color="000000" w:sz="4" w:space="0"/>
                    <w:bottom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1035" w:type="dxa"/>
                  <w:tcBorders>
                    <w:top w:val="single" w:color="000000" w:sz="4" w:space="0"/>
                    <w:bottom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3220" w:type="dxa"/>
                  <w:tcBorders>
                    <w:top w:val="single" w:color="000000" w:sz="4" w:space="0"/>
                    <w:bottom w:val="single" w:color="000000" w:sz="6" w:space="0"/>
                    <w:right w:val="single" w:color="000000" w:sz="6" w:space="0"/>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《挥发性有机物无组织排放标准》（GB37822-2019）表A.1监控点处任意一次浓度值</w:t>
                  </w:r>
                </w:p>
              </w:tc>
            </w:tr>
          </w:tbl>
          <w:p>
            <w:pPr>
              <w:pStyle w:val="70"/>
              <w:jc w:val="both"/>
              <w:rPr>
                <w:rFonts w:hint="default" w:eastAsia="宋体"/>
                <w:color w:val="auto"/>
                <w:highlight w:val="none"/>
                <w:lang w:val="en-US" w:eastAsia="zh-CN"/>
              </w:rPr>
            </w:pPr>
            <w:r>
              <w:rPr>
                <w:rFonts w:hint="eastAsia"/>
                <w:color w:val="auto"/>
                <w:highlight w:val="none"/>
                <w:lang w:val="en-US" w:eastAsia="zh-CN"/>
              </w:rPr>
              <w:t>备注：排气筒高度除须遵守表列排放速率标准值外，还应高出周围200m半径范围的建筑5m以上。本项目各主要厂房设计楼高仅14.5m，废气处理设施依厂房而建，周边200m范围最高建筑物高度为24m，项目排气筒若建设至27m可能受台风影响，存在安全隐患问题。根据标准，不能达到该要求的排气筒，应按其高度对应的表列排放速率标准值严格50%执行。</w:t>
            </w:r>
          </w:p>
          <w:p>
            <w:pPr>
              <w:pStyle w:val="68"/>
              <w:ind w:firstLine="480"/>
              <w:rPr>
                <w:rFonts w:hint="eastAsia"/>
                <w:color w:val="auto"/>
                <w:highlight w:val="none"/>
                <w:lang w:val="en-US" w:eastAsia="zh-CN"/>
              </w:rPr>
            </w:pPr>
            <w:r>
              <w:rPr>
                <w:rFonts w:hint="eastAsia"/>
                <w:color w:val="auto"/>
                <w:highlight w:val="none"/>
                <w:lang w:val="en-US" w:eastAsia="zh-CN"/>
              </w:rPr>
              <w:t>表3.3.2生产废水排放标准一览表</w:t>
            </w:r>
          </w:p>
          <w:tbl>
            <w:tblPr>
              <w:tblStyle w:val="29"/>
              <w:tblW w:w="8289"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82"/>
              <w:gridCol w:w="1549"/>
              <w:gridCol w:w="2552"/>
              <w:gridCol w:w="1317"/>
              <w:gridCol w:w="22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7" w:hRule="atLeast"/>
              </w:trPr>
              <w:tc>
                <w:tcPr>
                  <w:tcW w:w="582"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序号</w:t>
                  </w:r>
                </w:p>
              </w:tc>
              <w:tc>
                <w:tcPr>
                  <w:tcW w:w="1549" w:type="dxa"/>
                  <w:vMerge w:val="restart"/>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项目</w:t>
                  </w:r>
                </w:p>
              </w:tc>
              <w:tc>
                <w:tcPr>
                  <w:tcW w:w="255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接管标准</w:t>
                  </w:r>
                </w:p>
              </w:tc>
              <w:tc>
                <w:tcPr>
                  <w:tcW w:w="3606"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lang w:val="en-US" w:eastAsia="zh-CN"/>
                    </w:rPr>
                    <w:t>滨海工业区污水处理厂尾水</w:t>
                  </w:r>
                  <w:r>
                    <w:rPr>
                      <w:rFonts w:hint="eastAsia"/>
                      <w:color w:val="auto"/>
                      <w:highlight w:val="none"/>
                    </w:rPr>
                    <w:t>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582"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1549" w:type="dxa"/>
                  <w:vMerge w:val="continue"/>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p>
              </w:tc>
              <w:tc>
                <w:tcPr>
                  <w:tcW w:w="255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b/>
                      <w:bCs/>
                      <w:color w:val="auto"/>
                      <w:highlight w:val="none"/>
                    </w:rPr>
                  </w:pPr>
                  <w:r>
                    <w:rPr>
                      <w:rFonts w:hint="eastAsia"/>
                      <w:color w:val="auto"/>
                      <w:highlight w:val="none"/>
                    </w:rPr>
                    <w:t>《</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）表</w:t>
                  </w:r>
                  <w:r>
                    <w:rPr>
                      <w:rFonts w:hint="eastAsia"/>
                      <w:color w:val="auto"/>
                      <w:highlight w:val="none"/>
                      <w:lang w:val="en-US" w:eastAsia="zh-CN"/>
                    </w:rPr>
                    <w:t>1</w:t>
                  </w:r>
                  <w:r>
                    <w:rPr>
                      <w:rFonts w:hint="eastAsia"/>
                      <w:color w:val="auto"/>
                      <w:highlight w:val="none"/>
                    </w:rPr>
                    <w:t>中的</w:t>
                  </w:r>
                  <w:r>
                    <w:rPr>
                      <w:rFonts w:hint="eastAsia"/>
                      <w:color w:val="auto"/>
                      <w:highlight w:val="none"/>
                      <w:lang w:val="en-US" w:eastAsia="zh-CN"/>
                    </w:rPr>
                    <w:t>间接</w:t>
                  </w:r>
                  <w:r>
                    <w:rPr>
                      <w:rFonts w:hint="eastAsia"/>
                      <w:color w:val="auto"/>
                      <w:highlight w:val="none"/>
                    </w:rPr>
                    <w:t>排放</w:t>
                  </w:r>
                  <w:r>
                    <w:rPr>
                      <w:rFonts w:hint="eastAsia"/>
                      <w:color w:val="auto"/>
                      <w:highlight w:val="none"/>
                      <w:lang w:val="en-US" w:eastAsia="zh-CN"/>
                    </w:rPr>
                    <w:t>限值</w:t>
                  </w:r>
                </w:p>
              </w:tc>
              <w:tc>
                <w:tcPr>
                  <w:tcW w:w="3606" w:type="dxa"/>
                  <w:gridSpan w:val="2"/>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《城镇污水处理厂污染物排放标准》（GB18918-2002）</w:t>
                  </w:r>
                  <w:r>
                    <w:rPr>
                      <w:rFonts w:hint="eastAsia"/>
                      <w:color w:val="auto"/>
                      <w:highlight w:val="none"/>
                      <w:lang w:val="en-US" w:eastAsia="zh-CN"/>
                    </w:rPr>
                    <w:t>及2025年修改单</w:t>
                  </w:r>
                  <w:r>
                    <w:rPr>
                      <w:rFonts w:hint="eastAsia"/>
                      <w:color w:val="auto"/>
                      <w:highlight w:val="none"/>
                    </w:rPr>
                    <w:t>中一级A排放标准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58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1</w:t>
                  </w:r>
                </w:p>
              </w:tc>
              <w:tc>
                <w:tcPr>
                  <w:tcW w:w="154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pH（无量纲）</w:t>
                  </w:r>
                </w:p>
              </w:tc>
              <w:tc>
                <w:tcPr>
                  <w:tcW w:w="255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6~9</w:t>
                  </w:r>
                </w:p>
              </w:tc>
              <w:tc>
                <w:tcPr>
                  <w:tcW w:w="1317" w:type="dxa"/>
                  <w:tcBorders>
                    <w:righ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c>
                <w:tcPr>
                  <w:tcW w:w="2289" w:type="dxa"/>
                  <w:tcBorders>
                    <w:lef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highlight w:val="none"/>
                    </w:rPr>
                  </w:pPr>
                  <w:r>
                    <w:rPr>
                      <w:rFonts w:hint="eastAsia"/>
                      <w:color w:val="auto"/>
                      <w:highlight w:val="none"/>
                    </w:rPr>
                    <w:t>6~9</w:t>
                  </w:r>
                  <w:r>
                    <w:rPr>
                      <w:rFonts w:hint="eastAsia"/>
                      <w:color w:val="auto"/>
                      <w:highlight w:val="none"/>
                      <w:lang w:eastAsia="zh-CN"/>
                    </w:rPr>
                    <w:t>（</w:t>
                  </w:r>
                  <w:r>
                    <w:rPr>
                      <w:rFonts w:hint="eastAsia"/>
                      <w:color w:val="auto"/>
                      <w:highlight w:val="none"/>
                      <w:lang w:val="en-US" w:eastAsia="zh-CN"/>
                    </w:rPr>
                    <w:t>瞬时值</w:t>
                  </w:r>
                  <w:r>
                    <w:rPr>
                      <w:rFonts w:hint="eastAsia"/>
                      <w:color w:val="auto"/>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58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2</w:t>
                  </w:r>
                </w:p>
              </w:tc>
              <w:tc>
                <w:tcPr>
                  <w:tcW w:w="154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COD</w:t>
                  </w:r>
                  <w:r>
                    <w:rPr>
                      <w:rFonts w:hint="eastAsia"/>
                      <w:color w:val="auto"/>
                      <w:highlight w:val="none"/>
                      <w:lang w:eastAsia="zh-CN"/>
                    </w:rPr>
                    <w:t>(</w:t>
                  </w:r>
                  <w:r>
                    <w:rPr>
                      <w:rFonts w:hint="eastAsia"/>
                      <w:color w:val="auto"/>
                      <w:highlight w:val="none"/>
                    </w:rPr>
                    <w:t>mg/L</w:t>
                  </w:r>
                  <w:r>
                    <w:rPr>
                      <w:rFonts w:hint="eastAsia"/>
                      <w:color w:val="auto"/>
                      <w:highlight w:val="none"/>
                      <w:lang w:eastAsia="zh-CN"/>
                    </w:rPr>
                    <w:t>)</w:t>
                  </w:r>
                </w:p>
              </w:tc>
              <w:tc>
                <w:tcPr>
                  <w:tcW w:w="255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500</w:t>
                  </w:r>
                </w:p>
              </w:tc>
              <w:tc>
                <w:tcPr>
                  <w:tcW w:w="1317" w:type="dxa"/>
                  <w:tcBorders>
                    <w:righ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50</w:t>
                  </w:r>
                </w:p>
              </w:tc>
              <w:tc>
                <w:tcPr>
                  <w:tcW w:w="2289" w:type="dxa"/>
                  <w:tcBorders>
                    <w:lef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75</w:t>
                  </w:r>
                  <w:r>
                    <w:rPr>
                      <w:rFonts w:hint="eastAsia"/>
                      <w:color w:val="auto"/>
                      <w:highlight w:val="none"/>
                      <w:lang w:eastAsia="zh-CN"/>
                    </w:rPr>
                    <w:t>（</w:t>
                  </w:r>
                  <w:r>
                    <w:rPr>
                      <w:rFonts w:hint="eastAsia"/>
                      <w:color w:val="auto"/>
                      <w:highlight w:val="none"/>
                      <w:lang w:val="en-US" w:eastAsia="zh-CN"/>
                    </w:rPr>
                    <w:t>瞬时值</w:t>
                  </w:r>
                  <w:r>
                    <w:rPr>
                      <w:rFonts w:hint="eastAsia"/>
                      <w:color w:val="auto"/>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58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eastAsia="zh-CN"/>
                    </w:rPr>
                  </w:pPr>
                  <w:r>
                    <w:rPr>
                      <w:rFonts w:hint="eastAsia"/>
                      <w:color w:val="auto"/>
                      <w:highlight w:val="none"/>
                      <w:lang w:val="en-US" w:eastAsia="zh-CN"/>
                    </w:rPr>
                    <w:t>3</w:t>
                  </w:r>
                </w:p>
              </w:tc>
              <w:tc>
                <w:tcPr>
                  <w:tcW w:w="154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SS</w:t>
                  </w:r>
                  <w:r>
                    <w:rPr>
                      <w:rFonts w:hint="eastAsia"/>
                      <w:color w:val="auto"/>
                      <w:highlight w:val="none"/>
                      <w:lang w:eastAsia="zh-CN"/>
                    </w:rPr>
                    <w:t>(</w:t>
                  </w:r>
                  <w:r>
                    <w:rPr>
                      <w:rFonts w:hint="eastAsia"/>
                      <w:color w:val="auto"/>
                      <w:highlight w:val="none"/>
                    </w:rPr>
                    <w:t>mg/L</w:t>
                  </w:r>
                  <w:r>
                    <w:rPr>
                      <w:rFonts w:hint="eastAsia"/>
                      <w:color w:val="auto"/>
                      <w:highlight w:val="none"/>
                      <w:lang w:eastAsia="zh-CN"/>
                    </w:rPr>
                    <w:t>)</w:t>
                  </w:r>
                </w:p>
              </w:tc>
              <w:tc>
                <w:tcPr>
                  <w:tcW w:w="255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400</w:t>
                  </w:r>
                </w:p>
              </w:tc>
              <w:tc>
                <w:tcPr>
                  <w:tcW w:w="1317" w:type="dxa"/>
                  <w:tcBorders>
                    <w:righ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10</w:t>
                  </w:r>
                </w:p>
              </w:tc>
              <w:tc>
                <w:tcPr>
                  <w:tcW w:w="2289" w:type="dxa"/>
                  <w:tcBorders>
                    <w:lef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8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eastAsia="zh-CN"/>
                    </w:rPr>
                  </w:pPr>
                  <w:r>
                    <w:rPr>
                      <w:rFonts w:hint="eastAsia"/>
                      <w:color w:val="auto"/>
                      <w:highlight w:val="none"/>
                      <w:lang w:val="en-US" w:eastAsia="zh-CN"/>
                    </w:rPr>
                    <w:t>4</w:t>
                  </w:r>
                </w:p>
              </w:tc>
              <w:tc>
                <w:tcPr>
                  <w:tcW w:w="154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石油类（mg/L）</w:t>
                  </w:r>
                </w:p>
              </w:tc>
              <w:tc>
                <w:tcPr>
                  <w:tcW w:w="255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20</w:t>
                  </w:r>
                </w:p>
              </w:tc>
              <w:tc>
                <w:tcPr>
                  <w:tcW w:w="1317" w:type="dxa"/>
                  <w:tcBorders>
                    <w:righ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highlight w:val="none"/>
                    </w:rPr>
                  </w:pPr>
                  <w:r>
                    <w:rPr>
                      <w:rFonts w:hint="eastAsia"/>
                      <w:color w:val="auto"/>
                      <w:highlight w:val="none"/>
                    </w:rPr>
                    <w:t>1</w:t>
                  </w:r>
                </w:p>
              </w:tc>
              <w:tc>
                <w:tcPr>
                  <w:tcW w:w="2289" w:type="dxa"/>
                  <w:tcBorders>
                    <w:lef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8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5</w:t>
                  </w:r>
                </w:p>
              </w:tc>
              <w:tc>
                <w:tcPr>
                  <w:tcW w:w="154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氨氮</w:t>
                  </w:r>
                  <w:r>
                    <w:rPr>
                      <w:rFonts w:hint="eastAsia"/>
                      <w:color w:val="auto"/>
                      <w:highlight w:val="none"/>
                    </w:rPr>
                    <w:t>（mg/L）</w:t>
                  </w:r>
                </w:p>
              </w:tc>
              <w:tc>
                <w:tcPr>
                  <w:tcW w:w="255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45</w:t>
                  </w:r>
                </w:p>
              </w:tc>
              <w:tc>
                <w:tcPr>
                  <w:tcW w:w="1317" w:type="dxa"/>
                  <w:tcBorders>
                    <w:righ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highlight w:val="none"/>
                    </w:rPr>
                  </w:pPr>
                  <w:r>
                    <w:rPr>
                      <w:rFonts w:hint="eastAsia"/>
                      <w:color w:val="auto"/>
                      <w:highlight w:val="none"/>
                    </w:rPr>
                    <w:t>5</w:t>
                  </w:r>
                  <w:r>
                    <w:rPr>
                      <w:rFonts w:hint="eastAsia"/>
                      <w:color w:val="auto"/>
                      <w:highlight w:val="none"/>
                      <w:lang w:eastAsia="zh-CN"/>
                    </w:rPr>
                    <w:t>(</w:t>
                  </w:r>
                  <w:r>
                    <w:rPr>
                      <w:rFonts w:hint="eastAsia"/>
                      <w:color w:val="auto"/>
                      <w:highlight w:val="none"/>
                    </w:rPr>
                    <w:t>8</w:t>
                  </w:r>
                  <w:r>
                    <w:rPr>
                      <w:rFonts w:hint="eastAsia"/>
                      <w:color w:val="auto"/>
                      <w:highlight w:val="none"/>
                      <w:lang w:eastAsia="zh-CN"/>
                    </w:rPr>
                    <w:t>)</w:t>
                  </w:r>
                  <w:r>
                    <w:rPr>
                      <w:rFonts w:hint="eastAsia"/>
                      <w:color w:val="auto"/>
                      <w:highlight w:val="none"/>
                      <w:vertAlign w:val="superscript"/>
                    </w:rPr>
                    <w:t>b</w:t>
                  </w:r>
                </w:p>
              </w:tc>
              <w:tc>
                <w:tcPr>
                  <w:tcW w:w="2289" w:type="dxa"/>
                  <w:tcBorders>
                    <w:lef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10</w:t>
                  </w:r>
                  <w:r>
                    <w:rPr>
                      <w:rFonts w:hint="eastAsia"/>
                      <w:color w:val="auto"/>
                      <w:highlight w:val="none"/>
                    </w:rPr>
                    <w:t>（</w:t>
                  </w:r>
                  <w:r>
                    <w:rPr>
                      <w:rFonts w:hint="eastAsia"/>
                      <w:color w:val="auto"/>
                      <w:highlight w:val="none"/>
                      <w:lang w:val="en-US" w:eastAsia="zh-CN"/>
                    </w:rPr>
                    <w:t>15</w:t>
                  </w:r>
                  <w:r>
                    <w:rPr>
                      <w:rFonts w:hint="eastAsia"/>
                      <w:color w:val="auto"/>
                      <w:highlight w:val="none"/>
                    </w:rPr>
                    <w:t>）</w:t>
                  </w:r>
                  <w:r>
                    <w:rPr>
                      <w:rFonts w:hint="eastAsia"/>
                      <w:color w:val="auto"/>
                      <w:highlight w:val="none"/>
                      <w:vertAlign w:val="superscript"/>
                    </w:rPr>
                    <w:t>b</w:t>
                  </w:r>
                  <w:r>
                    <w:rPr>
                      <w:rFonts w:hint="eastAsia"/>
                      <w:color w:val="auto"/>
                      <w:highlight w:val="none"/>
                      <w:lang w:eastAsia="zh-CN"/>
                    </w:rPr>
                    <w:t>（</w:t>
                  </w:r>
                  <w:r>
                    <w:rPr>
                      <w:rFonts w:hint="eastAsia"/>
                      <w:color w:val="auto"/>
                      <w:highlight w:val="none"/>
                      <w:lang w:val="en-US" w:eastAsia="zh-CN"/>
                    </w:rPr>
                    <w:t>瞬时值</w:t>
                  </w:r>
                  <w:r>
                    <w:rPr>
                      <w:rFonts w:hint="eastAsia"/>
                      <w:color w:val="auto"/>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8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6</w:t>
                  </w:r>
                </w:p>
              </w:tc>
              <w:tc>
                <w:tcPr>
                  <w:tcW w:w="154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总氮</w:t>
                  </w:r>
                  <w:r>
                    <w:rPr>
                      <w:rFonts w:hint="eastAsia"/>
                      <w:color w:val="auto"/>
                      <w:highlight w:val="none"/>
                    </w:rPr>
                    <w:t>（mg/L）</w:t>
                  </w:r>
                </w:p>
              </w:tc>
              <w:tc>
                <w:tcPr>
                  <w:tcW w:w="255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70</w:t>
                  </w:r>
                </w:p>
              </w:tc>
              <w:tc>
                <w:tcPr>
                  <w:tcW w:w="1317" w:type="dxa"/>
                  <w:tcBorders>
                    <w:righ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15</w:t>
                  </w:r>
                </w:p>
              </w:tc>
              <w:tc>
                <w:tcPr>
                  <w:tcW w:w="2289" w:type="dxa"/>
                  <w:tcBorders>
                    <w:lef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highlight w:val="none"/>
                      <w:lang w:val="en-US" w:eastAsia="zh-CN"/>
                    </w:rPr>
                  </w:pPr>
                  <w:r>
                    <w:rPr>
                      <w:rFonts w:hint="eastAsia"/>
                      <w:color w:val="auto"/>
                      <w:highlight w:val="none"/>
                      <w:lang w:val="en-US" w:eastAsia="zh-CN"/>
                    </w:rPr>
                    <w:t>20</w:t>
                  </w:r>
                  <w:r>
                    <w:rPr>
                      <w:rFonts w:hint="eastAsia"/>
                      <w:color w:val="auto"/>
                      <w:highlight w:val="none"/>
                      <w:lang w:eastAsia="zh-CN"/>
                    </w:rPr>
                    <w:t>（</w:t>
                  </w:r>
                  <w:r>
                    <w:rPr>
                      <w:rFonts w:hint="eastAsia"/>
                      <w:color w:val="auto"/>
                      <w:highlight w:val="none"/>
                      <w:lang w:val="en-US" w:eastAsia="zh-CN"/>
                    </w:rPr>
                    <w:t>瞬时值</w:t>
                  </w:r>
                  <w:r>
                    <w:rPr>
                      <w:rFonts w:hint="eastAsia"/>
                      <w:color w:val="auto"/>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8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7</w:t>
                  </w:r>
                </w:p>
              </w:tc>
              <w:tc>
                <w:tcPr>
                  <w:tcW w:w="1549"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总磷（</w:t>
                  </w:r>
                  <w:r>
                    <w:rPr>
                      <w:rFonts w:hint="eastAsia"/>
                      <w:color w:val="auto"/>
                      <w:highlight w:val="none"/>
                    </w:rPr>
                    <w:t>mg/L</w:t>
                  </w:r>
                  <w:r>
                    <w:rPr>
                      <w:rFonts w:hint="eastAsia"/>
                      <w:color w:val="auto"/>
                      <w:highlight w:val="none"/>
                      <w:lang w:val="en-US" w:eastAsia="zh-CN"/>
                    </w:rPr>
                    <w:t>）</w:t>
                  </w:r>
                </w:p>
              </w:tc>
              <w:tc>
                <w:tcPr>
                  <w:tcW w:w="255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eastAsia="宋体"/>
                      <w:color w:val="auto"/>
                      <w:highlight w:val="none"/>
                      <w:lang w:val="en-US" w:eastAsia="zh-CN"/>
                    </w:rPr>
                  </w:pPr>
                  <w:r>
                    <w:rPr>
                      <w:rFonts w:hint="eastAsia"/>
                      <w:color w:val="auto"/>
                      <w:highlight w:val="none"/>
                      <w:lang w:val="en-US" w:eastAsia="zh-CN"/>
                    </w:rPr>
                    <w:t>8</w:t>
                  </w:r>
                </w:p>
              </w:tc>
              <w:tc>
                <w:tcPr>
                  <w:tcW w:w="1317" w:type="dxa"/>
                  <w:tcBorders>
                    <w:righ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eastAsia="宋体"/>
                      <w:color w:val="auto"/>
                      <w:highlight w:val="none"/>
                      <w:lang w:val="en-US" w:eastAsia="zh-CN"/>
                    </w:rPr>
                  </w:pPr>
                  <w:r>
                    <w:rPr>
                      <w:rFonts w:hint="eastAsia"/>
                      <w:color w:val="auto"/>
                      <w:highlight w:val="none"/>
                      <w:lang w:val="en-US" w:eastAsia="zh-CN"/>
                    </w:rPr>
                    <w:t>0.5</w:t>
                  </w:r>
                </w:p>
              </w:tc>
              <w:tc>
                <w:tcPr>
                  <w:tcW w:w="2289" w:type="dxa"/>
                  <w:tcBorders>
                    <w:left w:val="single" w:color="auto" w:sz="4" w:space="0"/>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瞬时值</w:t>
                  </w:r>
                  <w:r>
                    <w:rPr>
                      <w:rFonts w:hint="eastAsia"/>
                      <w:color w:val="auto"/>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582" w:type="dxa"/>
                  <w:tcBorders>
                    <w:tl2br w:val="nil"/>
                    <w:tr2bl w:val="nil"/>
                  </w:tcBorders>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highlight w:val="none"/>
                      <w:lang w:val="en-US" w:eastAsia="zh-CN"/>
                    </w:rPr>
                  </w:pPr>
                  <w:r>
                    <w:rPr>
                      <w:rFonts w:hint="eastAsia"/>
                      <w:color w:val="auto"/>
                      <w:highlight w:val="none"/>
                      <w:lang w:val="en-US" w:eastAsia="zh-CN"/>
                    </w:rPr>
                    <w:t>8</w:t>
                  </w:r>
                </w:p>
              </w:tc>
              <w:tc>
                <w:tcPr>
                  <w:tcW w:w="1549"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基准排水量（m</w:t>
                  </w:r>
                  <w:r>
                    <w:rPr>
                      <w:rFonts w:hint="eastAsia"/>
                      <w:color w:val="auto"/>
                      <w:highlight w:val="none"/>
                      <w:vertAlign w:val="superscript"/>
                      <w:lang w:val="en-US" w:eastAsia="zh-CN"/>
                    </w:rPr>
                    <w:t>3</w:t>
                  </w:r>
                  <w:r>
                    <w:rPr>
                      <w:rFonts w:hint="eastAsia"/>
                      <w:color w:val="auto"/>
                      <w:highlight w:val="none"/>
                      <w:vertAlign w:val="baseline"/>
                      <w:lang w:val="en-US" w:eastAsia="zh-CN"/>
                    </w:rPr>
                    <w:t>/t产品</w:t>
                  </w:r>
                  <w:r>
                    <w:rPr>
                      <w:rFonts w:hint="eastAsia"/>
                      <w:color w:val="auto"/>
                      <w:highlight w:val="none"/>
                      <w:lang w:val="en-US" w:eastAsia="zh-CN"/>
                    </w:rPr>
                    <w:t>）</w:t>
                  </w:r>
                </w:p>
              </w:tc>
              <w:tc>
                <w:tcPr>
                  <w:tcW w:w="2552" w:type="dxa"/>
                  <w:tcBorders>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5（电子专用材料－其他）</w:t>
                  </w:r>
                </w:p>
              </w:tc>
              <w:tc>
                <w:tcPr>
                  <w:tcW w:w="1317" w:type="dxa"/>
                  <w:tcBorders>
                    <w:right w:val="single" w:color="auto" w:sz="4" w:space="0"/>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w:t>
                  </w:r>
                </w:p>
              </w:tc>
              <w:tc>
                <w:tcPr>
                  <w:tcW w:w="2289" w:type="dxa"/>
                  <w:tcBorders>
                    <w:left w:val="single" w:color="auto" w:sz="4" w:space="0"/>
                    <w:tl2br w:val="nil"/>
                    <w:tr2bl w:val="nil"/>
                  </w:tcBorders>
                  <w:shd w:val="clear" w:color="auto" w:fill="auto"/>
                  <w:vAlign w:val="center"/>
                </w:tcPr>
                <w:p>
                  <w:pPr>
                    <w:pStyle w:val="70"/>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highlight w:val="none"/>
                      <w:lang w:val="en-US" w:eastAsia="zh-CN"/>
                    </w:rPr>
                  </w:pPr>
                  <w:r>
                    <w:rPr>
                      <w:rFonts w:hint="eastAsia"/>
                      <w:color w:val="auto"/>
                      <w:highlight w:val="none"/>
                      <w:lang w:val="en-US" w:eastAsia="zh-CN"/>
                    </w:rPr>
                    <w:t>/</w:t>
                  </w:r>
                </w:p>
              </w:tc>
            </w:tr>
          </w:tbl>
          <w:p>
            <w:pPr>
              <w:pStyle w:val="68"/>
              <w:rPr>
                <w:color w:val="auto"/>
                <w:highlight w:val="none"/>
              </w:rPr>
            </w:pPr>
            <w:r>
              <w:rPr>
                <w:rFonts w:hint="eastAsia"/>
                <w:color w:val="auto"/>
                <w:highlight w:val="none"/>
              </w:rPr>
              <w:t>表3.3.</w:t>
            </w:r>
            <w:r>
              <w:rPr>
                <w:rFonts w:hint="eastAsia"/>
                <w:color w:val="auto"/>
                <w:highlight w:val="none"/>
                <w:lang w:val="en-US" w:eastAsia="zh-CN"/>
              </w:rPr>
              <w:t>3生活</w:t>
            </w:r>
            <w:r>
              <w:rPr>
                <w:rFonts w:hint="eastAsia"/>
                <w:color w:val="auto"/>
                <w:highlight w:val="none"/>
              </w:rPr>
              <w:t>污水排放标准一览表</w:t>
            </w:r>
          </w:p>
          <w:tbl>
            <w:tblPr>
              <w:tblStyle w:val="29"/>
              <w:tblW w:w="8231"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78"/>
              <w:gridCol w:w="1537"/>
              <w:gridCol w:w="2464"/>
              <w:gridCol w:w="1405"/>
              <w:gridCol w:w="22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78" w:type="dxa"/>
                  <w:vMerge w:val="restart"/>
                  <w:tcBorders>
                    <w:tl2br w:val="nil"/>
                    <w:tr2bl w:val="nil"/>
                  </w:tcBorders>
                  <w:vAlign w:val="center"/>
                </w:tcPr>
                <w:p>
                  <w:pPr>
                    <w:pStyle w:val="70"/>
                    <w:rPr>
                      <w:color w:val="auto"/>
                      <w:highlight w:val="none"/>
                    </w:rPr>
                  </w:pPr>
                  <w:r>
                    <w:rPr>
                      <w:rFonts w:hint="eastAsia"/>
                      <w:color w:val="auto"/>
                      <w:highlight w:val="none"/>
                    </w:rPr>
                    <w:t>序号</w:t>
                  </w:r>
                </w:p>
              </w:tc>
              <w:tc>
                <w:tcPr>
                  <w:tcW w:w="1537" w:type="dxa"/>
                  <w:vMerge w:val="restart"/>
                  <w:tcBorders>
                    <w:tl2br w:val="nil"/>
                    <w:tr2bl w:val="nil"/>
                  </w:tcBorders>
                  <w:vAlign w:val="center"/>
                </w:tcPr>
                <w:p>
                  <w:pPr>
                    <w:pStyle w:val="70"/>
                    <w:rPr>
                      <w:color w:val="auto"/>
                      <w:highlight w:val="none"/>
                    </w:rPr>
                  </w:pPr>
                  <w:r>
                    <w:rPr>
                      <w:rFonts w:hint="eastAsia"/>
                      <w:color w:val="auto"/>
                      <w:highlight w:val="none"/>
                    </w:rPr>
                    <w:t>项目</w:t>
                  </w:r>
                </w:p>
              </w:tc>
              <w:tc>
                <w:tcPr>
                  <w:tcW w:w="2464" w:type="dxa"/>
                  <w:tcBorders>
                    <w:tl2br w:val="nil"/>
                    <w:tr2bl w:val="nil"/>
                  </w:tcBorders>
                  <w:vAlign w:val="center"/>
                </w:tcPr>
                <w:p>
                  <w:pPr>
                    <w:pStyle w:val="70"/>
                    <w:rPr>
                      <w:color w:val="auto"/>
                      <w:highlight w:val="none"/>
                    </w:rPr>
                  </w:pPr>
                  <w:r>
                    <w:rPr>
                      <w:rFonts w:hint="eastAsia"/>
                      <w:color w:val="auto"/>
                      <w:highlight w:val="none"/>
                    </w:rPr>
                    <w:t>接管标准</w:t>
                  </w:r>
                </w:p>
              </w:tc>
              <w:tc>
                <w:tcPr>
                  <w:tcW w:w="3652" w:type="dxa"/>
                  <w:gridSpan w:val="2"/>
                  <w:tcBorders>
                    <w:tl2br w:val="nil"/>
                    <w:tr2bl w:val="nil"/>
                  </w:tcBorders>
                  <w:vAlign w:val="center"/>
                </w:tcPr>
                <w:p>
                  <w:pPr>
                    <w:pStyle w:val="70"/>
                    <w:rPr>
                      <w:color w:val="auto"/>
                      <w:highlight w:val="none"/>
                    </w:rPr>
                  </w:pPr>
                  <w:r>
                    <w:rPr>
                      <w:rFonts w:hint="eastAsia"/>
                      <w:color w:val="auto"/>
                      <w:highlight w:val="none"/>
                      <w:lang w:val="en-US" w:eastAsia="zh-CN"/>
                    </w:rPr>
                    <w:t>滨海工业区污水处理厂尾水</w:t>
                  </w:r>
                  <w:r>
                    <w:rPr>
                      <w:rFonts w:hint="eastAsia"/>
                      <w:color w:val="auto"/>
                      <w:highlight w:val="none"/>
                    </w:rPr>
                    <w:t>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78" w:type="dxa"/>
                  <w:vMerge w:val="continue"/>
                  <w:tcBorders>
                    <w:tl2br w:val="nil"/>
                    <w:tr2bl w:val="nil"/>
                  </w:tcBorders>
                  <w:vAlign w:val="center"/>
                </w:tcPr>
                <w:p>
                  <w:pPr>
                    <w:pStyle w:val="70"/>
                    <w:rPr>
                      <w:color w:val="auto"/>
                      <w:highlight w:val="none"/>
                    </w:rPr>
                  </w:pPr>
                </w:p>
              </w:tc>
              <w:tc>
                <w:tcPr>
                  <w:tcW w:w="1537" w:type="dxa"/>
                  <w:vMerge w:val="continue"/>
                  <w:tcBorders>
                    <w:tl2br w:val="nil"/>
                    <w:tr2bl w:val="nil"/>
                  </w:tcBorders>
                  <w:vAlign w:val="center"/>
                </w:tcPr>
                <w:p>
                  <w:pPr>
                    <w:pStyle w:val="70"/>
                    <w:rPr>
                      <w:color w:val="auto"/>
                      <w:highlight w:val="none"/>
                    </w:rPr>
                  </w:pPr>
                </w:p>
              </w:tc>
              <w:tc>
                <w:tcPr>
                  <w:tcW w:w="2464" w:type="dxa"/>
                  <w:tcBorders>
                    <w:tl2br w:val="nil"/>
                    <w:tr2bl w:val="nil"/>
                  </w:tcBorders>
                  <w:vAlign w:val="center"/>
                </w:tcPr>
                <w:p>
                  <w:pPr>
                    <w:pStyle w:val="70"/>
                    <w:rPr>
                      <w:b/>
                      <w:bCs/>
                      <w:color w:val="auto"/>
                      <w:highlight w:val="none"/>
                    </w:rPr>
                  </w:pPr>
                  <w:r>
                    <w:rPr>
                      <w:rFonts w:hint="eastAsia"/>
                      <w:color w:val="auto"/>
                      <w:highlight w:val="none"/>
                    </w:rPr>
                    <w:t>《污水综合排放标准》（GB8978-1996）表4三级排放标准</w:t>
                  </w:r>
                </w:p>
              </w:tc>
              <w:tc>
                <w:tcPr>
                  <w:tcW w:w="3652" w:type="dxa"/>
                  <w:gridSpan w:val="2"/>
                  <w:tcBorders>
                    <w:tl2br w:val="nil"/>
                    <w:tr2bl w:val="nil"/>
                  </w:tcBorders>
                  <w:vAlign w:val="center"/>
                </w:tcPr>
                <w:p>
                  <w:pPr>
                    <w:pStyle w:val="70"/>
                    <w:rPr>
                      <w:color w:val="auto"/>
                      <w:highlight w:val="none"/>
                    </w:rPr>
                  </w:pPr>
                  <w:r>
                    <w:rPr>
                      <w:rFonts w:hint="eastAsia"/>
                      <w:color w:val="auto"/>
                      <w:highlight w:val="none"/>
                    </w:rPr>
                    <w:t>《城镇污水处理厂污染物排放标准》（GB18918-2002）</w:t>
                  </w:r>
                  <w:r>
                    <w:rPr>
                      <w:rFonts w:hint="eastAsia"/>
                      <w:color w:val="auto"/>
                      <w:highlight w:val="none"/>
                      <w:lang w:val="en-US" w:eastAsia="zh-CN"/>
                    </w:rPr>
                    <w:t>及2025年修改单</w:t>
                  </w:r>
                  <w:r>
                    <w:rPr>
                      <w:rFonts w:hint="eastAsia"/>
                      <w:color w:val="auto"/>
                      <w:highlight w:val="none"/>
                    </w:rPr>
                    <w:t>中一级A排放标准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78" w:type="dxa"/>
                  <w:tcBorders>
                    <w:tl2br w:val="nil"/>
                    <w:tr2bl w:val="nil"/>
                  </w:tcBorders>
                  <w:vAlign w:val="center"/>
                </w:tcPr>
                <w:p>
                  <w:pPr>
                    <w:pStyle w:val="70"/>
                    <w:rPr>
                      <w:color w:val="auto"/>
                      <w:highlight w:val="none"/>
                    </w:rPr>
                  </w:pPr>
                  <w:r>
                    <w:rPr>
                      <w:rFonts w:hint="eastAsia"/>
                      <w:color w:val="auto"/>
                      <w:highlight w:val="none"/>
                    </w:rPr>
                    <w:t>1</w:t>
                  </w:r>
                </w:p>
              </w:tc>
              <w:tc>
                <w:tcPr>
                  <w:tcW w:w="1537" w:type="dxa"/>
                  <w:tcBorders>
                    <w:tl2br w:val="nil"/>
                    <w:tr2bl w:val="nil"/>
                  </w:tcBorders>
                  <w:vAlign w:val="center"/>
                </w:tcPr>
                <w:p>
                  <w:pPr>
                    <w:pStyle w:val="70"/>
                    <w:rPr>
                      <w:color w:val="auto"/>
                      <w:highlight w:val="none"/>
                    </w:rPr>
                  </w:pPr>
                  <w:r>
                    <w:rPr>
                      <w:rFonts w:hint="eastAsia"/>
                      <w:color w:val="auto"/>
                      <w:highlight w:val="none"/>
                    </w:rPr>
                    <w:t>pH（无量纲）</w:t>
                  </w:r>
                </w:p>
              </w:tc>
              <w:tc>
                <w:tcPr>
                  <w:tcW w:w="2464" w:type="dxa"/>
                  <w:tcBorders>
                    <w:tl2br w:val="nil"/>
                    <w:tr2bl w:val="nil"/>
                  </w:tcBorders>
                  <w:vAlign w:val="center"/>
                </w:tcPr>
                <w:p>
                  <w:pPr>
                    <w:pStyle w:val="70"/>
                    <w:rPr>
                      <w:color w:val="auto"/>
                      <w:highlight w:val="none"/>
                    </w:rPr>
                  </w:pPr>
                  <w:r>
                    <w:rPr>
                      <w:rFonts w:hint="eastAsia"/>
                      <w:color w:val="auto"/>
                      <w:highlight w:val="none"/>
                    </w:rPr>
                    <w:t>6~9</w:t>
                  </w:r>
                </w:p>
              </w:tc>
              <w:tc>
                <w:tcPr>
                  <w:tcW w:w="1405" w:type="dxa"/>
                  <w:tcBorders>
                    <w:right w:val="single" w:color="auto" w:sz="4" w:space="0"/>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w:t>
                  </w:r>
                </w:p>
              </w:tc>
              <w:tc>
                <w:tcPr>
                  <w:tcW w:w="2247" w:type="dxa"/>
                  <w:tcBorders>
                    <w:left w:val="single" w:color="auto" w:sz="4" w:space="0"/>
                    <w:tl2br w:val="nil"/>
                    <w:tr2bl w:val="nil"/>
                  </w:tcBorders>
                  <w:vAlign w:val="center"/>
                </w:tcPr>
                <w:p>
                  <w:pPr>
                    <w:pStyle w:val="70"/>
                    <w:rPr>
                      <w:rFonts w:hint="eastAsia"/>
                      <w:color w:val="auto"/>
                      <w:highlight w:val="none"/>
                    </w:rPr>
                  </w:pPr>
                  <w:r>
                    <w:rPr>
                      <w:rFonts w:hint="eastAsia"/>
                      <w:color w:val="auto"/>
                      <w:highlight w:val="none"/>
                    </w:rPr>
                    <w:t>6~9</w:t>
                  </w:r>
                  <w:r>
                    <w:rPr>
                      <w:rFonts w:hint="eastAsia"/>
                      <w:color w:val="auto"/>
                      <w:highlight w:val="none"/>
                      <w:lang w:eastAsia="zh-CN"/>
                    </w:rPr>
                    <w:t>（</w:t>
                  </w:r>
                  <w:r>
                    <w:rPr>
                      <w:rFonts w:hint="eastAsia"/>
                      <w:color w:val="auto"/>
                      <w:highlight w:val="none"/>
                      <w:lang w:val="en-US" w:eastAsia="zh-CN"/>
                    </w:rPr>
                    <w:t>瞬时值</w:t>
                  </w:r>
                  <w:r>
                    <w:rPr>
                      <w:rFonts w:hint="eastAsia"/>
                      <w:color w:val="auto"/>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78" w:type="dxa"/>
                  <w:tcBorders>
                    <w:tl2br w:val="nil"/>
                    <w:tr2bl w:val="nil"/>
                  </w:tcBorders>
                  <w:vAlign w:val="center"/>
                </w:tcPr>
                <w:p>
                  <w:pPr>
                    <w:pStyle w:val="70"/>
                    <w:rPr>
                      <w:color w:val="auto"/>
                      <w:highlight w:val="none"/>
                    </w:rPr>
                  </w:pPr>
                  <w:r>
                    <w:rPr>
                      <w:rFonts w:hint="eastAsia"/>
                      <w:color w:val="auto"/>
                      <w:highlight w:val="none"/>
                    </w:rPr>
                    <w:t>2</w:t>
                  </w:r>
                </w:p>
              </w:tc>
              <w:tc>
                <w:tcPr>
                  <w:tcW w:w="1537" w:type="dxa"/>
                  <w:tcBorders>
                    <w:tl2br w:val="nil"/>
                    <w:tr2bl w:val="nil"/>
                  </w:tcBorders>
                  <w:vAlign w:val="center"/>
                </w:tcPr>
                <w:p>
                  <w:pPr>
                    <w:pStyle w:val="70"/>
                    <w:rPr>
                      <w:color w:val="auto"/>
                      <w:highlight w:val="none"/>
                    </w:rPr>
                  </w:pPr>
                  <w:r>
                    <w:rPr>
                      <w:rFonts w:hint="eastAsia"/>
                      <w:color w:val="auto"/>
                      <w:highlight w:val="none"/>
                    </w:rPr>
                    <w:t>COD</w:t>
                  </w:r>
                  <w:r>
                    <w:rPr>
                      <w:rFonts w:hint="eastAsia"/>
                      <w:color w:val="auto"/>
                      <w:highlight w:val="none"/>
                      <w:lang w:eastAsia="zh-CN"/>
                    </w:rPr>
                    <w:t>(</w:t>
                  </w:r>
                  <w:r>
                    <w:rPr>
                      <w:rFonts w:hint="eastAsia"/>
                      <w:color w:val="auto"/>
                      <w:highlight w:val="none"/>
                    </w:rPr>
                    <w:t>mg/L</w:t>
                  </w:r>
                  <w:r>
                    <w:rPr>
                      <w:rFonts w:hint="eastAsia"/>
                      <w:color w:val="auto"/>
                      <w:highlight w:val="none"/>
                      <w:lang w:eastAsia="zh-CN"/>
                    </w:rPr>
                    <w:t>)</w:t>
                  </w:r>
                </w:p>
              </w:tc>
              <w:tc>
                <w:tcPr>
                  <w:tcW w:w="2464" w:type="dxa"/>
                  <w:tcBorders>
                    <w:tl2br w:val="nil"/>
                    <w:tr2bl w:val="nil"/>
                  </w:tcBorders>
                  <w:vAlign w:val="center"/>
                </w:tcPr>
                <w:p>
                  <w:pPr>
                    <w:pStyle w:val="70"/>
                    <w:rPr>
                      <w:color w:val="auto"/>
                      <w:highlight w:val="none"/>
                    </w:rPr>
                  </w:pPr>
                  <w:r>
                    <w:rPr>
                      <w:rFonts w:hint="eastAsia"/>
                      <w:color w:val="auto"/>
                      <w:highlight w:val="none"/>
                    </w:rPr>
                    <w:t>500</w:t>
                  </w:r>
                </w:p>
              </w:tc>
              <w:tc>
                <w:tcPr>
                  <w:tcW w:w="1405" w:type="dxa"/>
                  <w:tcBorders>
                    <w:right w:val="single" w:color="auto" w:sz="4" w:space="0"/>
                    <w:tl2br w:val="nil"/>
                    <w:tr2bl w:val="nil"/>
                  </w:tcBorders>
                  <w:vAlign w:val="center"/>
                </w:tcPr>
                <w:p>
                  <w:pPr>
                    <w:pStyle w:val="70"/>
                    <w:rPr>
                      <w:color w:val="auto"/>
                      <w:highlight w:val="none"/>
                    </w:rPr>
                  </w:pPr>
                  <w:r>
                    <w:rPr>
                      <w:rFonts w:hint="eastAsia"/>
                      <w:color w:val="auto"/>
                      <w:highlight w:val="none"/>
                    </w:rPr>
                    <w:t>50</w:t>
                  </w:r>
                </w:p>
              </w:tc>
              <w:tc>
                <w:tcPr>
                  <w:tcW w:w="2247" w:type="dxa"/>
                  <w:tcBorders>
                    <w:left w:val="single" w:color="auto" w:sz="4" w:space="0"/>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75</w:t>
                  </w:r>
                  <w:r>
                    <w:rPr>
                      <w:rFonts w:hint="eastAsia"/>
                      <w:color w:val="auto"/>
                      <w:highlight w:val="none"/>
                      <w:lang w:eastAsia="zh-CN"/>
                    </w:rPr>
                    <w:t>（</w:t>
                  </w:r>
                  <w:r>
                    <w:rPr>
                      <w:rFonts w:hint="eastAsia"/>
                      <w:color w:val="auto"/>
                      <w:highlight w:val="none"/>
                      <w:lang w:val="en-US" w:eastAsia="zh-CN"/>
                    </w:rPr>
                    <w:t>瞬时值</w:t>
                  </w:r>
                  <w:r>
                    <w:rPr>
                      <w:rFonts w:hint="eastAsia"/>
                      <w:color w:val="auto"/>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78" w:type="dxa"/>
                  <w:tcBorders>
                    <w:tl2br w:val="nil"/>
                    <w:tr2bl w:val="nil"/>
                  </w:tcBorders>
                  <w:vAlign w:val="center"/>
                </w:tcPr>
                <w:p>
                  <w:pPr>
                    <w:pStyle w:val="70"/>
                    <w:rPr>
                      <w:color w:val="auto"/>
                      <w:highlight w:val="none"/>
                    </w:rPr>
                  </w:pPr>
                  <w:r>
                    <w:rPr>
                      <w:rFonts w:hint="eastAsia"/>
                      <w:color w:val="auto"/>
                      <w:highlight w:val="none"/>
                    </w:rPr>
                    <w:t>3</w:t>
                  </w:r>
                </w:p>
              </w:tc>
              <w:tc>
                <w:tcPr>
                  <w:tcW w:w="1537" w:type="dxa"/>
                  <w:tcBorders>
                    <w:tl2br w:val="nil"/>
                    <w:tr2bl w:val="nil"/>
                  </w:tcBorders>
                  <w:vAlign w:val="center"/>
                </w:tcPr>
                <w:p>
                  <w:pPr>
                    <w:pStyle w:val="70"/>
                    <w:rPr>
                      <w:color w:val="auto"/>
                      <w:highlight w:val="none"/>
                    </w:rPr>
                  </w:pPr>
                  <w:r>
                    <w:rPr>
                      <w:rFonts w:hint="eastAsia"/>
                      <w:color w:val="auto"/>
                      <w:highlight w:val="none"/>
                    </w:rPr>
                    <w:t>BOD</w:t>
                  </w:r>
                  <w:r>
                    <w:rPr>
                      <w:rFonts w:hint="eastAsia"/>
                      <w:color w:val="auto"/>
                      <w:highlight w:val="none"/>
                      <w:vertAlign w:val="subscript"/>
                    </w:rPr>
                    <w:t>5</w:t>
                  </w:r>
                  <w:r>
                    <w:rPr>
                      <w:rFonts w:hint="eastAsia"/>
                      <w:color w:val="auto"/>
                      <w:highlight w:val="none"/>
                      <w:vertAlign w:val="subscript"/>
                      <w:lang w:eastAsia="zh-CN"/>
                    </w:rPr>
                    <w:t>(</w:t>
                  </w:r>
                  <w:r>
                    <w:rPr>
                      <w:rFonts w:hint="eastAsia"/>
                      <w:color w:val="auto"/>
                      <w:highlight w:val="none"/>
                    </w:rPr>
                    <w:t>mg/L</w:t>
                  </w:r>
                  <w:r>
                    <w:rPr>
                      <w:rFonts w:hint="eastAsia"/>
                      <w:color w:val="auto"/>
                      <w:highlight w:val="none"/>
                      <w:lang w:eastAsia="zh-CN"/>
                    </w:rPr>
                    <w:t>)</w:t>
                  </w:r>
                </w:p>
              </w:tc>
              <w:tc>
                <w:tcPr>
                  <w:tcW w:w="2464" w:type="dxa"/>
                  <w:tcBorders>
                    <w:tl2br w:val="nil"/>
                    <w:tr2bl w:val="nil"/>
                  </w:tcBorders>
                  <w:vAlign w:val="center"/>
                </w:tcPr>
                <w:p>
                  <w:pPr>
                    <w:pStyle w:val="70"/>
                    <w:rPr>
                      <w:color w:val="auto"/>
                      <w:highlight w:val="none"/>
                    </w:rPr>
                  </w:pPr>
                  <w:r>
                    <w:rPr>
                      <w:rFonts w:hint="eastAsia"/>
                      <w:color w:val="auto"/>
                      <w:highlight w:val="none"/>
                    </w:rPr>
                    <w:t>300</w:t>
                  </w:r>
                </w:p>
              </w:tc>
              <w:tc>
                <w:tcPr>
                  <w:tcW w:w="1405" w:type="dxa"/>
                  <w:tcBorders>
                    <w:right w:val="single" w:color="auto" w:sz="4" w:space="0"/>
                    <w:tl2br w:val="nil"/>
                    <w:tr2bl w:val="nil"/>
                  </w:tcBorders>
                  <w:vAlign w:val="center"/>
                </w:tcPr>
                <w:p>
                  <w:pPr>
                    <w:pStyle w:val="70"/>
                    <w:rPr>
                      <w:color w:val="auto"/>
                      <w:highlight w:val="none"/>
                    </w:rPr>
                  </w:pPr>
                  <w:r>
                    <w:rPr>
                      <w:rFonts w:hint="eastAsia"/>
                      <w:color w:val="auto"/>
                      <w:highlight w:val="none"/>
                    </w:rPr>
                    <w:t>10</w:t>
                  </w:r>
                </w:p>
              </w:tc>
              <w:tc>
                <w:tcPr>
                  <w:tcW w:w="2247" w:type="dxa"/>
                  <w:tcBorders>
                    <w:left w:val="single" w:color="auto" w:sz="4" w:space="0"/>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78" w:type="dxa"/>
                  <w:tcBorders>
                    <w:tl2br w:val="nil"/>
                    <w:tr2bl w:val="nil"/>
                  </w:tcBorders>
                  <w:vAlign w:val="center"/>
                </w:tcPr>
                <w:p>
                  <w:pPr>
                    <w:pStyle w:val="70"/>
                    <w:rPr>
                      <w:color w:val="auto"/>
                      <w:highlight w:val="none"/>
                    </w:rPr>
                  </w:pPr>
                  <w:r>
                    <w:rPr>
                      <w:rFonts w:hint="eastAsia"/>
                      <w:color w:val="auto"/>
                      <w:highlight w:val="none"/>
                    </w:rPr>
                    <w:t>4</w:t>
                  </w:r>
                </w:p>
              </w:tc>
              <w:tc>
                <w:tcPr>
                  <w:tcW w:w="1537" w:type="dxa"/>
                  <w:tcBorders>
                    <w:tl2br w:val="nil"/>
                    <w:tr2bl w:val="nil"/>
                  </w:tcBorders>
                  <w:vAlign w:val="center"/>
                </w:tcPr>
                <w:p>
                  <w:pPr>
                    <w:pStyle w:val="70"/>
                    <w:rPr>
                      <w:color w:val="auto"/>
                      <w:highlight w:val="none"/>
                    </w:rPr>
                  </w:pPr>
                  <w:r>
                    <w:rPr>
                      <w:rFonts w:hint="eastAsia"/>
                      <w:color w:val="auto"/>
                      <w:highlight w:val="none"/>
                    </w:rPr>
                    <w:t>SS</w:t>
                  </w:r>
                  <w:r>
                    <w:rPr>
                      <w:rFonts w:hint="eastAsia"/>
                      <w:color w:val="auto"/>
                      <w:highlight w:val="none"/>
                      <w:lang w:eastAsia="zh-CN"/>
                    </w:rPr>
                    <w:t>(</w:t>
                  </w:r>
                  <w:r>
                    <w:rPr>
                      <w:rFonts w:hint="eastAsia"/>
                      <w:color w:val="auto"/>
                      <w:highlight w:val="none"/>
                    </w:rPr>
                    <w:t>mg/L</w:t>
                  </w:r>
                  <w:r>
                    <w:rPr>
                      <w:rFonts w:hint="eastAsia"/>
                      <w:color w:val="auto"/>
                      <w:highlight w:val="none"/>
                      <w:lang w:eastAsia="zh-CN"/>
                    </w:rPr>
                    <w:t>)</w:t>
                  </w:r>
                </w:p>
              </w:tc>
              <w:tc>
                <w:tcPr>
                  <w:tcW w:w="2464" w:type="dxa"/>
                  <w:tcBorders>
                    <w:tl2br w:val="nil"/>
                    <w:tr2bl w:val="nil"/>
                  </w:tcBorders>
                  <w:vAlign w:val="center"/>
                </w:tcPr>
                <w:p>
                  <w:pPr>
                    <w:pStyle w:val="70"/>
                    <w:rPr>
                      <w:color w:val="auto"/>
                      <w:highlight w:val="none"/>
                    </w:rPr>
                  </w:pPr>
                  <w:r>
                    <w:rPr>
                      <w:rFonts w:hint="eastAsia"/>
                      <w:color w:val="auto"/>
                      <w:highlight w:val="none"/>
                    </w:rPr>
                    <w:t>400</w:t>
                  </w:r>
                </w:p>
              </w:tc>
              <w:tc>
                <w:tcPr>
                  <w:tcW w:w="1405" w:type="dxa"/>
                  <w:tcBorders>
                    <w:right w:val="single" w:color="auto" w:sz="4" w:space="0"/>
                    <w:tl2br w:val="nil"/>
                    <w:tr2bl w:val="nil"/>
                  </w:tcBorders>
                  <w:vAlign w:val="center"/>
                </w:tcPr>
                <w:p>
                  <w:pPr>
                    <w:pStyle w:val="70"/>
                    <w:rPr>
                      <w:color w:val="auto"/>
                      <w:highlight w:val="none"/>
                    </w:rPr>
                  </w:pPr>
                  <w:r>
                    <w:rPr>
                      <w:rFonts w:hint="eastAsia"/>
                      <w:color w:val="auto"/>
                      <w:highlight w:val="none"/>
                    </w:rPr>
                    <w:t>10</w:t>
                  </w:r>
                </w:p>
              </w:tc>
              <w:tc>
                <w:tcPr>
                  <w:tcW w:w="2247" w:type="dxa"/>
                  <w:tcBorders>
                    <w:left w:val="single" w:color="auto" w:sz="4" w:space="0"/>
                    <w:tl2br w:val="nil"/>
                    <w:tr2bl w:val="nil"/>
                  </w:tcBorders>
                  <w:vAlign w:val="center"/>
                </w:tcPr>
                <w:p>
                  <w:pPr>
                    <w:pStyle w:val="70"/>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78" w:type="dxa"/>
                  <w:tcBorders>
                    <w:tl2br w:val="nil"/>
                    <w:tr2bl w:val="nil"/>
                  </w:tcBorders>
                  <w:vAlign w:val="center"/>
                </w:tcPr>
                <w:p>
                  <w:pPr>
                    <w:pStyle w:val="70"/>
                    <w:rPr>
                      <w:color w:val="auto"/>
                      <w:highlight w:val="none"/>
                    </w:rPr>
                  </w:pPr>
                  <w:r>
                    <w:rPr>
                      <w:rFonts w:hint="eastAsia"/>
                      <w:color w:val="auto"/>
                      <w:highlight w:val="none"/>
                    </w:rPr>
                    <w:t>5</w:t>
                  </w:r>
                </w:p>
              </w:tc>
              <w:tc>
                <w:tcPr>
                  <w:tcW w:w="1537" w:type="dxa"/>
                  <w:tcBorders>
                    <w:tl2br w:val="nil"/>
                    <w:tr2bl w:val="nil"/>
                  </w:tcBorders>
                  <w:vAlign w:val="center"/>
                </w:tcPr>
                <w:p>
                  <w:pPr>
                    <w:pStyle w:val="70"/>
                    <w:rPr>
                      <w:color w:val="auto"/>
                      <w:highlight w:val="none"/>
                    </w:rPr>
                  </w:pPr>
                  <w:r>
                    <w:rPr>
                      <w:rFonts w:hint="eastAsia"/>
                      <w:color w:val="auto"/>
                      <w:highlight w:val="none"/>
                    </w:rPr>
                    <w:t>石油类（mg/L）</w:t>
                  </w:r>
                </w:p>
              </w:tc>
              <w:tc>
                <w:tcPr>
                  <w:tcW w:w="2464" w:type="dxa"/>
                  <w:tcBorders>
                    <w:tl2br w:val="nil"/>
                    <w:tr2bl w:val="nil"/>
                  </w:tcBorders>
                  <w:vAlign w:val="center"/>
                </w:tcPr>
                <w:p>
                  <w:pPr>
                    <w:pStyle w:val="70"/>
                    <w:rPr>
                      <w:color w:val="auto"/>
                      <w:highlight w:val="none"/>
                    </w:rPr>
                  </w:pPr>
                  <w:r>
                    <w:rPr>
                      <w:rFonts w:hint="eastAsia"/>
                      <w:color w:val="auto"/>
                      <w:highlight w:val="none"/>
                    </w:rPr>
                    <w:t>20</w:t>
                  </w:r>
                </w:p>
              </w:tc>
              <w:tc>
                <w:tcPr>
                  <w:tcW w:w="1405" w:type="dxa"/>
                  <w:tcBorders>
                    <w:right w:val="single" w:color="auto" w:sz="4" w:space="0"/>
                    <w:tl2br w:val="nil"/>
                    <w:tr2bl w:val="nil"/>
                  </w:tcBorders>
                  <w:vAlign w:val="center"/>
                </w:tcPr>
                <w:p>
                  <w:pPr>
                    <w:pStyle w:val="70"/>
                    <w:rPr>
                      <w:color w:val="auto"/>
                      <w:highlight w:val="none"/>
                    </w:rPr>
                  </w:pPr>
                  <w:r>
                    <w:rPr>
                      <w:rFonts w:hint="eastAsia"/>
                      <w:color w:val="auto"/>
                      <w:highlight w:val="none"/>
                    </w:rPr>
                    <w:t>1</w:t>
                  </w:r>
                </w:p>
              </w:tc>
              <w:tc>
                <w:tcPr>
                  <w:tcW w:w="2247" w:type="dxa"/>
                  <w:tcBorders>
                    <w:left w:val="single" w:color="auto" w:sz="4" w:space="0"/>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78" w:type="dxa"/>
                  <w:tcBorders>
                    <w:tl2br w:val="nil"/>
                    <w:tr2bl w:val="nil"/>
                  </w:tcBorders>
                  <w:vAlign w:val="center"/>
                </w:tcPr>
                <w:p>
                  <w:pPr>
                    <w:pStyle w:val="70"/>
                    <w:rPr>
                      <w:color w:val="auto"/>
                      <w:highlight w:val="none"/>
                    </w:rPr>
                  </w:pPr>
                  <w:r>
                    <w:rPr>
                      <w:rFonts w:hint="eastAsia"/>
                      <w:color w:val="auto"/>
                      <w:highlight w:val="none"/>
                    </w:rPr>
                    <w:t>6</w:t>
                  </w:r>
                </w:p>
              </w:tc>
              <w:tc>
                <w:tcPr>
                  <w:tcW w:w="1537" w:type="dxa"/>
                  <w:tcBorders>
                    <w:tl2br w:val="nil"/>
                    <w:tr2bl w:val="nil"/>
                  </w:tcBorders>
                  <w:vAlign w:val="center"/>
                </w:tcPr>
                <w:p>
                  <w:pPr>
                    <w:pStyle w:val="70"/>
                    <w:rPr>
                      <w:color w:val="auto"/>
                      <w:highlight w:val="none"/>
                    </w:rPr>
                  </w:pPr>
                  <w:r>
                    <w:rPr>
                      <w:rFonts w:hint="eastAsia"/>
                      <w:color w:val="auto"/>
                      <w:highlight w:val="none"/>
                    </w:rPr>
                    <w:t>氨氮（mg/L）</w:t>
                  </w:r>
                </w:p>
              </w:tc>
              <w:tc>
                <w:tcPr>
                  <w:tcW w:w="2464" w:type="dxa"/>
                  <w:tcBorders>
                    <w:tl2br w:val="nil"/>
                    <w:tr2bl w:val="nil"/>
                  </w:tcBorders>
                  <w:vAlign w:val="center"/>
                </w:tcPr>
                <w:p>
                  <w:pPr>
                    <w:pStyle w:val="70"/>
                    <w:rPr>
                      <w:color w:val="auto"/>
                      <w:highlight w:val="none"/>
                      <w:vertAlign w:val="superscript"/>
                    </w:rPr>
                  </w:pPr>
                  <w:r>
                    <w:rPr>
                      <w:rFonts w:hint="eastAsia"/>
                      <w:color w:val="auto"/>
                      <w:highlight w:val="none"/>
                    </w:rPr>
                    <w:t>45</w:t>
                  </w:r>
                  <w:r>
                    <w:rPr>
                      <w:rFonts w:hint="eastAsia"/>
                      <w:color w:val="auto"/>
                      <w:highlight w:val="none"/>
                      <w:vertAlign w:val="superscript"/>
                    </w:rPr>
                    <w:t>a</w:t>
                  </w:r>
                </w:p>
              </w:tc>
              <w:tc>
                <w:tcPr>
                  <w:tcW w:w="1405" w:type="dxa"/>
                  <w:tcBorders>
                    <w:right w:val="single" w:color="auto" w:sz="4" w:space="0"/>
                    <w:tl2br w:val="nil"/>
                    <w:tr2bl w:val="nil"/>
                  </w:tcBorders>
                  <w:vAlign w:val="center"/>
                </w:tcPr>
                <w:p>
                  <w:pPr>
                    <w:pStyle w:val="70"/>
                    <w:rPr>
                      <w:color w:val="auto"/>
                      <w:highlight w:val="none"/>
                      <w:vertAlign w:val="superscript"/>
                    </w:rPr>
                  </w:pPr>
                  <w:r>
                    <w:rPr>
                      <w:rFonts w:hint="eastAsia"/>
                      <w:color w:val="auto"/>
                      <w:highlight w:val="none"/>
                    </w:rPr>
                    <w:t>5</w:t>
                  </w:r>
                  <w:r>
                    <w:rPr>
                      <w:rFonts w:hint="eastAsia"/>
                      <w:color w:val="auto"/>
                      <w:highlight w:val="none"/>
                      <w:lang w:eastAsia="zh-CN"/>
                    </w:rPr>
                    <w:t>(</w:t>
                  </w:r>
                  <w:r>
                    <w:rPr>
                      <w:rFonts w:hint="eastAsia"/>
                      <w:color w:val="auto"/>
                      <w:highlight w:val="none"/>
                    </w:rPr>
                    <w:t>8</w:t>
                  </w:r>
                  <w:r>
                    <w:rPr>
                      <w:rFonts w:hint="eastAsia"/>
                      <w:color w:val="auto"/>
                      <w:highlight w:val="none"/>
                      <w:lang w:eastAsia="zh-CN"/>
                    </w:rPr>
                    <w:t>)</w:t>
                  </w:r>
                  <w:r>
                    <w:rPr>
                      <w:rFonts w:hint="eastAsia"/>
                      <w:color w:val="auto"/>
                      <w:highlight w:val="none"/>
                      <w:vertAlign w:val="superscript"/>
                    </w:rPr>
                    <w:t>b</w:t>
                  </w:r>
                </w:p>
              </w:tc>
              <w:tc>
                <w:tcPr>
                  <w:tcW w:w="2247" w:type="dxa"/>
                  <w:tcBorders>
                    <w:left w:val="single" w:color="auto" w:sz="4" w:space="0"/>
                    <w:tl2br w:val="nil"/>
                    <w:tr2bl w:val="nil"/>
                  </w:tcBorders>
                  <w:vAlign w:val="center"/>
                </w:tcPr>
                <w:p>
                  <w:pPr>
                    <w:pStyle w:val="70"/>
                    <w:rPr>
                      <w:rFonts w:hint="eastAsia"/>
                      <w:color w:val="auto"/>
                      <w:highlight w:val="none"/>
                    </w:rPr>
                  </w:pPr>
                  <w:r>
                    <w:rPr>
                      <w:rFonts w:hint="eastAsia"/>
                      <w:color w:val="auto"/>
                      <w:highlight w:val="none"/>
                      <w:lang w:val="en-US" w:eastAsia="zh-CN"/>
                    </w:rPr>
                    <w:t>10</w:t>
                  </w:r>
                  <w:r>
                    <w:rPr>
                      <w:rFonts w:hint="eastAsia"/>
                      <w:color w:val="auto"/>
                      <w:highlight w:val="none"/>
                    </w:rPr>
                    <w:t>（</w:t>
                  </w:r>
                  <w:r>
                    <w:rPr>
                      <w:rFonts w:hint="eastAsia"/>
                      <w:color w:val="auto"/>
                      <w:highlight w:val="none"/>
                      <w:lang w:val="en-US" w:eastAsia="zh-CN"/>
                    </w:rPr>
                    <w:t>15</w:t>
                  </w:r>
                  <w:r>
                    <w:rPr>
                      <w:rFonts w:hint="eastAsia"/>
                      <w:color w:val="auto"/>
                      <w:highlight w:val="none"/>
                    </w:rPr>
                    <w:t>）</w:t>
                  </w:r>
                  <w:r>
                    <w:rPr>
                      <w:rFonts w:hint="eastAsia"/>
                      <w:color w:val="auto"/>
                      <w:highlight w:val="none"/>
                      <w:vertAlign w:val="superscript"/>
                    </w:rPr>
                    <w:t>b</w:t>
                  </w:r>
                  <w:r>
                    <w:rPr>
                      <w:rFonts w:hint="eastAsia"/>
                      <w:color w:val="auto"/>
                      <w:highlight w:val="none"/>
                      <w:lang w:eastAsia="zh-CN"/>
                    </w:rPr>
                    <w:t>（</w:t>
                  </w:r>
                  <w:r>
                    <w:rPr>
                      <w:rFonts w:hint="eastAsia"/>
                      <w:color w:val="auto"/>
                      <w:highlight w:val="none"/>
                      <w:lang w:val="en-US" w:eastAsia="zh-CN"/>
                    </w:rPr>
                    <w:t>瞬时值</w:t>
                  </w:r>
                  <w:r>
                    <w:rPr>
                      <w:rFonts w:hint="eastAsia"/>
                      <w:color w:val="auto"/>
                      <w:highlight w:val="none"/>
                      <w:lang w:eastAsia="zh-CN"/>
                    </w:rPr>
                    <w:t>）</w:t>
                  </w:r>
                </w:p>
              </w:tc>
            </w:tr>
          </w:tbl>
          <w:p>
            <w:pPr>
              <w:pStyle w:val="70"/>
              <w:jc w:val="both"/>
              <w:rPr>
                <w:color w:val="auto"/>
                <w:highlight w:val="none"/>
              </w:rPr>
            </w:pPr>
            <w:r>
              <w:rPr>
                <w:rFonts w:hint="eastAsia"/>
                <w:color w:val="auto"/>
                <w:highlight w:val="none"/>
              </w:rPr>
              <w:t>注：a氨氮参照执行《污水排入城镇下水道水质标准》（GB/T31962-2015）表1中的B级标准。</w:t>
            </w:r>
          </w:p>
          <w:p>
            <w:pPr>
              <w:pStyle w:val="70"/>
              <w:ind w:firstLine="420" w:firstLineChars="200"/>
              <w:jc w:val="both"/>
              <w:rPr>
                <w:color w:val="auto"/>
                <w:highlight w:val="none"/>
              </w:rPr>
            </w:pPr>
            <w:r>
              <w:rPr>
                <w:rFonts w:hint="eastAsia"/>
                <w:color w:val="auto"/>
                <w:highlight w:val="none"/>
              </w:rPr>
              <w:t>b括号外数值为水温</w:t>
            </w:r>
            <w:r>
              <w:rPr>
                <w:rFonts w:eastAsia="微软雅黑"/>
                <w:color w:val="auto"/>
                <w:highlight w:val="none"/>
              </w:rPr>
              <w:t>&gt;</w:t>
            </w:r>
            <w:r>
              <w:rPr>
                <w:rFonts w:hint="eastAsia" w:eastAsia="微软雅黑"/>
                <w:color w:val="auto"/>
                <w:highlight w:val="none"/>
              </w:rPr>
              <w:t>12</w:t>
            </w:r>
            <w:r>
              <w:rPr>
                <w:color w:val="auto"/>
                <w:highlight w:val="none"/>
              </w:rPr>
              <w:t>℃</w:t>
            </w:r>
            <w:r>
              <w:rPr>
                <w:rFonts w:hint="eastAsia"/>
                <w:color w:val="auto"/>
                <w:highlight w:val="none"/>
              </w:rPr>
              <w:t>时的控制指标，括号内数值为水温</w:t>
            </w:r>
            <w:r>
              <w:rPr>
                <w:color w:val="auto"/>
                <w:highlight w:val="none"/>
              </w:rPr>
              <w:t>≤</w:t>
            </w:r>
            <w:r>
              <w:rPr>
                <w:rFonts w:hint="eastAsia" w:eastAsia="微软雅黑"/>
                <w:color w:val="auto"/>
                <w:highlight w:val="none"/>
              </w:rPr>
              <w:t>12</w:t>
            </w:r>
            <w:r>
              <w:rPr>
                <w:color w:val="auto"/>
                <w:highlight w:val="none"/>
              </w:rPr>
              <w:t>℃</w:t>
            </w:r>
            <w:r>
              <w:rPr>
                <w:rFonts w:hint="eastAsia"/>
                <w:color w:val="auto"/>
                <w:highlight w:val="none"/>
              </w:rPr>
              <w:t>时的控制指标。</w:t>
            </w:r>
          </w:p>
          <w:p>
            <w:pPr>
              <w:pStyle w:val="72"/>
              <w:ind w:firstLine="480"/>
              <w:rPr>
                <w:rFonts w:hint="eastAsia"/>
                <w:color w:val="auto"/>
                <w:highlight w:val="none"/>
              </w:rPr>
            </w:pPr>
          </w:p>
          <w:p>
            <w:pPr>
              <w:pStyle w:val="72"/>
              <w:ind w:firstLine="480"/>
              <w:rPr>
                <w:color w:val="auto"/>
                <w:highlight w:val="none"/>
              </w:rPr>
            </w:pPr>
            <w:r>
              <w:rPr>
                <w:rFonts w:hint="eastAsia"/>
                <w:color w:val="auto"/>
                <w:highlight w:val="none"/>
              </w:rPr>
              <w:t>（3）噪声</w:t>
            </w:r>
          </w:p>
          <w:p>
            <w:pPr>
              <w:pStyle w:val="72"/>
              <w:ind w:firstLine="480"/>
              <w:rPr>
                <w:color w:val="auto"/>
                <w:highlight w:val="none"/>
              </w:rPr>
            </w:pPr>
            <w:r>
              <w:rPr>
                <w:rFonts w:hint="eastAsia"/>
                <w:color w:val="auto"/>
                <w:highlight w:val="none"/>
              </w:rPr>
              <w:t>施工噪声执行《建筑施工噪声排放标准》（GB12523-20</w:t>
            </w:r>
            <w:r>
              <w:rPr>
                <w:rFonts w:hint="eastAsia"/>
                <w:color w:val="auto"/>
                <w:highlight w:val="none"/>
                <w:lang w:val="en-US" w:eastAsia="zh-CN"/>
              </w:rPr>
              <w:t>25</w:t>
            </w:r>
            <w:r>
              <w:rPr>
                <w:rFonts w:hint="eastAsia"/>
                <w:color w:val="auto"/>
                <w:highlight w:val="none"/>
              </w:rPr>
              <w:t>），见表3.3.3。</w:t>
            </w:r>
          </w:p>
          <w:p>
            <w:pPr>
              <w:pStyle w:val="68"/>
              <w:rPr>
                <w:color w:val="auto"/>
                <w:highlight w:val="none"/>
              </w:rPr>
            </w:pPr>
            <w:r>
              <w:rPr>
                <w:rFonts w:hint="eastAsia"/>
                <w:color w:val="auto"/>
                <w:highlight w:val="none"/>
              </w:rPr>
              <w:t>表3.3.</w:t>
            </w:r>
            <w:r>
              <w:rPr>
                <w:rFonts w:hint="eastAsia"/>
                <w:color w:val="auto"/>
                <w:highlight w:val="none"/>
                <w:lang w:val="en-US" w:eastAsia="zh-CN"/>
              </w:rPr>
              <w:t>4</w:t>
            </w:r>
            <w:r>
              <w:rPr>
                <w:rFonts w:hint="eastAsia"/>
                <w:color w:val="auto"/>
                <w:highlight w:val="none"/>
              </w:rPr>
              <w:t>建筑施工噪声排放标准单位L</w:t>
            </w:r>
            <w:r>
              <w:rPr>
                <w:rFonts w:hint="eastAsia"/>
                <w:color w:val="auto"/>
                <w:highlight w:val="none"/>
                <w:vertAlign w:val="subscript"/>
              </w:rPr>
              <w:t>Aeq</w:t>
            </w:r>
            <w:r>
              <w:rPr>
                <w:rFonts w:hint="eastAsia"/>
                <w:color w:val="auto"/>
                <w:highlight w:val="none"/>
              </w:rPr>
              <w:t>（dB）</w:t>
            </w:r>
          </w:p>
          <w:tbl>
            <w:tblPr>
              <w:tblStyle w:val="29"/>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987"/>
              <w:gridCol w:w="39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3987" w:type="dxa"/>
                  <w:tcBorders>
                    <w:tl2br w:val="nil"/>
                    <w:tr2bl w:val="nil"/>
                  </w:tcBorders>
                </w:tcPr>
                <w:p>
                  <w:pPr>
                    <w:pStyle w:val="70"/>
                    <w:rPr>
                      <w:color w:val="auto"/>
                      <w:highlight w:val="none"/>
                    </w:rPr>
                  </w:pPr>
                  <w:r>
                    <w:rPr>
                      <w:rFonts w:hint="eastAsia"/>
                      <w:color w:val="auto"/>
                      <w:highlight w:val="none"/>
                    </w:rPr>
                    <w:t>昼间</w:t>
                  </w:r>
                </w:p>
              </w:tc>
              <w:tc>
                <w:tcPr>
                  <w:tcW w:w="3987" w:type="dxa"/>
                  <w:tcBorders>
                    <w:tl2br w:val="nil"/>
                    <w:tr2bl w:val="nil"/>
                  </w:tcBorders>
                </w:tcPr>
                <w:p>
                  <w:pPr>
                    <w:pStyle w:val="70"/>
                    <w:rPr>
                      <w:color w:val="auto"/>
                      <w:highlight w:val="none"/>
                    </w:rPr>
                  </w:pPr>
                  <w:r>
                    <w:rPr>
                      <w:rFonts w:hint="eastAsia"/>
                      <w:color w:val="auto"/>
                      <w:highlight w:val="none"/>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987" w:type="dxa"/>
                  <w:tcBorders>
                    <w:tl2br w:val="nil"/>
                    <w:tr2bl w:val="nil"/>
                  </w:tcBorders>
                </w:tcPr>
                <w:p>
                  <w:pPr>
                    <w:pStyle w:val="70"/>
                    <w:rPr>
                      <w:color w:val="auto"/>
                      <w:highlight w:val="none"/>
                    </w:rPr>
                  </w:pPr>
                  <w:r>
                    <w:rPr>
                      <w:rFonts w:hint="eastAsia"/>
                      <w:color w:val="auto"/>
                      <w:highlight w:val="none"/>
                    </w:rPr>
                    <w:t>70</w:t>
                  </w:r>
                </w:p>
              </w:tc>
              <w:tc>
                <w:tcPr>
                  <w:tcW w:w="3987" w:type="dxa"/>
                  <w:tcBorders>
                    <w:tl2br w:val="nil"/>
                    <w:tr2bl w:val="nil"/>
                  </w:tcBorders>
                </w:tcPr>
                <w:p>
                  <w:pPr>
                    <w:pStyle w:val="70"/>
                    <w:rPr>
                      <w:color w:val="auto"/>
                      <w:highlight w:val="none"/>
                    </w:rPr>
                  </w:pPr>
                  <w:r>
                    <w:rPr>
                      <w:rFonts w:hint="eastAsia"/>
                      <w:color w:val="auto"/>
                      <w:highlight w:val="none"/>
                    </w:rPr>
                    <w:t>55</w:t>
                  </w:r>
                </w:p>
              </w:tc>
            </w:tr>
          </w:tbl>
          <w:p>
            <w:pPr>
              <w:pStyle w:val="70"/>
              <w:rPr>
                <w:color w:val="auto"/>
                <w:highlight w:val="none"/>
              </w:rPr>
            </w:pPr>
          </w:p>
          <w:p>
            <w:pPr>
              <w:pStyle w:val="72"/>
              <w:ind w:firstLine="480"/>
              <w:rPr>
                <w:color w:val="auto"/>
                <w:highlight w:val="none"/>
              </w:rPr>
            </w:pPr>
            <w:r>
              <w:rPr>
                <w:rFonts w:hint="eastAsia"/>
                <w:color w:val="auto"/>
                <w:highlight w:val="none"/>
              </w:rPr>
              <w:t>运营期厂界噪声排放标准执行《工业企业厂界</w:t>
            </w:r>
            <w:r>
              <w:rPr>
                <w:rFonts w:hint="eastAsia"/>
                <w:color w:val="auto"/>
                <w:highlight w:val="none"/>
                <w:lang w:val="en-US" w:eastAsia="zh-CN"/>
              </w:rPr>
              <w:t>环境</w:t>
            </w:r>
            <w:r>
              <w:rPr>
                <w:rFonts w:hint="eastAsia"/>
                <w:color w:val="auto"/>
                <w:highlight w:val="none"/>
              </w:rPr>
              <w:t>噪声排放标准》（GB12348-2008）中的3类标准，临漳湖路一侧执行4类标准，见表3.3.4。</w:t>
            </w:r>
          </w:p>
          <w:p>
            <w:pPr>
              <w:pStyle w:val="68"/>
              <w:rPr>
                <w:color w:val="auto"/>
                <w:highlight w:val="none"/>
              </w:rPr>
            </w:pPr>
            <w:r>
              <w:rPr>
                <w:rFonts w:hint="eastAsia"/>
                <w:color w:val="auto"/>
                <w:highlight w:val="none"/>
              </w:rPr>
              <w:t>表3.3.</w:t>
            </w:r>
            <w:r>
              <w:rPr>
                <w:rFonts w:hint="eastAsia"/>
                <w:color w:val="auto"/>
                <w:highlight w:val="none"/>
                <w:lang w:val="en-US" w:eastAsia="zh-CN"/>
              </w:rPr>
              <w:t>5</w:t>
            </w:r>
            <w:r>
              <w:rPr>
                <w:rFonts w:hint="eastAsia"/>
                <w:color w:val="auto"/>
                <w:highlight w:val="none"/>
              </w:rPr>
              <w:t>工业企业厂界噪声排放标准（GB12348-2008）单位：dB（A）</w:t>
            </w:r>
          </w:p>
          <w:tbl>
            <w:tblPr>
              <w:tblStyle w:val="29"/>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58"/>
              <w:gridCol w:w="2658"/>
              <w:gridCol w:w="265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658" w:type="dxa"/>
                  <w:tcBorders>
                    <w:tl2br w:val="nil"/>
                    <w:tr2bl w:val="nil"/>
                  </w:tcBorders>
                </w:tcPr>
                <w:p>
                  <w:pPr>
                    <w:pStyle w:val="70"/>
                    <w:rPr>
                      <w:color w:val="auto"/>
                      <w:highlight w:val="none"/>
                    </w:rPr>
                  </w:pPr>
                  <w:r>
                    <w:rPr>
                      <w:rFonts w:hint="eastAsia"/>
                      <w:color w:val="auto"/>
                      <w:highlight w:val="none"/>
                    </w:rPr>
                    <w:t>类别</w:t>
                  </w:r>
                </w:p>
              </w:tc>
              <w:tc>
                <w:tcPr>
                  <w:tcW w:w="2658" w:type="dxa"/>
                  <w:tcBorders>
                    <w:tl2br w:val="nil"/>
                    <w:tr2bl w:val="nil"/>
                  </w:tcBorders>
                </w:tcPr>
                <w:p>
                  <w:pPr>
                    <w:pStyle w:val="70"/>
                    <w:rPr>
                      <w:color w:val="auto"/>
                      <w:highlight w:val="none"/>
                    </w:rPr>
                  </w:pPr>
                  <w:r>
                    <w:rPr>
                      <w:rFonts w:hint="eastAsia"/>
                      <w:color w:val="auto"/>
                      <w:highlight w:val="none"/>
                    </w:rPr>
                    <w:t>昼间</w:t>
                  </w:r>
                </w:p>
              </w:tc>
              <w:tc>
                <w:tcPr>
                  <w:tcW w:w="2658" w:type="dxa"/>
                  <w:tcBorders>
                    <w:tl2br w:val="nil"/>
                    <w:tr2bl w:val="nil"/>
                  </w:tcBorders>
                </w:tcPr>
                <w:p>
                  <w:pPr>
                    <w:pStyle w:val="70"/>
                    <w:rPr>
                      <w:color w:val="auto"/>
                      <w:highlight w:val="none"/>
                    </w:rPr>
                  </w:pPr>
                  <w:r>
                    <w:rPr>
                      <w:rFonts w:hint="eastAsia"/>
                      <w:color w:val="auto"/>
                      <w:highlight w:val="none"/>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658" w:type="dxa"/>
                  <w:tcBorders>
                    <w:tl2br w:val="nil"/>
                    <w:tr2bl w:val="nil"/>
                  </w:tcBorders>
                </w:tcPr>
                <w:p>
                  <w:pPr>
                    <w:pStyle w:val="70"/>
                    <w:rPr>
                      <w:color w:val="auto"/>
                      <w:highlight w:val="none"/>
                    </w:rPr>
                  </w:pPr>
                  <w:r>
                    <w:rPr>
                      <w:rFonts w:hint="eastAsia"/>
                      <w:color w:val="auto"/>
                      <w:highlight w:val="none"/>
                    </w:rPr>
                    <w:t>3类</w:t>
                  </w:r>
                </w:p>
              </w:tc>
              <w:tc>
                <w:tcPr>
                  <w:tcW w:w="2658" w:type="dxa"/>
                  <w:tcBorders>
                    <w:tl2br w:val="nil"/>
                    <w:tr2bl w:val="nil"/>
                  </w:tcBorders>
                </w:tcPr>
                <w:p>
                  <w:pPr>
                    <w:pStyle w:val="70"/>
                    <w:rPr>
                      <w:color w:val="auto"/>
                      <w:highlight w:val="none"/>
                    </w:rPr>
                  </w:pPr>
                  <w:r>
                    <w:rPr>
                      <w:rFonts w:hint="eastAsia"/>
                      <w:color w:val="auto"/>
                      <w:highlight w:val="none"/>
                    </w:rPr>
                    <w:t>65</w:t>
                  </w:r>
                </w:p>
              </w:tc>
              <w:tc>
                <w:tcPr>
                  <w:tcW w:w="2658" w:type="dxa"/>
                  <w:tcBorders>
                    <w:tl2br w:val="nil"/>
                    <w:tr2bl w:val="nil"/>
                  </w:tcBorders>
                </w:tcPr>
                <w:p>
                  <w:pPr>
                    <w:pStyle w:val="70"/>
                    <w:rPr>
                      <w:color w:val="auto"/>
                      <w:highlight w:val="none"/>
                    </w:rPr>
                  </w:pPr>
                  <w:r>
                    <w:rPr>
                      <w:rFonts w:hint="eastAsia"/>
                      <w:color w:val="auto"/>
                      <w:highlight w:val="none"/>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658" w:type="dxa"/>
                  <w:tcBorders>
                    <w:tl2br w:val="nil"/>
                    <w:tr2bl w:val="nil"/>
                  </w:tcBorders>
                </w:tcPr>
                <w:p>
                  <w:pPr>
                    <w:pStyle w:val="70"/>
                    <w:rPr>
                      <w:color w:val="auto"/>
                      <w:highlight w:val="none"/>
                    </w:rPr>
                  </w:pPr>
                  <w:r>
                    <w:rPr>
                      <w:rFonts w:hint="eastAsia"/>
                      <w:color w:val="auto"/>
                      <w:highlight w:val="none"/>
                    </w:rPr>
                    <w:t>4类</w:t>
                  </w:r>
                </w:p>
              </w:tc>
              <w:tc>
                <w:tcPr>
                  <w:tcW w:w="2658" w:type="dxa"/>
                  <w:tcBorders>
                    <w:tl2br w:val="nil"/>
                    <w:tr2bl w:val="nil"/>
                  </w:tcBorders>
                </w:tcPr>
                <w:p>
                  <w:pPr>
                    <w:pStyle w:val="70"/>
                    <w:rPr>
                      <w:color w:val="auto"/>
                      <w:highlight w:val="none"/>
                    </w:rPr>
                  </w:pPr>
                  <w:r>
                    <w:rPr>
                      <w:rFonts w:hint="eastAsia"/>
                      <w:color w:val="auto"/>
                      <w:highlight w:val="none"/>
                    </w:rPr>
                    <w:t>70</w:t>
                  </w:r>
                </w:p>
              </w:tc>
              <w:tc>
                <w:tcPr>
                  <w:tcW w:w="2658" w:type="dxa"/>
                  <w:tcBorders>
                    <w:tl2br w:val="nil"/>
                    <w:tr2bl w:val="nil"/>
                  </w:tcBorders>
                </w:tcPr>
                <w:p>
                  <w:pPr>
                    <w:pStyle w:val="70"/>
                    <w:rPr>
                      <w:color w:val="auto"/>
                      <w:highlight w:val="none"/>
                    </w:rPr>
                  </w:pPr>
                  <w:r>
                    <w:rPr>
                      <w:rFonts w:hint="eastAsia"/>
                      <w:color w:val="auto"/>
                      <w:highlight w:val="none"/>
                    </w:rPr>
                    <w:t>55</w:t>
                  </w:r>
                </w:p>
              </w:tc>
            </w:tr>
          </w:tbl>
          <w:p>
            <w:pPr>
              <w:pStyle w:val="70"/>
              <w:rPr>
                <w:color w:val="auto"/>
                <w:highlight w:val="none"/>
              </w:rPr>
            </w:pPr>
          </w:p>
          <w:p>
            <w:pPr>
              <w:pStyle w:val="72"/>
              <w:ind w:firstLine="480"/>
              <w:rPr>
                <w:color w:val="auto"/>
                <w:highlight w:val="none"/>
              </w:rPr>
            </w:pPr>
            <w:r>
              <w:rPr>
                <w:rFonts w:hint="eastAsia"/>
                <w:color w:val="auto"/>
                <w:highlight w:val="none"/>
              </w:rPr>
              <w:t>（4）固体废物</w:t>
            </w:r>
          </w:p>
          <w:p>
            <w:pPr>
              <w:pStyle w:val="72"/>
              <w:ind w:firstLine="480"/>
              <w:rPr>
                <w:color w:val="auto"/>
                <w:highlight w:val="none"/>
              </w:rPr>
            </w:pPr>
            <w:r>
              <w:rPr>
                <w:rFonts w:hint="eastAsia"/>
                <w:color w:val="auto"/>
                <w:highlight w:val="none"/>
              </w:rPr>
              <w:t>一般工业固体废物贮存、处置执行《一般工业固体废物贮存和填埋污染控制标准》（GB18599-2020）的相关要求。危险废物按照《危险废物贮存污染控制标准》（GB18597-2023）的要求处置；危险废物外运处置执行《危险废物转移管理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总量</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控制</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190" w:type="dxa"/>
          </w:tcPr>
          <w:p>
            <w:pPr>
              <w:pStyle w:val="72"/>
              <w:ind w:firstLine="480"/>
              <w:rPr>
                <w:color w:val="auto"/>
                <w:highlight w:val="none"/>
              </w:rPr>
            </w:pPr>
            <w:r>
              <w:rPr>
                <w:rFonts w:hint="eastAsia"/>
                <w:color w:val="auto"/>
                <w:highlight w:val="none"/>
              </w:rPr>
              <w:t>根据国家《“十四五”节能减排综合工作方案</w:t>
            </w:r>
            <w:r>
              <w:rPr>
                <w:rFonts w:hint="eastAsia"/>
                <w:color w:val="auto"/>
                <w:highlight w:val="none"/>
                <w:lang w:eastAsia="zh-CN"/>
              </w:rPr>
              <w:t>》《</w:t>
            </w:r>
            <w:r>
              <w:rPr>
                <w:rFonts w:hint="eastAsia"/>
                <w:color w:val="auto"/>
                <w:highlight w:val="none"/>
              </w:rPr>
              <w:t>福建省人民政府关于推进排污权有偿使用和交易工作的意见（试行）》（闽政</w:t>
            </w:r>
            <w:r>
              <w:rPr>
                <w:rFonts w:hint="eastAsia"/>
                <w:color w:val="auto"/>
                <w:highlight w:val="none"/>
                <w:lang w:eastAsia="zh-CN"/>
              </w:rPr>
              <w:t>〔2014〕24号</w:t>
            </w:r>
            <w:r>
              <w:rPr>
                <w:rFonts w:hint="eastAsia"/>
                <w:color w:val="auto"/>
                <w:highlight w:val="none"/>
              </w:rPr>
              <w:t>）、《福建省环保厅关于贯彻落实</w:t>
            </w:r>
            <w:r>
              <w:rPr>
                <w:rFonts w:hint="eastAsia"/>
                <w:color w:val="auto"/>
                <w:highlight w:val="none"/>
                <w:lang w:eastAsia="zh-CN"/>
              </w:rPr>
              <w:t>〈</w:t>
            </w:r>
            <w:r>
              <w:rPr>
                <w:rFonts w:hint="eastAsia"/>
                <w:color w:val="auto"/>
                <w:highlight w:val="none"/>
              </w:rPr>
              <w:t>推进排污权有偿使用和交易工作的意见（试行）</w:t>
            </w:r>
            <w:r>
              <w:rPr>
                <w:rFonts w:hint="eastAsia"/>
                <w:color w:val="auto"/>
                <w:highlight w:val="none"/>
                <w:lang w:eastAsia="zh-CN"/>
              </w:rPr>
              <w:t>〉的通知》</w:t>
            </w:r>
            <w:r>
              <w:rPr>
                <w:rFonts w:hint="eastAsia"/>
                <w:color w:val="auto"/>
                <w:highlight w:val="none"/>
              </w:rPr>
              <w:t>（闽环发</w:t>
            </w:r>
            <w:r>
              <w:rPr>
                <w:rFonts w:hint="eastAsia"/>
                <w:color w:val="auto"/>
                <w:highlight w:val="none"/>
                <w:lang w:eastAsia="zh-CN"/>
              </w:rPr>
              <w:t>〔2014〕9号</w:t>
            </w:r>
            <w:r>
              <w:rPr>
                <w:rFonts w:hint="eastAsia"/>
                <w:color w:val="auto"/>
                <w:highlight w:val="none"/>
              </w:rPr>
              <w:t>）、《福建省环保厅关于环评审批中落实排污权交易工作要求的通知》（闽环保评</w:t>
            </w:r>
            <w:r>
              <w:rPr>
                <w:rFonts w:hint="eastAsia"/>
                <w:color w:val="auto"/>
                <w:highlight w:val="none"/>
                <w:lang w:eastAsia="zh-CN"/>
              </w:rPr>
              <w:t>〔2014〕43号</w:t>
            </w:r>
            <w:r>
              <w:rPr>
                <w:rFonts w:hint="eastAsia"/>
                <w:color w:val="auto"/>
                <w:highlight w:val="none"/>
              </w:rPr>
              <w:t>）、《福建省生态环境厅关于印发（进一步优化环境影响评价管理更好服务高质量发展的若干措施）的通知》（闽环规</w:t>
            </w:r>
            <w:r>
              <w:rPr>
                <w:rFonts w:hint="eastAsia"/>
                <w:color w:val="auto"/>
                <w:highlight w:val="none"/>
                <w:lang w:eastAsia="zh-CN"/>
              </w:rPr>
              <w:t>〔2024〕2号</w:t>
            </w:r>
            <w:r>
              <w:rPr>
                <w:rFonts w:hint="eastAsia"/>
                <w:color w:val="auto"/>
                <w:highlight w:val="none"/>
              </w:rPr>
              <w:t>）等有关文件要求，需进行排放总量控制的污染物为COD、NH</w:t>
            </w:r>
            <w:r>
              <w:rPr>
                <w:rFonts w:hint="eastAsia"/>
                <w:color w:val="auto"/>
                <w:highlight w:val="none"/>
                <w:vertAlign w:val="subscript"/>
              </w:rPr>
              <w:t>3</w:t>
            </w:r>
            <w:r>
              <w:rPr>
                <w:rFonts w:hint="eastAsia"/>
                <w:color w:val="auto"/>
                <w:highlight w:val="none"/>
              </w:rPr>
              <w:t>-N、SO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X</w:t>
            </w:r>
            <w:r>
              <w:rPr>
                <w:rFonts w:hint="eastAsia"/>
                <w:color w:val="auto"/>
                <w:highlight w:val="none"/>
              </w:rPr>
              <w:t>、</w:t>
            </w:r>
            <w:r>
              <w:rPr>
                <w:rFonts w:hint="eastAsia"/>
                <w:color w:val="auto"/>
                <w:highlight w:val="none"/>
                <w:lang w:val="en-US" w:eastAsia="zh-CN"/>
              </w:rPr>
              <w:t>VOCs</w:t>
            </w:r>
            <w:r>
              <w:rPr>
                <w:rFonts w:hint="eastAsia"/>
                <w:color w:val="auto"/>
                <w:highlight w:val="none"/>
              </w:rPr>
              <w:t>。</w:t>
            </w:r>
          </w:p>
          <w:p>
            <w:pPr>
              <w:pStyle w:val="72"/>
              <w:ind w:firstLine="480"/>
              <w:rPr>
                <w:rFonts w:hint="eastAsia"/>
                <w:color w:val="auto"/>
                <w:highlight w:val="none"/>
              </w:rPr>
            </w:pPr>
            <w:r>
              <w:rPr>
                <w:rFonts w:hint="eastAsia"/>
                <w:color w:val="auto"/>
                <w:highlight w:val="none"/>
              </w:rPr>
              <w:t>根据总量控制要求，</w:t>
            </w:r>
            <w:r>
              <w:rPr>
                <w:rFonts w:hint="eastAsia"/>
                <w:color w:val="auto"/>
                <w:highlight w:val="none"/>
                <w:lang w:val="en-US" w:eastAsia="zh-CN"/>
              </w:rPr>
              <w:t xml:space="preserve"> 改扩建</w:t>
            </w:r>
            <w:r>
              <w:rPr>
                <w:rFonts w:hint="eastAsia"/>
                <w:color w:val="auto"/>
                <w:highlight w:val="none"/>
              </w:rPr>
              <w:t>项目</w:t>
            </w:r>
            <w:r>
              <w:rPr>
                <w:rFonts w:hint="eastAsia"/>
                <w:color w:val="auto"/>
                <w:highlight w:val="none"/>
                <w:lang w:val="en-US" w:eastAsia="zh-CN"/>
              </w:rPr>
              <w:t>实施后</w:t>
            </w:r>
            <w:r>
              <w:rPr>
                <w:rFonts w:hint="eastAsia"/>
                <w:color w:val="auto"/>
                <w:highlight w:val="none"/>
              </w:rPr>
              <w:t>，本项目总量控制指标为COD、NH</w:t>
            </w:r>
            <w:r>
              <w:rPr>
                <w:rFonts w:hint="eastAsia"/>
                <w:color w:val="auto"/>
                <w:highlight w:val="none"/>
                <w:vertAlign w:val="subscript"/>
              </w:rPr>
              <w:t>3</w:t>
            </w:r>
            <w:r>
              <w:rPr>
                <w:rFonts w:hint="eastAsia"/>
                <w:color w:val="auto"/>
                <w:highlight w:val="none"/>
              </w:rPr>
              <w:t>-N</w:t>
            </w:r>
            <w:r>
              <w:rPr>
                <w:rFonts w:hint="eastAsia"/>
                <w:color w:val="auto"/>
                <w:highlight w:val="none"/>
                <w:lang w:eastAsia="zh-CN"/>
              </w:rPr>
              <w:t>、</w:t>
            </w:r>
            <w:r>
              <w:rPr>
                <w:rFonts w:hint="eastAsia"/>
                <w:color w:val="auto"/>
                <w:highlight w:val="none"/>
                <w:lang w:val="en-US" w:eastAsia="zh-CN"/>
              </w:rPr>
              <w:t>VOCs</w:t>
            </w:r>
            <w:r>
              <w:rPr>
                <w:rFonts w:hint="eastAsia"/>
                <w:color w:val="auto"/>
                <w:highlight w:val="none"/>
              </w:rPr>
              <w:t>。</w:t>
            </w:r>
          </w:p>
          <w:p>
            <w:pPr>
              <w:pStyle w:val="72"/>
              <w:ind w:firstLine="480"/>
              <w:rPr>
                <w:rFonts w:hint="default" w:eastAsia="宋体"/>
                <w:color w:val="auto"/>
                <w:highlight w:val="none"/>
                <w:lang w:val="en-US" w:eastAsia="zh-CN"/>
              </w:rPr>
            </w:pPr>
            <w:r>
              <w:rPr>
                <w:rFonts w:hint="eastAsia"/>
                <w:color w:val="auto"/>
                <w:highlight w:val="none"/>
                <w:lang w:val="en-US" w:eastAsia="zh-CN"/>
              </w:rPr>
              <w:t>项目生活污水经化粪池处理后排入市政污水管网，纳入福州市滨海工业区污水处理厂统一处理。根据《福建省环保厅关于进一步加快推进排污权有偿使用和交易工作的意见》（闽环发〔2015〕6号），排污权交易的水污染物仅核定工业废水部分。</w:t>
            </w:r>
          </w:p>
          <w:p>
            <w:pPr>
              <w:pStyle w:val="72"/>
              <w:ind w:firstLine="480"/>
              <w:rPr>
                <w:rFonts w:hint="eastAsia"/>
                <w:color w:val="auto"/>
                <w:highlight w:val="none"/>
                <w:lang w:val="en-US" w:eastAsia="zh-CN"/>
              </w:rPr>
            </w:pPr>
            <w:r>
              <w:rPr>
                <w:rFonts w:hint="eastAsia"/>
                <w:color w:val="auto"/>
                <w:highlight w:val="none"/>
              </w:rPr>
              <w:t>根据工程分析，本</w:t>
            </w:r>
            <w:r>
              <w:rPr>
                <w:rFonts w:hint="eastAsia"/>
                <w:color w:val="auto"/>
                <w:highlight w:val="none"/>
                <w:lang w:val="en-US" w:eastAsia="zh-CN"/>
              </w:rPr>
              <w:t>次改扩建项目生产废水排放量为4035t/a，迁移扩建后</w:t>
            </w:r>
            <w:r>
              <w:rPr>
                <w:rFonts w:hint="eastAsia"/>
                <w:color w:val="auto"/>
                <w:highlight w:val="none"/>
              </w:rPr>
              <w:t>项目</w:t>
            </w:r>
            <w:r>
              <w:rPr>
                <w:rFonts w:hint="eastAsia"/>
                <w:color w:val="auto"/>
                <w:highlight w:val="none"/>
                <w:lang w:val="en-US" w:eastAsia="zh-CN"/>
              </w:rPr>
              <w:t>新增</w:t>
            </w:r>
            <w:r>
              <w:rPr>
                <w:rFonts w:hint="eastAsia"/>
                <w:color w:val="auto"/>
                <w:highlight w:val="none"/>
              </w:rPr>
              <w:t>生产废水</w:t>
            </w:r>
            <w:r>
              <w:rPr>
                <w:rFonts w:hint="eastAsia"/>
                <w:color w:val="auto"/>
                <w:highlight w:val="none"/>
                <w:lang w:val="en-US" w:eastAsia="zh-CN"/>
              </w:rPr>
              <w:t>2784</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由于本次改扩建项目清洗工序有添加清洗剂，排放的生产废水污染物包含COD、氨氮等，搬迁前项目清洗采用纯水清洗，未添加清洗剂，原环评废水污染物总量控制指标仅有COD。考虑到工艺变化情况，本次废水COD总量按照改扩建项目实施后新增生产废水量核算，氨氮排放总量按照改扩建项目生产废水排放量核算。</w:t>
            </w:r>
          </w:p>
          <w:p>
            <w:pPr>
              <w:pStyle w:val="72"/>
              <w:ind w:firstLine="480"/>
              <w:rPr>
                <w:rFonts w:hint="default" w:eastAsia="宋体"/>
                <w:color w:val="auto"/>
                <w:highlight w:val="none"/>
                <w:lang w:val="en-US" w:eastAsia="zh-CN"/>
              </w:rPr>
            </w:pPr>
            <w:r>
              <w:rPr>
                <w:rFonts w:hint="eastAsia"/>
                <w:color w:val="auto"/>
                <w:highlight w:val="none"/>
                <w:lang w:val="en-US" w:eastAsia="zh-CN"/>
              </w:rPr>
              <w:t>项目生产废</w:t>
            </w:r>
            <w:r>
              <w:rPr>
                <w:rFonts w:hint="eastAsia"/>
                <w:color w:val="auto"/>
                <w:highlight w:val="none"/>
              </w:rPr>
              <w:t>经污水处理站预处理后统一排入市政污水管网，最终由滨海污水处理厂处理达到《城镇污水处理厂污染物排放标准》（GB18918-2002）表1中一级A标准（COD</w:t>
            </w:r>
            <w:r>
              <w:rPr>
                <w:color w:val="auto"/>
                <w:highlight w:val="none"/>
              </w:rPr>
              <w:t>≤</w:t>
            </w:r>
            <w:r>
              <w:rPr>
                <w:rFonts w:hint="eastAsia"/>
                <w:color w:val="auto"/>
                <w:highlight w:val="none"/>
              </w:rPr>
              <w:t>50mg/L</w:t>
            </w:r>
            <w:r>
              <w:rPr>
                <w:rFonts w:hint="eastAsia"/>
                <w:color w:val="auto"/>
                <w:highlight w:val="none"/>
                <w:lang w:eastAsia="zh-CN"/>
              </w:rPr>
              <w:t>、</w:t>
            </w:r>
            <w:r>
              <w:rPr>
                <w:rFonts w:hint="eastAsia"/>
                <w:color w:val="auto"/>
                <w:highlight w:val="none"/>
                <w:lang w:val="en-US" w:eastAsia="zh-CN"/>
              </w:rPr>
              <w:t>氨氮</w:t>
            </w:r>
            <w:r>
              <w:rPr>
                <w:color w:val="auto"/>
                <w:highlight w:val="none"/>
              </w:rPr>
              <w:t>≤</w:t>
            </w:r>
            <w:r>
              <w:rPr>
                <w:rFonts w:hint="eastAsia"/>
                <w:color w:val="auto"/>
                <w:highlight w:val="none"/>
              </w:rPr>
              <w:t>5mg/L）</w:t>
            </w:r>
            <w:r>
              <w:rPr>
                <w:rFonts w:hint="eastAsia"/>
                <w:color w:val="auto"/>
                <w:highlight w:val="none"/>
                <w:lang w:eastAsia="zh-CN"/>
              </w:rPr>
              <w:t>，</w:t>
            </w:r>
            <w:r>
              <w:rPr>
                <w:rFonts w:hint="eastAsia"/>
                <w:color w:val="auto"/>
                <w:highlight w:val="none"/>
              </w:rPr>
              <w:t>排入外环境，因此本项目生产废水</w:t>
            </w:r>
            <w:r>
              <w:rPr>
                <w:rFonts w:hint="eastAsia"/>
                <w:color w:val="auto"/>
                <w:highlight w:val="none"/>
                <w:lang w:val="en-US" w:eastAsia="zh-CN"/>
              </w:rPr>
              <w:t>新增</w:t>
            </w:r>
            <w:r>
              <w:rPr>
                <w:rFonts w:hint="eastAsia"/>
                <w:color w:val="auto"/>
                <w:highlight w:val="none"/>
              </w:rPr>
              <w:t>排入外环境的COD量为0.</w:t>
            </w:r>
            <w:r>
              <w:rPr>
                <w:rFonts w:hint="eastAsia"/>
                <w:color w:val="auto"/>
                <w:highlight w:val="none"/>
                <w:lang w:val="en-US" w:eastAsia="zh-CN"/>
              </w:rPr>
              <w:t>139</w:t>
            </w:r>
            <w:r>
              <w:rPr>
                <w:rFonts w:hint="eastAsia"/>
                <w:color w:val="auto"/>
                <w:highlight w:val="none"/>
              </w:rPr>
              <w:t>t/a</w:t>
            </w:r>
            <w:r>
              <w:rPr>
                <w:rFonts w:hint="eastAsia"/>
                <w:color w:val="auto"/>
                <w:highlight w:val="none"/>
                <w:lang w:val="en-US" w:eastAsia="zh-CN"/>
              </w:rPr>
              <w:t>；此外，项目实施后废水中将新增氨氮污染物排放，因此，生产废水中新增氨氮排放量为0.0202t/a。项目实施后需申</w:t>
            </w:r>
            <w:r>
              <w:rPr>
                <w:rFonts w:hint="eastAsia"/>
                <w:color w:val="auto"/>
                <w:highlight w:val="none"/>
              </w:rPr>
              <w:t>请的总量</w:t>
            </w:r>
            <w:r>
              <w:rPr>
                <w:rFonts w:hint="eastAsia"/>
                <w:color w:val="auto"/>
                <w:highlight w:val="none"/>
                <w:lang w:val="en-US" w:eastAsia="zh-CN"/>
              </w:rPr>
              <w:t>指标为：COD</w:t>
            </w:r>
            <w:r>
              <w:rPr>
                <w:rFonts w:hint="eastAsia"/>
                <w:color w:val="auto"/>
                <w:highlight w:val="none"/>
              </w:rPr>
              <w:t>0.</w:t>
            </w:r>
            <w:r>
              <w:rPr>
                <w:rFonts w:hint="eastAsia"/>
                <w:color w:val="auto"/>
                <w:highlight w:val="none"/>
                <w:lang w:val="en-US" w:eastAsia="zh-CN"/>
              </w:rPr>
              <w:t>139</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氨氮0.0202t/a</w:t>
            </w:r>
            <w:r>
              <w:rPr>
                <w:rFonts w:hint="eastAsia"/>
                <w:color w:val="auto"/>
                <w:highlight w:val="none"/>
              </w:rPr>
              <w:t>。</w:t>
            </w:r>
          </w:p>
          <w:p>
            <w:pPr>
              <w:pStyle w:val="72"/>
              <w:ind w:firstLine="480"/>
              <w:rPr>
                <w:rFonts w:hint="eastAsia"/>
                <w:color w:val="auto"/>
                <w:highlight w:val="none"/>
              </w:rPr>
            </w:pPr>
            <w:r>
              <w:rPr>
                <w:rFonts w:hint="eastAsia"/>
                <w:color w:val="auto"/>
                <w:highlight w:val="none"/>
              </w:rPr>
              <w:t>项目非甲烷总烃排放量为0.</w:t>
            </w:r>
            <w:r>
              <w:rPr>
                <w:rFonts w:hint="eastAsia"/>
                <w:color w:val="auto"/>
                <w:highlight w:val="none"/>
                <w:lang w:val="en-US" w:eastAsia="zh-CN"/>
              </w:rPr>
              <w:t>316</w:t>
            </w:r>
            <w:r>
              <w:rPr>
                <w:rFonts w:hint="eastAsia"/>
                <w:color w:val="auto"/>
                <w:highlight w:val="none"/>
              </w:rPr>
              <w:t>t/a，根据《福建省臭氧污染防治工作方案》提出有机废气总量控制方式：“建设项目环评文件报批时，需附项目VOCs削减量替代来源，并将替代方案落实到企业排污许可证中，纳入环境执法管理”，企业在报地方</w:t>
            </w:r>
            <w:r>
              <w:rPr>
                <w:rFonts w:hint="eastAsia"/>
                <w:color w:val="auto"/>
                <w:highlight w:val="none"/>
                <w:lang w:val="en-US" w:eastAsia="zh-CN"/>
              </w:rPr>
              <w:t>生态环境</w:t>
            </w:r>
            <w:r>
              <w:rPr>
                <w:rFonts w:hint="eastAsia"/>
                <w:color w:val="auto"/>
                <w:highlight w:val="none"/>
              </w:rPr>
              <w:t>部门批准认可后，依法取得了VOCs削减量替代来源确认函，方可作为本建设项目的污染物排放总量控制指标。</w:t>
            </w:r>
          </w:p>
          <w:p>
            <w:pPr>
              <w:pStyle w:val="72"/>
              <w:ind w:firstLine="480"/>
              <w:rPr>
                <w:rFonts w:hint="default"/>
                <w:color w:val="auto"/>
                <w:highlight w:val="none"/>
                <w:lang w:val="en-US"/>
              </w:rPr>
            </w:pPr>
          </w:p>
        </w:tc>
      </w:tr>
    </w:tbl>
    <w:p>
      <w:pPr>
        <w:pStyle w:val="25"/>
        <w:jc w:val="both"/>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3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612" w:type="dxa"/>
            <w:tcMar>
              <w:left w:w="28" w:type="dxa"/>
              <w:right w:w="28" w:type="dxa"/>
            </w:tcMar>
            <w:vAlign w:val="center"/>
          </w:tcPr>
          <w:p>
            <w:pPr>
              <w:pStyle w:val="25"/>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施工</w:t>
            </w:r>
          </w:p>
          <w:p>
            <w:pPr>
              <w:pStyle w:val="25"/>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期环</w:t>
            </w:r>
          </w:p>
          <w:p>
            <w:pPr>
              <w:pStyle w:val="25"/>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境保</w:t>
            </w:r>
          </w:p>
          <w:p>
            <w:pPr>
              <w:pStyle w:val="25"/>
              <w:adjustRightInd w:val="0"/>
              <w:snapToGrid w:val="0"/>
              <w:spacing w:before="0" w:beforeAutospacing="0" w:after="0" w:afterAutospacing="0"/>
              <w:jc w:val="center"/>
              <w:rPr>
                <w:rFonts w:cs="宋体"/>
                <w:color w:val="auto"/>
                <w:kern w:val="2"/>
                <w:sz w:val="21"/>
                <w:szCs w:val="21"/>
                <w:highlight w:val="none"/>
              </w:rPr>
            </w:pPr>
            <w:r>
              <w:rPr>
                <w:rFonts w:hint="eastAsia" w:cs="宋体"/>
                <w:color w:val="auto"/>
                <w:kern w:val="2"/>
                <w:sz w:val="21"/>
                <w:szCs w:val="21"/>
                <w:highlight w:val="none"/>
              </w:rPr>
              <w:t>护措</w:t>
            </w:r>
          </w:p>
          <w:p>
            <w:pPr>
              <w:pStyle w:val="25"/>
              <w:adjustRightInd w:val="0"/>
              <w:snapToGrid w:val="0"/>
              <w:spacing w:before="0" w:beforeAutospacing="0" w:after="0" w:afterAutospacing="0"/>
              <w:jc w:val="center"/>
              <w:rPr>
                <w:rFonts w:cs="宋体"/>
                <w:bCs/>
                <w:color w:val="auto"/>
                <w:kern w:val="2"/>
                <w:sz w:val="21"/>
                <w:szCs w:val="21"/>
                <w:highlight w:val="none"/>
              </w:rPr>
            </w:pPr>
            <w:r>
              <w:rPr>
                <w:rFonts w:hint="eastAsia" w:cs="宋体"/>
                <w:color w:val="auto"/>
                <w:kern w:val="2"/>
                <w:sz w:val="21"/>
                <w:szCs w:val="21"/>
                <w:highlight w:val="none"/>
              </w:rPr>
              <w:t>施</w:t>
            </w:r>
          </w:p>
        </w:tc>
        <w:tc>
          <w:tcPr>
            <w:tcW w:w="8369" w:type="dxa"/>
          </w:tcPr>
          <w:p>
            <w:pPr>
              <w:pStyle w:val="91"/>
              <w:rPr>
                <w:rFonts w:hint="default" w:eastAsia="黑体"/>
                <w:color w:val="auto"/>
                <w:highlight w:val="none"/>
                <w:lang w:val="en-US" w:eastAsia="zh-CN"/>
              </w:rPr>
            </w:pPr>
            <w:r>
              <w:rPr>
                <w:rFonts w:hint="eastAsia"/>
                <w:color w:val="auto"/>
                <w:highlight w:val="none"/>
                <w:lang w:val="en-US" w:eastAsia="zh-CN"/>
              </w:rPr>
              <w:t>4.1.1</w:t>
            </w:r>
            <w:r>
              <w:rPr>
                <w:rFonts w:hint="eastAsia"/>
                <w:color w:val="auto"/>
                <w:highlight w:val="none"/>
              </w:rPr>
              <w:t>施工期大气</w:t>
            </w:r>
            <w:r>
              <w:rPr>
                <w:rFonts w:hint="eastAsia"/>
                <w:color w:val="auto"/>
                <w:highlight w:val="none"/>
                <w:lang w:val="en-US" w:eastAsia="zh-CN"/>
              </w:rPr>
              <w:t>环境影响和保护措施</w:t>
            </w:r>
          </w:p>
          <w:p>
            <w:pPr>
              <w:adjustRightInd w:val="0"/>
              <w:snapToGrid w:val="0"/>
              <w:spacing w:line="360" w:lineRule="auto"/>
              <w:ind w:firstLine="480" w:firstLineChars="200"/>
              <w:rPr>
                <w:color w:val="auto"/>
                <w:kern w:val="0"/>
                <w:sz w:val="24"/>
                <w:highlight w:val="none"/>
              </w:rPr>
            </w:pPr>
            <w:r>
              <w:rPr>
                <w:color w:val="auto"/>
                <w:kern w:val="0"/>
                <w:sz w:val="24"/>
                <w:highlight w:val="none"/>
              </w:rPr>
              <w:t>本项目施工期大气环境污染源主要有：施工道路扬尘；施工车辆、施工机械排出的含NO</w:t>
            </w:r>
            <w:r>
              <w:rPr>
                <w:color w:val="auto"/>
                <w:kern w:val="0"/>
                <w:sz w:val="24"/>
                <w:highlight w:val="none"/>
                <w:vertAlign w:val="subscript"/>
              </w:rPr>
              <w:t>2</w:t>
            </w:r>
            <w:r>
              <w:rPr>
                <w:color w:val="auto"/>
                <w:kern w:val="0"/>
                <w:sz w:val="24"/>
                <w:highlight w:val="none"/>
              </w:rPr>
              <w:t>、CO、THC等尾气；设备焊接烟气。</w:t>
            </w:r>
          </w:p>
          <w:p>
            <w:pPr>
              <w:numPr>
                <w:ilvl w:val="0"/>
                <w:numId w:val="10"/>
              </w:numPr>
              <w:adjustRightInd w:val="0"/>
              <w:snapToGrid w:val="0"/>
              <w:spacing w:line="360" w:lineRule="auto"/>
              <w:ind w:firstLine="480" w:firstLineChars="200"/>
              <w:rPr>
                <w:color w:val="auto"/>
                <w:kern w:val="0"/>
                <w:sz w:val="24"/>
                <w:highlight w:val="none"/>
              </w:rPr>
            </w:pPr>
            <w:r>
              <w:rPr>
                <w:color w:val="auto"/>
                <w:kern w:val="0"/>
                <w:sz w:val="24"/>
                <w:highlight w:val="none"/>
              </w:rPr>
              <w:t>施工粉尘</w:t>
            </w:r>
          </w:p>
          <w:p>
            <w:pPr>
              <w:pStyle w:val="2"/>
              <w:numPr>
                <w:ilvl w:val="0"/>
                <w:numId w:val="0"/>
              </w:numPr>
              <w:ind w:left="420" w:leftChars="0"/>
              <w:rPr>
                <w:rFonts w:hint="default" w:ascii="Times New Roman" w:hAnsi="Times New Roman" w:eastAsia="宋体" w:cs="Times New Roman"/>
                <w:color w:val="auto"/>
                <w:lang w:val="en-US" w:eastAsia="zh-CN"/>
              </w:rPr>
            </w:pPr>
            <w:r>
              <w:rPr>
                <w:rFonts w:hint="eastAsia" w:ascii="宋体" w:hAnsi="宋体" w:eastAsia="宋体" w:cs="宋体"/>
                <w:color w:val="auto"/>
              </w:rPr>
              <w:t>①</w:t>
            </w:r>
            <w:r>
              <w:rPr>
                <w:rFonts w:hint="eastAsia" w:ascii="Times New Roman" w:hAnsi="Times New Roman" w:eastAsia="宋体" w:cs="Times New Roman"/>
                <w:color w:val="auto"/>
                <w:lang w:val="en-US" w:eastAsia="zh-CN"/>
              </w:rPr>
              <w:t>施工粉尘影响</w:t>
            </w:r>
          </w:p>
          <w:p>
            <w:pPr>
              <w:adjustRightInd w:val="0"/>
              <w:snapToGrid w:val="0"/>
              <w:spacing w:line="360" w:lineRule="auto"/>
              <w:ind w:firstLine="480" w:firstLineChars="200"/>
              <w:rPr>
                <w:color w:val="auto"/>
                <w:kern w:val="0"/>
                <w:sz w:val="24"/>
                <w:highlight w:val="none"/>
              </w:rPr>
            </w:pPr>
            <w:r>
              <w:rPr>
                <w:color w:val="auto"/>
                <w:kern w:val="0"/>
                <w:sz w:val="24"/>
                <w:highlight w:val="none"/>
              </w:rPr>
              <w:t>本项目建筑材料及建筑渣土在运输过程中如管理不当，会造成撒漏而逸散进入空气；另外施工及运输车辆在通过未硬化路面或落有较多尘土的路面时，将有路面二次扬尘的产生；此外，建筑材料在堆存和制备过程，遇大风等气象条件，均可能有粉状物料逸散，产生施工扬尘。</w:t>
            </w:r>
          </w:p>
          <w:p>
            <w:pPr>
              <w:adjustRightInd w:val="0"/>
              <w:snapToGrid w:val="0"/>
              <w:spacing w:line="360" w:lineRule="auto"/>
              <w:ind w:firstLine="480" w:firstLineChars="200"/>
              <w:rPr>
                <w:color w:val="auto"/>
                <w:kern w:val="0"/>
                <w:sz w:val="24"/>
                <w:highlight w:val="none"/>
              </w:rPr>
            </w:pPr>
            <w:r>
              <w:rPr>
                <w:color w:val="auto"/>
                <w:kern w:val="0"/>
                <w:sz w:val="24"/>
                <w:highlight w:val="none"/>
              </w:rPr>
              <w:t>施工扬尘量与其粒径大小、比重以及环境风速、湿度等因素有关：建筑材料的含水量，含水量高的材料不易飞扬；建筑材料的粒径大小，颗粒大的物料不易飞扬，在没有风力的作用下，粒径小于0.015mm的颗粒能够飞扬，当风速为3</w:t>
            </w:r>
            <w:r>
              <w:rPr>
                <w:rFonts w:hint="eastAsia"/>
                <w:color w:val="auto"/>
                <w:kern w:val="0"/>
                <w:sz w:val="24"/>
                <w:highlight w:val="none"/>
                <w:lang w:eastAsia="zh-CN"/>
              </w:rPr>
              <w:t>～</w:t>
            </w:r>
            <w:r>
              <w:rPr>
                <w:color w:val="auto"/>
                <w:kern w:val="0"/>
                <w:sz w:val="24"/>
                <w:highlight w:val="none"/>
              </w:rPr>
              <w:t>5m/s时，粒径为0.015~0.030mm的颗粒则会被风吹扬；气候条件，风速大，湿度小易产生扬尘，当风速大于3m/s时会有</w:t>
            </w:r>
            <w:r>
              <w:rPr>
                <w:rFonts w:hint="eastAsia"/>
                <w:color w:val="auto"/>
                <w:kern w:val="0"/>
                <w:sz w:val="24"/>
                <w:highlight w:val="none"/>
                <w:lang w:eastAsia="zh-CN"/>
              </w:rPr>
              <w:t>扬</w:t>
            </w:r>
            <w:r>
              <w:rPr>
                <w:color w:val="auto"/>
                <w:kern w:val="0"/>
                <w:sz w:val="24"/>
                <w:highlight w:val="none"/>
              </w:rPr>
              <w:t>尘产生；此外，运输车辆和施工机械的运行速度对扬尘的产生量也很明显，速度高，扬尘产生量大。</w:t>
            </w:r>
          </w:p>
          <w:p>
            <w:pPr>
              <w:adjustRightInd w:val="0"/>
              <w:snapToGrid w:val="0"/>
              <w:spacing w:line="360" w:lineRule="auto"/>
              <w:ind w:firstLine="480" w:firstLineChars="200"/>
              <w:rPr>
                <w:color w:val="auto"/>
                <w:kern w:val="0"/>
                <w:sz w:val="24"/>
                <w:highlight w:val="none"/>
              </w:rPr>
            </w:pPr>
            <w:r>
              <w:rPr>
                <w:color w:val="auto"/>
                <w:kern w:val="0"/>
                <w:sz w:val="24"/>
                <w:highlight w:val="none"/>
              </w:rPr>
              <w:t>施工扬尘的排放源属于无组织的面源，地面上的粉尘在环境风速足够大时</w:t>
            </w:r>
            <w:r>
              <w:rPr>
                <w:rFonts w:hint="eastAsia"/>
                <w:color w:val="auto"/>
                <w:kern w:val="0"/>
                <w:sz w:val="24"/>
                <w:highlight w:val="none"/>
                <w:lang w:eastAsia="zh-CN"/>
              </w:rPr>
              <w:t>（</w:t>
            </w:r>
            <w:r>
              <w:rPr>
                <w:color w:val="auto"/>
                <w:kern w:val="0"/>
                <w:sz w:val="24"/>
                <w:highlight w:val="none"/>
              </w:rPr>
              <w:t>大于颗粒土沙的起动速度时</w:t>
            </w:r>
            <w:r>
              <w:rPr>
                <w:rFonts w:hint="eastAsia"/>
                <w:color w:val="auto"/>
                <w:kern w:val="0"/>
                <w:sz w:val="24"/>
                <w:highlight w:val="none"/>
                <w:lang w:eastAsia="zh-CN"/>
              </w:rPr>
              <w:t>）</w:t>
            </w:r>
            <w:r>
              <w:rPr>
                <w:color w:val="auto"/>
                <w:kern w:val="0"/>
                <w:sz w:val="24"/>
                <w:highlight w:val="none"/>
              </w:rPr>
              <w:t>就产生了扬尘，其源强大小与颗粒物的粒径大小、比重，以及环境的风速、湿度等因素有关，风速越大，颗粒越小，土沙的含水率越小，扬尘的含水率越小，扬尘的产生量就越大。</w:t>
            </w:r>
          </w:p>
          <w:p>
            <w:pPr>
              <w:adjustRightInd w:val="0"/>
              <w:snapToGrid w:val="0"/>
              <w:spacing w:line="360" w:lineRule="auto"/>
              <w:ind w:firstLine="480" w:firstLineChars="200"/>
              <w:rPr>
                <w:color w:val="auto"/>
                <w:kern w:val="0"/>
                <w:sz w:val="24"/>
                <w:highlight w:val="none"/>
              </w:rPr>
            </w:pPr>
            <w:r>
              <w:rPr>
                <w:color w:val="auto"/>
                <w:kern w:val="0"/>
                <w:sz w:val="24"/>
                <w:highlight w:val="none"/>
              </w:rPr>
              <w:t>从类比结果来看，一般情况下施工扬尘的影响范围在200m以内。在扬尘点下风向0~50m为较重污染带、50</w:t>
            </w:r>
            <w:r>
              <w:rPr>
                <w:rFonts w:hint="eastAsia"/>
                <w:color w:val="auto"/>
                <w:kern w:val="0"/>
                <w:sz w:val="24"/>
                <w:highlight w:val="none"/>
                <w:lang w:eastAsia="zh-CN"/>
              </w:rPr>
              <w:t>～</w:t>
            </w:r>
            <w:r>
              <w:rPr>
                <w:color w:val="auto"/>
                <w:kern w:val="0"/>
                <w:sz w:val="24"/>
                <w:highlight w:val="none"/>
              </w:rPr>
              <w:t>100m为污染带、100</w:t>
            </w:r>
            <w:r>
              <w:rPr>
                <w:rFonts w:hint="eastAsia"/>
                <w:color w:val="auto"/>
                <w:kern w:val="0"/>
                <w:sz w:val="24"/>
                <w:highlight w:val="none"/>
                <w:lang w:eastAsia="zh-CN"/>
              </w:rPr>
              <w:t>～</w:t>
            </w:r>
            <w:r>
              <w:rPr>
                <w:color w:val="auto"/>
                <w:kern w:val="0"/>
                <w:sz w:val="24"/>
                <w:highlight w:val="none"/>
              </w:rPr>
              <w:t>200m为轻污染带，200m以外对大气影响甚微。根据调查，</w:t>
            </w:r>
            <w:r>
              <w:rPr>
                <w:rFonts w:hint="eastAsia"/>
                <w:color w:val="auto"/>
                <w:kern w:val="0"/>
                <w:sz w:val="24"/>
                <w:highlight w:val="none"/>
                <w:lang w:val="en-US" w:eastAsia="zh-CN"/>
              </w:rPr>
              <w:t>新征地块</w:t>
            </w:r>
            <w:r>
              <w:rPr>
                <w:color w:val="auto"/>
                <w:kern w:val="0"/>
                <w:sz w:val="24"/>
                <w:highlight w:val="none"/>
              </w:rPr>
              <w:t>周边距离200m范围没有村庄等居民密集点分布。因此，项目施工对附近村庄的环境空气影响不大。考虑工程区施工过程中会进行开挖土石方、清除表土层等场地平整作业，运输车辆沿途扬尘客观存在，建议工程在施工过程中</w:t>
            </w:r>
            <w:r>
              <w:rPr>
                <w:rFonts w:hint="eastAsia"/>
                <w:color w:val="auto"/>
                <w:kern w:val="0"/>
                <w:sz w:val="24"/>
                <w:highlight w:val="none"/>
                <w:lang w:eastAsia="zh-CN"/>
              </w:rPr>
              <w:t>对</w:t>
            </w:r>
            <w:r>
              <w:rPr>
                <w:color w:val="auto"/>
                <w:kern w:val="0"/>
                <w:sz w:val="24"/>
                <w:highlight w:val="none"/>
              </w:rPr>
              <w:t>施工场地采取洒水保湿、施工场地四周设置屏障等扬尘控制措施，降低大风季节施工扬尘对</w:t>
            </w:r>
            <w:r>
              <w:rPr>
                <w:rFonts w:hint="eastAsia"/>
                <w:color w:val="auto"/>
                <w:kern w:val="0"/>
                <w:sz w:val="24"/>
                <w:highlight w:val="none"/>
                <w:lang w:eastAsia="zh-CN"/>
              </w:rPr>
              <w:t>施工场</w:t>
            </w:r>
            <w:r>
              <w:rPr>
                <w:color w:val="auto"/>
                <w:kern w:val="0"/>
                <w:sz w:val="24"/>
                <w:highlight w:val="none"/>
              </w:rPr>
              <w:t>界外环境空气的影响，确保将工程建设对当地居民的生活环境不利影响降至最低。</w:t>
            </w:r>
          </w:p>
          <w:p>
            <w:pPr>
              <w:adjustRightInd w:val="0"/>
              <w:snapToGrid w:val="0"/>
              <w:spacing w:line="360" w:lineRule="auto"/>
              <w:ind w:firstLine="480" w:firstLineChars="200"/>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②</w:t>
            </w:r>
            <w:r>
              <w:rPr>
                <w:rFonts w:hint="eastAsia" w:ascii="宋体" w:hAnsi="宋体" w:cs="宋体"/>
                <w:color w:val="auto"/>
                <w:kern w:val="0"/>
                <w:sz w:val="24"/>
                <w:highlight w:val="none"/>
                <w:lang w:val="en-US" w:eastAsia="zh-CN"/>
              </w:rPr>
              <w:t>施工粉尘控制措施</w:t>
            </w:r>
          </w:p>
          <w:p>
            <w:pPr>
              <w:adjustRightInd w:val="0"/>
              <w:snapToGrid w:val="0"/>
              <w:spacing w:line="360" w:lineRule="auto"/>
              <w:ind w:firstLine="480" w:firstLineChars="200"/>
              <w:rPr>
                <w:rFonts w:hint="default" w:eastAsia="宋体" w:cs="Times New Roman"/>
                <w:color w:val="auto"/>
                <w:kern w:val="0"/>
                <w:sz w:val="24"/>
                <w:highlight w:val="none"/>
                <w:lang w:val="en-US" w:eastAsia="zh-CN"/>
              </w:rPr>
            </w:pPr>
            <w:r>
              <w:rPr>
                <w:rFonts w:hint="eastAsia" w:cs="Times New Roman"/>
                <w:color w:val="auto"/>
                <w:kern w:val="0"/>
                <w:sz w:val="24"/>
                <w:highlight w:val="none"/>
                <w:lang w:val="en-US" w:eastAsia="zh-CN"/>
              </w:rPr>
              <w:t>施工粉尘控制措施主要如下：</w:t>
            </w:r>
          </w:p>
          <w:p>
            <w:pPr>
              <w:adjustRightInd w:val="0"/>
              <w:snapToGrid w:val="0"/>
              <w:spacing w:line="360" w:lineRule="auto"/>
              <w:ind w:firstLine="480" w:firstLineChars="200"/>
              <w:rPr>
                <w:rFonts w:hint="eastAsia" w:cs="Times New Roman"/>
                <w:color w:val="auto"/>
                <w:kern w:val="0"/>
                <w:sz w:val="24"/>
                <w:highlight w:val="none"/>
                <w:lang w:val="en-US" w:eastAsia="zh-CN"/>
              </w:rPr>
            </w:pPr>
            <w:r>
              <w:rPr>
                <w:rFonts w:hint="eastAsia" w:ascii="宋体" w:hAnsi="宋体" w:eastAsia="宋体" w:cs="宋体"/>
                <w:color w:val="auto"/>
                <w:kern w:val="0"/>
                <w:sz w:val="24"/>
                <w:highlight w:val="none"/>
              </w:rPr>
              <w:t>◎</w:t>
            </w:r>
            <w:r>
              <w:rPr>
                <w:rFonts w:hint="eastAsia" w:eastAsia="宋体" w:cs="Times New Roman"/>
                <w:color w:val="auto"/>
                <w:kern w:val="0"/>
                <w:sz w:val="24"/>
                <w:highlight w:val="none"/>
                <w:lang w:val="en-US" w:eastAsia="zh-CN"/>
              </w:rPr>
              <w:t>进出场物料运输车辆应密闭运输，防止物料洒落和扬尘</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如</w:t>
            </w:r>
            <w:r>
              <w:rPr>
                <w:rFonts w:eastAsia="宋体" w:cs="Times New Roman"/>
                <w:color w:val="auto"/>
                <w:kern w:val="0"/>
                <w:sz w:val="24"/>
                <w:highlight w:val="none"/>
              </w:rPr>
              <w:t>采取必要的遮盖措施</w:t>
            </w:r>
            <w:r>
              <w:rPr>
                <w:rFonts w:hint="eastAsia" w:cs="Times New Roman"/>
                <w:color w:val="auto"/>
                <w:kern w:val="0"/>
                <w:sz w:val="24"/>
                <w:highlight w:val="none"/>
                <w:lang w:val="en-US" w:eastAsia="zh-CN"/>
              </w:rPr>
              <w:t>；</w:t>
            </w:r>
          </w:p>
          <w:p>
            <w:pPr>
              <w:adjustRightInd w:val="0"/>
              <w:snapToGrid w:val="0"/>
              <w:spacing w:line="360" w:lineRule="auto"/>
              <w:ind w:firstLine="480" w:firstLineChars="200"/>
              <w:rPr>
                <w:rFonts w:hint="eastAsia" w:eastAsia="宋体" w:cs="Times New Roman"/>
                <w:color w:val="auto"/>
                <w:kern w:val="0"/>
                <w:sz w:val="24"/>
                <w:highlight w:val="none"/>
                <w:lang w:val="en-US" w:eastAsia="zh-CN"/>
              </w:rPr>
            </w:pP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施工场地进出口设置运输车辆清洗装置，</w:t>
            </w:r>
            <w:r>
              <w:rPr>
                <w:rFonts w:hint="eastAsia" w:cs="Times New Roman"/>
                <w:color w:val="auto"/>
                <w:kern w:val="0"/>
                <w:sz w:val="24"/>
                <w:highlight w:val="none"/>
                <w:lang w:val="en-US" w:eastAsia="zh-CN"/>
              </w:rPr>
              <w:t>进出</w:t>
            </w:r>
            <w:r>
              <w:rPr>
                <w:rFonts w:hint="eastAsia" w:eastAsia="宋体" w:cs="Times New Roman"/>
                <w:color w:val="auto"/>
                <w:kern w:val="0"/>
                <w:sz w:val="24"/>
                <w:highlight w:val="none"/>
                <w:lang w:val="en-US" w:eastAsia="zh-CN"/>
              </w:rPr>
              <w:t>运输车辆底盘和车轮</w:t>
            </w:r>
            <w:r>
              <w:rPr>
                <w:rFonts w:hint="eastAsia" w:cs="Times New Roman"/>
                <w:color w:val="auto"/>
                <w:kern w:val="0"/>
                <w:sz w:val="24"/>
                <w:highlight w:val="none"/>
                <w:lang w:val="en-US" w:eastAsia="zh-CN"/>
              </w:rPr>
              <w:t>必须</w:t>
            </w:r>
            <w:r>
              <w:rPr>
                <w:rFonts w:hint="eastAsia" w:eastAsia="宋体" w:cs="Times New Roman"/>
                <w:color w:val="auto"/>
                <w:kern w:val="0"/>
                <w:sz w:val="24"/>
                <w:highlight w:val="none"/>
                <w:lang w:val="en-US" w:eastAsia="zh-CN"/>
              </w:rPr>
              <w:t>冲洗干净</w:t>
            </w:r>
            <w:r>
              <w:rPr>
                <w:rFonts w:hint="eastAsia" w:cs="Times New Roman"/>
                <w:color w:val="auto"/>
                <w:kern w:val="0"/>
                <w:sz w:val="24"/>
                <w:highlight w:val="none"/>
                <w:lang w:val="en-US" w:eastAsia="zh-CN"/>
              </w:rPr>
              <w:t>；</w:t>
            </w:r>
          </w:p>
          <w:p>
            <w:pPr>
              <w:adjustRightInd w:val="0"/>
              <w:snapToGrid w:val="0"/>
              <w:spacing w:line="360" w:lineRule="auto"/>
              <w:ind w:firstLine="480" w:firstLineChars="200"/>
              <w:rPr>
                <w:rFonts w:hint="default" w:eastAsia="宋体" w:cs="Times New Roman"/>
                <w:color w:val="auto"/>
                <w:kern w:val="0"/>
                <w:sz w:val="24"/>
                <w:highlight w:val="none"/>
                <w:lang w:val="en-US" w:eastAsia="zh-CN"/>
              </w:rPr>
            </w:pPr>
            <w:r>
              <w:rPr>
                <w:rFonts w:hint="eastAsia" w:ascii="宋体" w:hAnsi="宋体" w:eastAsia="宋体" w:cs="宋体"/>
                <w:color w:val="auto"/>
                <w:kern w:val="0"/>
                <w:sz w:val="24"/>
                <w:highlight w:val="none"/>
              </w:rPr>
              <w:t>◎</w:t>
            </w:r>
            <w:r>
              <w:rPr>
                <w:rFonts w:hint="eastAsia" w:eastAsia="宋体" w:cs="Times New Roman"/>
                <w:color w:val="auto"/>
                <w:kern w:val="0"/>
                <w:sz w:val="24"/>
                <w:highlight w:val="none"/>
                <w:lang w:val="en-US" w:eastAsia="zh-CN"/>
              </w:rPr>
              <w:t>易产生扬尘</w:t>
            </w:r>
            <w:r>
              <w:rPr>
                <w:rFonts w:hint="eastAsia" w:ascii="宋体" w:hAnsi="宋体" w:cs="宋体"/>
                <w:color w:val="auto"/>
                <w:kern w:val="0"/>
                <w:sz w:val="24"/>
                <w:highlight w:val="none"/>
                <w:lang w:val="en-US" w:eastAsia="zh-CN"/>
              </w:rPr>
              <w:t>物料避免露天堆放，</w:t>
            </w:r>
            <w:r>
              <w:rPr>
                <w:rFonts w:hint="eastAsia" w:eastAsia="宋体" w:cs="Times New Roman"/>
                <w:color w:val="auto"/>
                <w:kern w:val="0"/>
                <w:sz w:val="24"/>
                <w:highlight w:val="none"/>
                <w:lang w:val="en-US" w:eastAsia="zh-CN"/>
              </w:rPr>
              <w:t>应用防尘布或防尘网苫盖，并定期洒水抑尘</w:t>
            </w:r>
            <w:r>
              <w:rPr>
                <w:rFonts w:hint="eastAsia" w:cs="Times New Roman"/>
                <w:color w:val="auto"/>
                <w:kern w:val="0"/>
                <w:sz w:val="24"/>
                <w:highlight w:val="none"/>
                <w:lang w:val="en-US" w:eastAsia="zh-CN"/>
              </w:rPr>
              <w:t>；</w:t>
            </w:r>
          </w:p>
          <w:p>
            <w:pPr>
              <w:adjustRightInd w:val="0"/>
              <w:snapToGrid w:val="0"/>
              <w:spacing w:line="360" w:lineRule="auto"/>
              <w:ind w:firstLine="480" w:firstLineChars="200"/>
              <w:rPr>
                <w:rFonts w:hint="eastAsia" w:cs="Times New Roman"/>
                <w:color w:val="auto"/>
                <w:kern w:val="0"/>
                <w:sz w:val="24"/>
                <w:highlight w:val="none"/>
                <w:lang w:val="en-US" w:eastAsia="zh-CN"/>
              </w:rPr>
            </w:pPr>
            <w:r>
              <w:rPr>
                <w:rFonts w:hint="eastAsia" w:ascii="宋体" w:hAnsi="宋体" w:eastAsia="宋体" w:cs="宋体"/>
                <w:color w:val="auto"/>
                <w:kern w:val="0"/>
                <w:sz w:val="24"/>
                <w:highlight w:val="none"/>
              </w:rPr>
              <w:t>◎</w:t>
            </w:r>
            <w:r>
              <w:rPr>
                <w:rFonts w:eastAsia="宋体" w:cs="Times New Roman"/>
                <w:color w:val="auto"/>
                <w:kern w:val="0"/>
                <w:sz w:val="24"/>
                <w:highlight w:val="none"/>
              </w:rPr>
              <w:t>运输车辆限速行驶，减少建筑材料运输过程的起尘量，降低对沿途居住区的不利影响</w:t>
            </w:r>
            <w:r>
              <w:rPr>
                <w:rFonts w:hint="eastAsia" w:cs="Times New Roman"/>
                <w:color w:val="auto"/>
                <w:kern w:val="0"/>
                <w:sz w:val="24"/>
                <w:highlight w:val="none"/>
                <w:lang w:val="en-US" w:eastAsia="zh-CN"/>
              </w:rPr>
              <w:t>；</w:t>
            </w:r>
          </w:p>
          <w:p>
            <w:pPr>
              <w:adjustRightInd w:val="0"/>
              <w:snapToGrid w:val="0"/>
              <w:spacing w:line="360" w:lineRule="auto"/>
              <w:ind w:firstLine="480" w:firstLineChars="200"/>
              <w:rPr>
                <w:rFonts w:hint="eastAsia" w:cs="Times New Roman"/>
                <w:color w:val="auto"/>
                <w:kern w:val="0"/>
                <w:sz w:val="24"/>
                <w:highlight w:val="none"/>
                <w:lang w:val="en-US" w:eastAsia="zh-CN"/>
              </w:rPr>
            </w:pPr>
            <w:r>
              <w:rPr>
                <w:rFonts w:hint="eastAsia" w:ascii="宋体" w:hAnsi="宋体" w:eastAsia="宋体" w:cs="宋体"/>
                <w:color w:val="auto"/>
                <w:kern w:val="0"/>
                <w:sz w:val="24"/>
                <w:highlight w:val="none"/>
              </w:rPr>
              <w:t>◎</w:t>
            </w:r>
            <w:r>
              <w:rPr>
                <w:rFonts w:eastAsia="宋体" w:cs="Times New Roman"/>
                <w:color w:val="auto"/>
                <w:kern w:val="0"/>
                <w:sz w:val="24"/>
                <w:highlight w:val="none"/>
              </w:rPr>
              <w:t>混凝土应采用全封闭式搅拌车制备运输</w:t>
            </w:r>
            <w:r>
              <w:rPr>
                <w:rFonts w:hint="eastAsia" w:cs="Times New Roman"/>
                <w:color w:val="auto"/>
                <w:kern w:val="0"/>
                <w:sz w:val="24"/>
                <w:highlight w:val="none"/>
                <w:lang w:val="en-US" w:eastAsia="zh-CN"/>
              </w:rPr>
              <w:t>；</w:t>
            </w:r>
          </w:p>
          <w:p>
            <w:pPr>
              <w:adjustRightInd w:val="0"/>
              <w:snapToGrid w:val="0"/>
              <w:spacing w:line="360" w:lineRule="auto"/>
              <w:ind w:firstLine="480" w:firstLineChars="200"/>
              <w:rPr>
                <w:rFonts w:eastAsia="宋体" w:cs="Times New Roman"/>
                <w:color w:val="auto"/>
                <w:kern w:val="0"/>
                <w:sz w:val="24"/>
                <w:highlight w:val="none"/>
              </w:rPr>
            </w:pPr>
            <w:r>
              <w:rPr>
                <w:rFonts w:hint="eastAsia" w:ascii="宋体" w:hAnsi="宋体" w:eastAsia="宋体" w:cs="宋体"/>
                <w:color w:val="auto"/>
                <w:kern w:val="0"/>
                <w:sz w:val="24"/>
                <w:highlight w:val="none"/>
              </w:rPr>
              <w:t>◎</w:t>
            </w:r>
            <w:r>
              <w:rPr>
                <w:rFonts w:hint="eastAsia" w:cs="Times New Roman"/>
                <w:color w:val="auto"/>
                <w:kern w:val="0"/>
                <w:sz w:val="24"/>
                <w:highlight w:val="none"/>
                <w:lang w:val="en-US" w:eastAsia="zh-CN"/>
              </w:rPr>
              <w:t>施工场地四周</w:t>
            </w:r>
            <w:r>
              <w:rPr>
                <w:rFonts w:eastAsia="宋体" w:cs="Times New Roman"/>
                <w:color w:val="auto"/>
                <w:kern w:val="0"/>
                <w:sz w:val="24"/>
                <w:highlight w:val="none"/>
              </w:rPr>
              <w:t>设置围挡，</w:t>
            </w:r>
            <w:r>
              <w:rPr>
                <w:rFonts w:hint="eastAsia" w:cs="Times New Roman"/>
                <w:color w:val="auto"/>
                <w:kern w:val="0"/>
                <w:sz w:val="24"/>
                <w:highlight w:val="none"/>
                <w:lang w:val="en-US" w:eastAsia="zh-CN"/>
              </w:rPr>
              <w:t>并安装雾化喷头，</w:t>
            </w:r>
            <w:r>
              <w:rPr>
                <w:rFonts w:eastAsia="宋体" w:cs="Times New Roman"/>
                <w:color w:val="auto"/>
                <w:kern w:val="0"/>
                <w:sz w:val="24"/>
                <w:highlight w:val="none"/>
              </w:rPr>
              <w:t>降低扬尘的污染。</w:t>
            </w:r>
          </w:p>
          <w:p>
            <w:pPr>
              <w:adjustRightInd w:val="0"/>
              <w:snapToGrid w:val="0"/>
              <w:spacing w:line="360" w:lineRule="auto"/>
              <w:ind w:firstLine="480" w:firstLineChars="200"/>
              <w:rPr>
                <w:color w:val="auto"/>
                <w:kern w:val="0"/>
                <w:sz w:val="24"/>
                <w:highlight w:val="none"/>
              </w:rPr>
            </w:pPr>
            <w:r>
              <w:rPr>
                <w:color w:val="auto"/>
                <w:kern w:val="0"/>
                <w:sz w:val="24"/>
                <w:highlight w:val="none"/>
              </w:rPr>
              <w:t>总体而言，施工期间，建筑材料及渣土的运输和堆放、装卸过程将产生二次扬尘，在一定范围内对工程区及其附近和运输道路沿线的村庄环境空气造成不利影响，但其影响范围和程度有限</w:t>
            </w:r>
            <w:r>
              <w:rPr>
                <w:rFonts w:hint="eastAsia"/>
                <w:color w:val="auto"/>
                <w:kern w:val="0"/>
                <w:sz w:val="24"/>
                <w:highlight w:val="none"/>
                <w:lang w:eastAsia="zh-CN"/>
              </w:rPr>
              <w:t>，</w:t>
            </w:r>
            <w:r>
              <w:rPr>
                <w:color w:val="auto"/>
                <w:kern w:val="0"/>
                <w:sz w:val="24"/>
                <w:highlight w:val="none"/>
              </w:rPr>
              <w:t>能够通过加强环境管理和采取必要的措施得以</w:t>
            </w:r>
            <w:r>
              <w:rPr>
                <w:rFonts w:hint="eastAsia"/>
                <w:color w:val="auto"/>
                <w:kern w:val="0"/>
                <w:sz w:val="24"/>
                <w:highlight w:val="none"/>
                <w:lang w:eastAsia="zh-CN"/>
              </w:rPr>
              <w:t>有效地</w:t>
            </w:r>
            <w:r>
              <w:rPr>
                <w:color w:val="auto"/>
                <w:kern w:val="0"/>
                <w:sz w:val="24"/>
                <w:highlight w:val="none"/>
              </w:rPr>
              <w:t>控制。</w:t>
            </w:r>
          </w:p>
          <w:p>
            <w:pPr>
              <w:adjustRightInd w:val="0"/>
              <w:snapToGrid w:val="0"/>
              <w:spacing w:line="360" w:lineRule="auto"/>
              <w:ind w:firstLine="480" w:firstLineChars="200"/>
              <w:rPr>
                <w:color w:val="auto"/>
                <w:kern w:val="0"/>
                <w:sz w:val="24"/>
                <w:highlight w:val="none"/>
              </w:rPr>
            </w:pPr>
            <w:r>
              <w:rPr>
                <w:color w:val="auto"/>
                <w:kern w:val="0"/>
                <w:sz w:val="24"/>
                <w:highlight w:val="none"/>
              </w:rPr>
              <w:t>（2）焊接烟气</w:t>
            </w:r>
          </w:p>
          <w:p>
            <w:pPr>
              <w:adjustRightInd w:val="0"/>
              <w:snapToGrid w:val="0"/>
              <w:spacing w:line="360" w:lineRule="auto"/>
              <w:ind w:firstLine="480" w:firstLineChars="200"/>
              <w:rPr>
                <w:color w:val="auto"/>
                <w:kern w:val="0"/>
                <w:sz w:val="24"/>
                <w:highlight w:val="none"/>
              </w:rPr>
            </w:pPr>
            <w:r>
              <w:rPr>
                <w:color w:val="auto"/>
                <w:kern w:val="0"/>
                <w:sz w:val="24"/>
                <w:highlight w:val="none"/>
              </w:rPr>
              <w:t>本项目设施施工安装过程的焊接烟气产生量可忽略不计，施工期短，工程一结束，影响随之消失。</w:t>
            </w:r>
          </w:p>
          <w:p>
            <w:pPr>
              <w:adjustRightInd w:val="0"/>
              <w:snapToGrid w:val="0"/>
              <w:spacing w:line="360" w:lineRule="auto"/>
              <w:ind w:firstLine="480" w:firstLineChars="200"/>
              <w:rPr>
                <w:color w:val="auto"/>
                <w:kern w:val="0"/>
                <w:sz w:val="24"/>
                <w:highlight w:val="none"/>
              </w:rPr>
            </w:pPr>
            <w:r>
              <w:rPr>
                <w:color w:val="auto"/>
                <w:kern w:val="0"/>
                <w:sz w:val="24"/>
                <w:highlight w:val="none"/>
              </w:rPr>
              <w:t>（3）施工机械、施工车辆燃油产生的尾气</w:t>
            </w:r>
          </w:p>
          <w:p>
            <w:pPr>
              <w:adjustRightInd w:val="0"/>
              <w:snapToGrid w:val="0"/>
              <w:spacing w:line="360" w:lineRule="auto"/>
              <w:ind w:firstLine="480" w:firstLineChars="200"/>
              <w:rPr>
                <w:color w:val="auto"/>
                <w:kern w:val="0"/>
                <w:sz w:val="24"/>
                <w:highlight w:val="none"/>
              </w:rPr>
            </w:pPr>
            <w:r>
              <w:rPr>
                <w:color w:val="auto"/>
                <w:kern w:val="0"/>
                <w:sz w:val="24"/>
                <w:highlight w:val="none"/>
              </w:rPr>
              <w:t>施工机械运输和车辆动力源为柴油，主要污染物为NO</w:t>
            </w:r>
            <w:r>
              <w:rPr>
                <w:color w:val="auto"/>
                <w:kern w:val="0"/>
                <w:sz w:val="24"/>
                <w:highlight w:val="none"/>
                <w:vertAlign w:val="subscript"/>
              </w:rPr>
              <w:t>2</w:t>
            </w:r>
            <w:r>
              <w:rPr>
                <w:color w:val="auto"/>
                <w:kern w:val="0"/>
                <w:sz w:val="24"/>
                <w:highlight w:val="none"/>
              </w:rPr>
              <w:t>、CO和THC（碳氢化合物）等。一般来说，施工机械排放的废气和运输车辆尾气的污染源较分散</w:t>
            </w:r>
            <w:r>
              <w:rPr>
                <w:rFonts w:hint="eastAsia"/>
                <w:color w:val="auto"/>
                <w:kern w:val="0"/>
                <w:sz w:val="24"/>
                <w:highlight w:val="none"/>
                <w:lang w:eastAsia="zh-CN"/>
              </w:rPr>
              <w:t>，</w:t>
            </w:r>
            <w:r>
              <w:rPr>
                <w:color w:val="auto"/>
                <w:kern w:val="0"/>
                <w:sz w:val="24"/>
                <w:highlight w:val="none"/>
              </w:rPr>
              <w:t>是流动性的，因数量少，影响较为轻微。</w:t>
            </w:r>
          </w:p>
          <w:p>
            <w:pPr>
              <w:pStyle w:val="91"/>
              <w:numPr>
                <w:ilvl w:val="0"/>
                <w:numId w:val="0"/>
              </w:numPr>
              <w:rPr>
                <w:rFonts w:hint="default" w:eastAsia="黑体"/>
                <w:color w:val="auto"/>
                <w:highlight w:val="none"/>
                <w:lang w:val="en-US" w:eastAsia="zh-CN"/>
              </w:rPr>
            </w:pPr>
            <w:r>
              <w:rPr>
                <w:rFonts w:hint="eastAsia"/>
                <w:color w:val="auto"/>
                <w:highlight w:val="none"/>
                <w:lang w:val="en-US" w:eastAsia="zh-CN"/>
              </w:rPr>
              <w:t>4.1.2</w:t>
            </w:r>
            <w:r>
              <w:rPr>
                <w:rFonts w:hint="eastAsia"/>
                <w:color w:val="auto"/>
                <w:highlight w:val="none"/>
              </w:rPr>
              <w:t>施工期水环境影响</w:t>
            </w:r>
            <w:r>
              <w:rPr>
                <w:rFonts w:hint="eastAsia"/>
                <w:color w:val="auto"/>
                <w:highlight w:val="none"/>
                <w:lang w:val="en-US" w:eastAsia="zh-CN"/>
              </w:rPr>
              <w:t>和措施</w:t>
            </w:r>
          </w:p>
          <w:p>
            <w:pPr>
              <w:pStyle w:val="79"/>
              <w:tabs>
                <w:tab w:val="left" w:pos="4500"/>
              </w:tabs>
              <w:spacing w:after="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施工期水污染源来自施工营地的施工生产废水与施工生活污水，主要包括施工人员生活污水、施工泥浆水、水泥混凝土浇筑养护用水、车辆和机械设备洗涤水等。</w:t>
            </w:r>
          </w:p>
          <w:p>
            <w:pPr>
              <w:pStyle w:val="79"/>
              <w:tabs>
                <w:tab w:val="left" w:pos="4500"/>
              </w:tabs>
              <w:spacing w:after="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（1）施工人员生活污水</w:t>
            </w:r>
          </w:p>
          <w:p>
            <w:pPr>
              <w:pStyle w:val="79"/>
              <w:tabs>
                <w:tab w:val="left" w:pos="4500"/>
              </w:tabs>
              <w:spacing w:after="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本项目施工期生活污水包括施工人员粪便污水、淋浴污水、洗涤污水和食堂含油污水等，主要含有COD、BOD</w:t>
            </w:r>
            <w:r>
              <w:rPr>
                <w:rFonts w:hint="eastAsia" w:ascii="宋体" w:hAnsi="宋体" w:eastAsia="宋体" w:cs="宋体"/>
                <w:color w:val="auto"/>
                <w:sz w:val="24"/>
                <w:szCs w:val="24"/>
                <w:highlight w:val="none"/>
                <w:vertAlign w:val="subscript"/>
              </w:rPr>
              <w:t>5</w:t>
            </w:r>
            <w:r>
              <w:rPr>
                <w:rFonts w:hint="eastAsia" w:ascii="宋体" w:hAnsi="宋体" w:eastAsia="宋体" w:cs="宋体"/>
                <w:color w:val="auto"/>
                <w:sz w:val="24"/>
                <w:szCs w:val="24"/>
                <w:highlight w:val="none"/>
              </w:rPr>
              <w:t>、SS、NH</w:t>
            </w:r>
            <w:r>
              <w:rPr>
                <w:rFonts w:hint="eastAsia" w:ascii="宋体" w:hAnsi="宋体" w:eastAsia="宋体" w:cs="宋体"/>
                <w:color w:val="auto"/>
                <w:sz w:val="24"/>
                <w:szCs w:val="24"/>
                <w:highlight w:val="none"/>
                <w:vertAlign w:val="subscript"/>
              </w:rPr>
              <w:t>3</w:t>
            </w:r>
            <w:r>
              <w:rPr>
                <w:rFonts w:hint="eastAsia" w:ascii="宋体" w:hAnsi="宋体" w:eastAsia="宋体" w:cs="宋体"/>
                <w:color w:val="auto"/>
                <w:sz w:val="24"/>
                <w:szCs w:val="24"/>
                <w:highlight w:val="none"/>
              </w:rPr>
              <w:t>-N和动植物油以及粪大肠菌群等污染物。</w:t>
            </w:r>
          </w:p>
          <w:p>
            <w:pPr>
              <w:pStyle w:val="79"/>
              <w:tabs>
                <w:tab w:val="left" w:pos="4500"/>
              </w:tabs>
              <w:spacing w:after="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本项目施工高峰时期施工人员需要大约50人。根据本项目所处地理位置、气候环境和生活条件等实际情况分析，施工人员人均生活用水量按100L/人·日计，排水系数取80%。施工期</w:t>
            </w:r>
            <w:r>
              <w:rPr>
                <w:rFonts w:hint="eastAsia" w:ascii="宋体" w:hAnsi="宋体" w:cs="宋体"/>
                <w:color w:val="auto"/>
                <w:sz w:val="24"/>
                <w:szCs w:val="24"/>
                <w:highlight w:val="none"/>
                <w:lang w:eastAsia="zh-CN"/>
              </w:rPr>
              <w:t>生活污水</w:t>
            </w:r>
            <w:r>
              <w:rPr>
                <w:rFonts w:hint="eastAsia" w:ascii="宋体" w:hAnsi="宋体" w:eastAsia="宋体" w:cs="宋体"/>
                <w:color w:val="auto"/>
                <w:sz w:val="24"/>
                <w:szCs w:val="24"/>
                <w:highlight w:val="none"/>
              </w:rPr>
              <w:t>产生量约为4m</w:t>
            </w:r>
            <w:r>
              <w:rPr>
                <w:rFonts w:hint="eastAsia" w:ascii="宋体" w:hAnsi="宋体" w:eastAsia="宋体" w:cs="宋体"/>
                <w:color w:val="auto"/>
                <w:sz w:val="24"/>
                <w:szCs w:val="24"/>
                <w:highlight w:val="none"/>
                <w:vertAlign w:val="superscript"/>
              </w:rPr>
              <w:t>3</w:t>
            </w:r>
            <w:r>
              <w:rPr>
                <w:rFonts w:hint="eastAsia" w:ascii="宋体" w:hAnsi="宋体" w:eastAsia="宋体" w:cs="宋体"/>
                <w:color w:val="auto"/>
                <w:sz w:val="24"/>
                <w:szCs w:val="24"/>
                <w:highlight w:val="none"/>
              </w:rPr>
              <w:t>/d，主要污染物为COD、氨氮、SS等，</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施工</w:t>
            </w:r>
            <w:r>
              <w:rPr>
                <w:rFonts w:hint="eastAsia" w:ascii="宋体" w:hAnsi="宋体" w:eastAsia="宋体" w:cs="宋体"/>
                <w:color w:val="auto"/>
                <w:sz w:val="24"/>
                <w:szCs w:val="24"/>
                <w:highlight w:val="none"/>
                <w:lang w:val="en-US" w:eastAsia="zh-CN"/>
              </w:rPr>
              <w:t>场地内不设置施工营地，施工人员</w:t>
            </w:r>
            <w:r>
              <w:rPr>
                <w:rFonts w:hint="eastAsia" w:ascii="宋体" w:hAnsi="宋体" w:eastAsia="宋体" w:cs="宋体"/>
                <w:color w:val="auto"/>
                <w:sz w:val="24"/>
                <w:szCs w:val="24"/>
                <w:highlight w:val="none"/>
              </w:rPr>
              <w:t>生活污水</w:t>
            </w:r>
            <w:r>
              <w:rPr>
                <w:rFonts w:hint="eastAsia" w:ascii="宋体" w:hAnsi="宋体" w:eastAsia="宋体" w:cs="宋体"/>
                <w:color w:val="auto"/>
                <w:sz w:val="24"/>
                <w:szCs w:val="24"/>
                <w:highlight w:val="none"/>
                <w:lang w:val="en-US" w:eastAsia="zh-CN"/>
              </w:rPr>
              <w:t>依托周边村庄及已建成厂区化粪池消化处理后，排入长乐滨海工业区污水处理厂统一处理。</w:t>
            </w:r>
          </w:p>
          <w:p>
            <w:pPr>
              <w:pStyle w:val="79"/>
              <w:tabs>
                <w:tab w:val="left" w:pos="4500"/>
              </w:tabs>
              <w:spacing w:after="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（2）施工生产废水</w:t>
            </w:r>
          </w:p>
          <w:p>
            <w:pPr>
              <w:pStyle w:val="79"/>
              <w:tabs>
                <w:tab w:val="left" w:pos="4500"/>
              </w:tabs>
              <w:spacing w:after="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本项目施工期生产废水主要来自汽车机械设备冲洗含油废水以及施工场地泥浆水、水泥混凝土浇筑养护用水等。</w:t>
            </w:r>
          </w:p>
          <w:p>
            <w:pPr>
              <w:pStyle w:val="79"/>
              <w:tabs>
                <w:tab w:val="left" w:pos="4500"/>
              </w:tabs>
              <w:spacing w:after="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高峰期运输车辆和机械设备包括挖掘机、推土机、自卸汽车以及各类车辆大约共有40辆（台）。汽车机械临时保养站（含停车场）对运输车辆和机械设备冲洗主要集中在每日晚上进行1次。估计每次冲洗总耗时约为2h，每次每辆（台）运输车辆和机械设备平均冲洗废水量约为0.08t，主要污染物是含有高浓度的泥沙和较高浓度的石油类物质。施工机械清洗废水隔油沉淀后回用。施工场地设置简易的泥浆水收集池，使泥浆水自然渗透过滤，避免泥浆水直接流入周边水域，影响水域水质环境。水泥混凝土浇筑养护用水自然蒸发不外排。</w:t>
            </w:r>
          </w:p>
          <w:p>
            <w:pPr>
              <w:pStyle w:val="79"/>
              <w:tabs>
                <w:tab w:val="left" w:pos="4500"/>
              </w:tabs>
              <w:spacing w:after="0"/>
              <w:ind w:firstLine="48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环保措施</w:t>
            </w:r>
          </w:p>
          <w:p>
            <w:pPr>
              <w:pStyle w:val="79"/>
              <w:tabs>
                <w:tab w:val="left" w:pos="4500"/>
              </w:tabs>
              <w:spacing w:after="0"/>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施工人员</w:t>
            </w:r>
            <w:r>
              <w:rPr>
                <w:rFonts w:hint="eastAsia" w:ascii="宋体" w:hAnsi="宋体" w:eastAsia="宋体" w:cs="宋体"/>
                <w:color w:val="auto"/>
                <w:sz w:val="24"/>
                <w:szCs w:val="24"/>
                <w:highlight w:val="none"/>
              </w:rPr>
              <w:t>生活污水</w:t>
            </w:r>
            <w:r>
              <w:rPr>
                <w:rFonts w:hint="eastAsia" w:ascii="宋体" w:hAnsi="宋体" w:eastAsia="宋体" w:cs="宋体"/>
                <w:color w:val="auto"/>
                <w:sz w:val="24"/>
                <w:szCs w:val="24"/>
                <w:highlight w:val="none"/>
                <w:lang w:val="en-US" w:eastAsia="zh-CN"/>
              </w:rPr>
              <w:t>依托周边村庄及已建成厂区化粪池消化处理后，排入长乐滨海工业区污水处理厂统一处理；</w:t>
            </w:r>
          </w:p>
          <w:p>
            <w:pPr>
              <w:pStyle w:val="79"/>
              <w:tabs>
                <w:tab w:val="left" w:pos="4500"/>
              </w:tabs>
              <w:spacing w:after="0"/>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施工场地内设置施工机械清洗废水隔油沉淀池，机械清洗废水经隔油沉淀后回用。</w:t>
            </w:r>
          </w:p>
          <w:p>
            <w:pPr>
              <w:pStyle w:val="79"/>
              <w:tabs>
                <w:tab w:val="left" w:pos="4500"/>
              </w:tabs>
              <w:spacing w:after="0"/>
              <w:ind w:firstLine="48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施工场地设置</w:t>
            </w:r>
            <w:r>
              <w:rPr>
                <w:rFonts w:hint="eastAsia" w:ascii="宋体" w:hAnsi="宋体" w:eastAsia="宋体" w:cs="宋体"/>
                <w:color w:val="auto"/>
                <w:sz w:val="24"/>
                <w:szCs w:val="24"/>
                <w:highlight w:val="none"/>
              </w:rPr>
              <w:t>简易的泥浆水收集池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泥浆水沉淀后用于场界四周喷雾或</w:t>
            </w:r>
            <w:bookmarkStart w:id="3" w:name="_GoBack"/>
            <w:bookmarkEnd w:id="3"/>
            <w:r>
              <w:rPr>
                <w:rFonts w:hint="eastAsia" w:ascii="宋体" w:hAnsi="宋体" w:eastAsia="宋体" w:cs="宋体"/>
                <w:color w:val="auto"/>
                <w:sz w:val="24"/>
                <w:szCs w:val="24"/>
                <w:highlight w:val="none"/>
                <w:lang w:val="en-US" w:eastAsia="zh-CN"/>
              </w:rPr>
              <w:t>自然蒸发。</w:t>
            </w:r>
          </w:p>
          <w:p>
            <w:pPr>
              <w:pStyle w:val="91"/>
              <w:numPr>
                <w:ilvl w:val="0"/>
                <w:numId w:val="0"/>
              </w:numPr>
              <w:rPr>
                <w:rFonts w:hint="eastAsia"/>
                <w:color w:val="auto"/>
                <w:highlight w:val="none"/>
              </w:rPr>
            </w:pPr>
            <w:r>
              <w:rPr>
                <w:rFonts w:hint="eastAsia"/>
                <w:color w:val="auto"/>
                <w:highlight w:val="none"/>
                <w:lang w:val="en-US" w:eastAsia="zh-CN"/>
              </w:rPr>
              <w:t>4.1.3</w:t>
            </w:r>
            <w:r>
              <w:rPr>
                <w:rFonts w:hint="eastAsia"/>
                <w:color w:val="auto"/>
                <w:highlight w:val="none"/>
              </w:rPr>
              <w:t>施工噪声环境影响</w:t>
            </w:r>
          </w:p>
          <w:p>
            <w:pPr>
              <w:pStyle w:val="79"/>
              <w:tabs>
                <w:tab w:val="left" w:pos="4500"/>
              </w:tabs>
              <w:spacing w:after="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建筑施工中，除搅拌机位置相对固定以外，大部分声源设备随着施工位置的改变在施工区域内和建筑楼层最高高度以下移动；钻机、静压桩机一般为连续开机，挖掘机在大部分作业时间内为持续工作，搅拌机既有连续运转也有时开时停，混凝土振动器、冲击钻的持续开机时间大部分在5分钟以下，电刨、锯石机通常为瞬间噪声。类比多个工地的声源情况，不同距离测点的连续等效A声级见表4.1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p>
            <w:pPr>
              <w:pStyle w:val="92"/>
              <w:rPr>
                <w:color w:val="auto"/>
                <w:highlight w:val="none"/>
              </w:rPr>
            </w:pPr>
            <w:r>
              <w:rPr>
                <w:color w:val="auto"/>
                <w:highlight w:val="none"/>
              </w:rPr>
              <w:t>表</w:t>
            </w:r>
            <w:r>
              <w:rPr>
                <w:rFonts w:hint="eastAsia"/>
                <w:color w:val="auto"/>
                <w:highlight w:val="none"/>
              </w:rPr>
              <w:t>4.1</w:t>
            </w:r>
            <w:r>
              <w:rPr>
                <w:rFonts w:hint="eastAsia"/>
                <w:color w:val="auto"/>
                <w:highlight w:val="none"/>
                <w:lang w:val="en-US" w:eastAsia="zh-CN"/>
              </w:rPr>
              <w:t>.1</w:t>
            </w:r>
            <w:r>
              <w:rPr>
                <w:color w:val="auto"/>
                <w:highlight w:val="none"/>
              </w:rPr>
              <w:t xml:space="preserve">  建筑施工机械设备噪声监测数据</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07"/>
              <w:gridCol w:w="867"/>
              <w:gridCol w:w="1032"/>
              <w:gridCol w:w="1032"/>
              <w:gridCol w:w="1032"/>
              <w:gridCol w:w="1032"/>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restart"/>
                  <w:noWrap w:val="0"/>
                  <w:vAlign w:val="center"/>
                </w:tcPr>
                <w:p>
                  <w:pPr>
                    <w:tabs>
                      <w:tab w:val="left" w:pos="0"/>
                    </w:tabs>
                    <w:adjustRightInd w:val="0"/>
                    <w:snapToGrid w:val="0"/>
                    <w:jc w:val="center"/>
                    <w:rPr>
                      <w:color w:val="auto"/>
                      <w:szCs w:val="21"/>
                      <w:highlight w:val="none"/>
                    </w:rPr>
                  </w:pPr>
                  <w:r>
                    <w:rPr>
                      <w:color w:val="auto"/>
                      <w:szCs w:val="21"/>
                      <w:highlight w:val="none"/>
                    </w:rPr>
                    <w:t>施工阶段</w:t>
                  </w:r>
                </w:p>
              </w:tc>
              <w:tc>
                <w:tcPr>
                  <w:tcW w:w="863" w:type="pct"/>
                  <w:vMerge w:val="restart"/>
                  <w:noWrap w:val="0"/>
                  <w:vAlign w:val="center"/>
                </w:tcPr>
                <w:p>
                  <w:pPr>
                    <w:tabs>
                      <w:tab w:val="left" w:pos="0"/>
                    </w:tabs>
                    <w:adjustRightInd w:val="0"/>
                    <w:snapToGrid w:val="0"/>
                    <w:jc w:val="center"/>
                    <w:rPr>
                      <w:color w:val="auto"/>
                      <w:szCs w:val="21"/>
                      <w:highlight w:val="none"/>
                    </w:rPr>
                  </w:pPr>
                  <w:r>
                    <w:rPr>
                      <w:color w:val="auto"/>
                      <w:szCs w:val="21"/>
                      <w:highlight w:val="none"/>
                    </w:rPr>
                    <w:t>声源名称</w:t>
                  </w:r>
                </w:p>
              </w:tc>
              <w:tc>
                <w:tcPr>
                  <w:tcW w:w="3702" w:type="pct"/>
                  <w:gridSpan w:val="6"/>
                  <w:noWrap w:val="0"/>
                  <w:vAlign w:val="center"/>
                </w:tcPr>
                <w:p>
                  <w:pPr>
                    <w:tabs>
                      <w:tab w:val="left" w:pos="0"/>
                    </w:tabs>
                    <w:adjustRightInd w:val="0"/>
                    <w:snapToGrid w:val="0"/>
                    <w:jc w:val="center"/>
                    <w:rPr>
                      <w:color w:val="auto"/>
                      <w:szCs w:val="21"/>
                      <w:highlight w:val="none"/>
                    </w:rPr>
                  </w:pPr>
                  <w:r>
                    <w:rPr>
                      <w:color w:val="auto"/>
                      <w:szCs w:val="21"/>
                      <w:highlight w:val="none"/>
                    </w:rPr>
                    <w:t>与噪声源不同距离测点的连续等效A声级（dB）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33" w:type="pct"/>
                  <w:vMerge w:val="continue"/>
                  <w:noWrap w:val="0"/>
                  <w:vAlign w:val="center"/>
                </w:tcPr>
                <w:p>
                  <w:pPr>
                    <w:tabs>
                      <w:tab w:val="left" w:pos="0"/>
                    </w:tabs>
                    <w:adjustRightInd w:val="0"/>
                    <w:snapToGrid w:val="0"/>
                    <w:jc w:val="center"/>
                    <w:rPr>
                      <w:color w:val="auto"/>
                      <w:szCs w:val="21"/>
                      <w:highlight w:val="none"/>
                    </w:rPr>
                  </w:pPr>
                </w:p>
              </w:tc>
              <w:tc>
                <w:tcPr>
                  <w:tcW w:w="863" w:type="pct"/>
                  <w:vMerge w:val="continue"/>
                  <w:noWrap w:val="0"/>
                  <w:vAlign w:val="center"/>
                </w:tcPr>
                <w:p>
                  <w:pPr>
                    <w:tabs>
                      <w:tab w:val="left" w:pos="0"/>
                    </w:tabs>
                    <w:adjustRightInd w:val="0"/>
                    <w:snapToGrid w:val="0"/>
                    <w:jc w:val="center"/>
                    <w:rPr>
                      <w:color w:val="auto"/>
                      <w:szCs w:val="21"/>
                      <w:highlight w:val="none"/>
                    </w:rPr>
                  </w:pP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5m</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10m</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15m</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20m</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25m</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restart"/>
                  <w:noWrap w:val="0"/>
                  <w:vAlign w:val="center"/>
                </w:tcPr>
                <w:p>
                  <w:pPr>
                    <w:tabs>
                      <w:tab w:val="left" w:pos="0"/>
                    </w:tabs>
                    <w:adjustRightInd w:val="0"/>
                    <w:snapToGrid w:val="0"/>
                    <w:jc w:val="center"/>
                    <w:rPr>
                      <w:color w:val="auto"/>
                      <w:szCs w:val="21"/>
                      <w:highlight w:val="none"/>
                    </w:rPr>
                  </w:pPr>
                  <w:r>
                    <w:rPr>
                      <w:color w:val="auto"/>
                      <w:szCs w:val="21"/>
                      <w:highlight w:val="none"/>
                    </w:rPr>
                    <w:t>土</w:t>
                  </w:r>
                </w:p>
                <w:p>
                  <w:pPr>
                    <w:tabs>
                      <w:tab w:val="left" w:pos="0"/>
                    </w:tabs>
                    <w:adjustRightInd w:val="0"/>
                    <w:snapToGrid w:val="0"/>
                    <w:jc w:val="center"/>
                    <w:rPr>
                      <w:color w:val="auto"/>
                      <w:szCs w:val="21"/>
                      <w:highlight w:val="none"/>
                    </w:rPr>
                  </w:pPr>
                  <w:r>
                    <w:rPr>
                      <w:color w:val="auto"/>
                      <w:szCs w:val="21"/>
                      <w:highlight w:val="none"/>
                    </w:rPr>
                    <w:t>石</w:t>
                  </w:r>
                </w:p>
                <w:p>
                  <w:pPr>
                    <w:tabs>
                      <w:tab w:val="left" w:pos="0"/>
                    </w:tabs>
                    <w:adjustRightInd w:val="0"/>
                    <w:snapToGrid w:val="0"/>
                    <w:jc w:val="center"/>
                    <w:rPr>
                      <w:color w:val="auto"/>
                      <w:szCs w:val="21"/>
                      <w:highlight w:val="none"/>
                    </w:rPr>
                  </w:pPr>
                  <w:r>
                    <w:rPr>
                      <w:color w:val="auto"/>
                      <w:szCs w:val="21"/>
                      <w:highlight w:val="none"/>
                    </w:rPr>
                    <w:t>方</w:t>
                  </w: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装载机</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80</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77</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75</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74</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73</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continue"/>
                  <w:noWrap w:val="0"/>
                  <w:vAlign w:val="center"/>
                </w:tcPr>
                <w:p>
                  <w:pPr>
                    <w:tabs>
                      <w:tab w:val="left" w:pos="0"/>
                    </w:tabs>
                    <w:adjustRightInd w:val="0"/>
                    <w:snapToGrid w:val="0"/>
                    <w:jc w:val="center"/>
                    <w:rPr>
                      <w:color w:val="auto"/>
                      <w:szCs w:val="21"/>
                      <w:highlight w:val="none"/>
                    </w:rPr>
                  </w:pP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柴油压空机</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88</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82</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78</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76</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74</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continue"/>
                  <w:noWrap w:val="0"/>
                  <w:vAlign w:val="center"/>
                </w:tcPr>
                <w:p>
                  <w:pPr>
                    <w:tabs>
                      <w:tab w:val="left" w:pos="0"/>
                    </w:tabs>
                    <w:adjustRightInd w:val="0"/>
                    <w:snapToGrid w:val="0"/>
                    <w:jc w:val="center"/>
                    <w:rPr>
                      <w:color w:val="auto"/>
                      <w:szCs w:val="21"/>
                      <w:highlight w:val="none"/>
                    </w:rPr>
                  </w:pP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挖掘机</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79</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75</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73</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72</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71</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continue"/>
                  <w:noWrap w:val="0"/>
                  <w:vAlign w:val="center"/>
                </w:tcPr>
                <w:p>
                  <w:pPr>
                    <w:tabs>
                      <w:tab w:val="left" w:pos="0"/>
                    </w:tabs>
                    <w:adjustRightInd w:val="0"/>
                    <w:snapToGrid w:val="0"/>
                    <w:jc w:val="center"/>
                    <w:rPr>
                      <w:color w:val="auto"/>
                      <w:szCs w:val="21"/>
                      <w:highlight w:val="none"/>
                    </w:rPr>
                  </w:pP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风镐</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91</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87</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84</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82</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81</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restart"/>
                  <w:noWrap w:val="0"/>
                  <w:vAlign w:val="center"/>
                </w:tcPr>
                <w:p>
                  <w:pPr>
                    <w:tabs>
                      <w:tab w:val="left" w:pos="0"/>
                    </w:tabs>
                    <w:adjustRightInd w:val="0"/>
                    <w:snapToGrid w:val="0"/>
                    <w:jc w:val="center"/>
                    <w:rPr>
                      <w:color w:val="auto"/>
                      <w:szCs w:val="21"/>
                      <w:highlight w:val="none"/>
                    </w:rPr>
                  </w:pPr>
                  <w:r>
                    <w:rPr>
                      <w:color w:val="auto"/>
                      <w:szCs w:val="21"/>
                      <w:highlight w:val="none"/>
                    </w:rPr>
                    <w:t>打桩</w:t>
                  </w: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灌注桩钻机</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82</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78</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75</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74</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72</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continue"/>
                  <w:noWrap w:val="0"/>
                  <w:vAlign w:val="center"/>
                </w:tcPr>
                <w:p>
                  <w:pPr>
                    <w:tabs>
                      <w:tab w:val="left" w:pos="0"/>
                    </w:tabs>
                    <w:adjustRightInd w:val="0"/>
                    <w:snapToGrid w:val="0"/>
                    <w:jc w:val="center"/>
                    <w:rPr>
                      <w:color w:val="auto"/>
                      <w:szCs w:val="21"/>
                      <w:highlight w:val="none"/>
                    </w:rPr>
                  </w:pP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静压桩</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76</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73</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71</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70</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69</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restart"/>
                  <w:noWrap w:val="0"/>
                  <w:vAlign w:val="center"/>
                </w:tcPr>
                <w:p>
                  <w:pPr>
                    <w:tabs>
                      <w:tab w:val="left" w:pos="0"/>
                    </w:tabs>
                    <w:adjustRightInd w:val="0"/>
                    <w:snapToGrid w:val="0"/>
                    <w:jc w:val="center"/>
                    <w:rPr>
                      <w:color w:val="auto"/>
                      <w:szCs w:val="21"/>
                      <w:highlight w:val="none"/>
                    </w:rPr>
                  </w:pPr>
                  <w:r>
                    <w:rPr>
                      <w:color w:val="auto"/>
                      <w:szCs w:val="21"/>
                      <w:highlight w:val="none"/>
                    </w:rPr>
                    <w:t>结构</w:t>
                  </w: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搅拌机</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78</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74</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72</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70</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69</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continue"/>
                  <w:noWrap w:val="0"/>
                  <w:vAlign w:val="center"/>
                </w:tcPr>
                <w:p>
                  <w:pPr>
                    <w:tabs>
                      <w:tab w:val="left" w:pos="0"/>
                    </w:tabs>
                    <w:adjustRightInd w:val="0"/>
                    <w:snapToGrid w:val="0"/>
                    <w:jc w:val="center"/>
                    <w:rPr>
                      <w:color w:val="auto"/>
                      <w:szCs w:val="21"/>
                      <w:highlight w:val="none"/>
                    </w:rPr>
                  </w:pP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起重机</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80</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77</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75</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73</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72</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continue"/>
                  <w:noWrap w:val="0"/>
                  <w:vAlign w:val="center"/>
                </w:tcPr>
                <w:p>
                  <w:pPr>
                    <w:tabs>
                      <w:tab w:val="left" w:pos="0"/>
                    </w:tabs>
                    <w:adjustRightInd w:val="0"/>
                    <w:snapToGrid w:val="0"/>
                    <w:jc w:val="center"/>
                    <w:rPr>
                      <w:color w:val="auto"/>
                      <w:szCs w:val="21"/>
                      <w:highlight w:val="none"/>
                    </w:rPr>
                  </w:pP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振动棒</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78</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75</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73</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71</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70</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restart"/>
                  <w:noWrap w:val="0"/>
                  <w:vAlign w:val="center"/>
                </w:tcPr>
                <w:p>
                  <w:pPr>
                    <w:tabs>
                      <w:tab w:val="left" w:pos="0"/>
                    </w:tabs>
                    <w:adjustRightInd w:val="0"/>
                    <w:snapToGrid w:val="0"/>
                    <w:jc w:val="center"/>
                    <w:rPr>
                      <w:color w:val="auto"/>
                      <w:szCs w:val="21"/>
                      <w:highlight w:val="none"/>
                    </w:rPr>
                  </w:pPr>
                  <w:r>
                    <w:rPr>
                      <w:color w:val="auto"/>
                      <w:szCs w:val="21"/>
                      <w:highlight w:val="none"/>
                    </w:rPr>
                    <w:t>装修</w:t>
                  </w: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拉直切断机</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78</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73</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70</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67</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66</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3" w:type="pct"/>
                  <w:vMerge w:val="continue"/>
                  <w:noWrap w:val="0"/>
                  <w:vAlign w:val="center"/>
                </w:tcPr>
                <w:p>
                  <w:pPr>
                    <w:tabs>
                      <w:tab w:val="left" w:pos="0"/>
                    </w:tabs>
                    <w:adjustRightInd w:val="0"/>
                    <w:snapToGrid w:val="0"/>
                    <w:jc w:val="center"/>
                    <w:rPr>
                      <w:color w:val="auto"/>
                      <w:szCs w:val="21"/>
                      <w:highlight w:val="none"/>
                    </w:rPr>
                  </w:pPr>
                </w:p>
              </w:tc>
              <w:tc>
                <w:tcPr>
                  <w:tcW w:w="863" w:type="pct"/>
                  <w:noWrap w:val="0"/>
                  <w:vAlign w:val="center"/>
                </w:tcPr>
                <w:p>
                  <w:pPr>
                    <w:tabs>
                      <w:tab w:val="left" w:pos="0"/>
                    </w:tabs>
                    <w:adjustRightInd w:val="0"/>
                    <w:snapToGrid w:val="0"/>
                    <w:jc w:val="center"/>
                    <w:rPr>
                      <w:color w:val="auto"/>
                      <w:szCs w:val="21"/>
                      <w:highlight w:val="none"/>
                    </w:rPr>
                  </w:pPr>
                  <w:r>
                    <w:rPr>
                      <w:color w:val="auto"/>
                      <w:szCs w:val="21"/>
                      <w:highlight w:val="none"/>
                    </w:rPr>
                    <w:t>冲击钻</w:t>
                  </w:r>
                </w:p>
              </w:tc>
              <w:tc>
                <w:tcPr>
                  <w:tcW w:w="532" w:type="pct"/>
                  <w:noWrap w:val="0"/>
                  <w:vAlign w:val="center"/>
                </w:tcPr>
                <w:p>
                  <w:pPr>
                    <w:tabs>
                      <w:tab w:val="left" w:pos="0"/>
                    </w:tabs>
                    <w:adjustRightInd w:val="0"/>
                    <w:snapToGrid w:val="0"/>
                    <w:jc w:val="center"/>
                    <w:rPr>
                      <w:color w:val="auto"/>
                      <w:szCs w:val="21"/>
                      <w:highlight w:val="none"/>
                    </w:rPr>
                  </w:pPr>
                  <w:r>
                    <w:rPr>
                      <w:color w:val="auto"/>
                      <w:szCs w:val="21"/>
                      <w:highlight w:val="none"/>
                    </w:rPr>
                    <w:t>81</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78</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76</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74</w:t>
                  </w:r>
                </w:p>
              </w:tc>
              <w:tc>
                <w:tcPr>
                  <w:tcW w:w="633" w:type="pct"/>
                  <w:noWrap w:val="0"/>
                  <w:vAlign w:val="center"/>
                </w:tcPr>
                <w:p>
                  <w:pPr>
                    <w:tabs>
                      <w:tab w:val="left" w:pos="0"/>
                    </w:tabs>
                    <w:adjustRightInd w:val="0"/>
                    <w:snapToGrid w:val="0"/>
                    <w:jc w:val="center"/>
                    <w:rPr>
                      <w:color w:val="auto"/>
                      <w:szCs w:val="21"/>
                      <w:highlight w:val="none"/>
                    </w:rPr>
                  </w:pPr>
                  <w:r>
                    <w:rPr>
                      <w:color w:val="auto"/>
                      <w:szCs w:val="21"/>
                      <w:highlight w:val="none"/>
                    </w:rPr>
                    <w:t>73</w:t>
                  </w:r>
                </w:p>
              </w:tc>
              <w:tc>
                <w:tcPr>
                  <w:tcW w:w="635" w:type="pct"/>
                  <w:noWrap w:val="0"/>
                  <w:vAlign w:val="center"/>
                </w:tcPr>
                <w:p>
                  <w:pPr>
                    <w:tabs>
                      <w:tab w:val="left" w:pos="0"/>
                    </w:tabs>
                    <w:adjustRightInd w:val="0"/>
                    <w:snapToGrid w:val="0"/>
                    <w:jc w:val="center"/>
                    <w:rPr>
                      <w:color w:val="auto"/>
                      <w:szCs w:val="21"/>
                      <w:highlight w:val="none"/>
                    </w:rPr>
                  </w:pPr>
                  <w:r>
                    <w:rPr>
                      <w:color w:val="auto"/>
                      <w:szCs w:val="21"/>
                      <w:highlight w:val="none"/>
                    </w:rPr>
                    <w:t>72</w:t>
                  </w:r>
                </w:p>
              </w:tc>
            </w:tr>
          </w:tbl>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r>
              <w:rPr>
                <w:color w:val="auto"/>
                <w:sz w:val="24"/>
                <w:highlight w:val="none"/>
              </w:rPr>
              <w:t>由表</w:t>
            </w:r>
            <w:r>
              <w:rPr>
                <w:rFonts w:hint="eastAsia"/>
                <w:color w:val="auto"/>
                <w:sz w:val="24"/>
                <w:highlight w:val="none"/>
              </w:rPr>
              <w:t>4.1</w:t>
            </w:r>
            <w:r>
              <w:rPr>
                <w:rFonts w:hint="eastAsia"/>
                <w:color w:val="auto"/>
                <w:sz w:val="24"/>
                <w:highlight w:val="none"/>
                <w:lang w:val="en-US" w:eastAsia="zh-CN"/>
              </w:rPr>
              <w:t>.1</w:t>
            </w:r>
            <w:r>
              <w:rPr>
                <w:color w:val="auto"/>
                <w:sz w:val="24"/>
                <w:highlight w:val="none"/>
              </w:rPr>
              <w:t>可知，施工机械噪声在无遮挡情况下，如果使用单台机械，其中</w:t>
            </w:r>
            <w:r>
              <w:rPr>
                <w:rFonts w:hint="eastAsia"/>
                <w:color w:val="auto"/>
                <w:sz w:val="24"/>
                <w:highlight w:val="none"/>
              </w:rPr>
              <w:t>风镐</w:t>
            </w:r>
            <w:r>
              <w:rPr>
                <w:color w:val="auto"/>
                <w:sz w:val="24"/>
                <w:highlight w:val="none"/>
              </w:rPr>
              <w:t>的噪声影响最大，对环境的影响范围为白天</w:t>
            </w:r>
            <w:r>
              <w:rPr>
                <w:rFonts w:hint="eastAsia"/>
                <w:color w:val="auto"/>
                <w:sz w:val="24"/>
                <w:highlight w:val="none"/>
              </w:rPr>
              <w:t>35</w:t>
            </w:r>
            <w:r>
              <w:rPr>
                <w:color w:val="auto"/>
                <w:sz w:val="24"/>
                <w:highlight w:val="none"/>
              </w:rPr>
              <w:t>m，夜间禁止施工。在此距离之外可满足</w:t>
            </w:r>
            <w:r>
              <w:rPr>
                <w:rFonts w:hint="eastAsia"/>
                <w:color w:val="auto"/>
                <w:sz w:val="24"/>
                <w:highlight w:val="none"/>
              </w:rPr>
              <w:t>《建筑施工噪声排放标准》（GB12523-20</w:t>
            </w:r>
            <w:r>
              <w:rPr>
                <w:rFonts w:hint="eastAsia"/>
                <w:color w:val="auto"/>
                <w:sz w:val="24"/>
                <w:highlight w:val="none"/>
                <w:lang w:val="en-US" w:eastAsia="zh-CN"/>
              </w:rPr>
              <w:t>25</w:t>
            </w:r>
            <w:r>
              <w:rPr>
                <w:rFonts w:hint="eastAsia"/>
                <w:color w:val="auto"/>
                <w:sz w:val="24"/>
                <w:highlight w:val="none"/>
              </w:rPr>
              <w:t>）</w:t>
            </w:r>
            <w:r>
              <w:rPr>
                <w:color w:val="auto"/>
                <w:sz w:val="24"/>
                <w:highlight w:val="none"/>
              </w:rPr>
              <w:t>的要求。</w:t>
            </w:r>
          </w:p>
          <w:p>
            <w:pPr>
              <w:spacing w:line="360" w:lineRule="auto"/>
              <w:ind w:firstLine="480" w:firstLineChars="200"/>
              <w:rPr>
                <w:color w:val="auto"/>
                <w:sz w:val="24"/>
                <w:highlight w:val="none"/>
              </w:rPr>
            </w:pPr>
            <w:r>
              <w:rPr>
                <w:color w:val="auto"/>
                <w:sz w:val="24"/>
                <w:highlight w:val="none"/>
              </w:rPr>
              <w:t>但施工机械多是露天作业，四周无遮挡，部分机械需要经常移动，起吊和安装工作需要高空作业，所以建筑施工噪声具有突发性、冲击性和不连续性等特点。当施工机械在厂界某一侧进行作业时，该厂界噪声昼、夜间将无法满足《建筑施工噪声排放标准》（GB12523-20</w:t>
            </w:r>
            <w:r>
              <w:rPr>
                <w:rFonts w:hint="eastAsia"/>
                <w:color w:val="auto"/>
                <w:sz w:val="24"/>
                <w:highlight w:val="none"/>
                <w:lang w:val="en-US" w:eastAsia="zh-CN"/>
              </w:rPr>
              <w:t>25</w:t>
            </w:r>
            <w:r>
              <w:rPr>
                <w:color w:val="auto"/>
                <w:sz w:val="24"/>
                <w:highlight w:val="none"/>
              </w:rPr>
              <w:t>）中规定的限值。</w:t>
            </w:r>
          </w:p>
          <w:p>
            <w:pPr>
              <w:spacing w:line="360" w:lineRule="auto"/>
              <w:ind w:firstLine="480" w:firstLineChars="200"/>
              <w:rPr>
                <w:color w:val="auto"/>
                <w:sz w:val="24"/>
                <w:highlight w:val="none"/>
              </w:rPr>
            </w:pPr>
            <w:r>
              <w:rPr>
                <w:color w:val="auto"/>
                <w:sz w:val="24"/>
                <w:highlight w:val="none"/>
              </w:rPr>
              <w:t>鉴于本</w:t>
            </w:r>
            <w:r>
              <w:rPr>
                <w:rFonts w:hint="eastAsia"/>
                <w:color w:val="auto"/>
                <w:sz w:val="24"/>
                <w:highlight w:val="none"/>
                <w:lang w:val="en-US" w:eastAsia="zh-CN"/>
              </w:rPr>
              <w:t>施工地块边界</w:t>
            </w:r>
            <w:r>
              <w:rPr>
                <w:rFonts w:hint="eastAsia"/>
                <w:color w:val="auto"/>
                <w:sz w:val="24"/>
                <w:highlight w:val="none"/>
              </w:rPr>
              <w:t>距离</w:t>
            </w:r>
            <w:r>
              <w:rPr>
                <w:rFonts w:hint="eastAsia"/>
                <w:color w:val="auto"/>
                <w:sz w:val="24"/>
                <w:highlight w:val="none"/>
                <w:lang w:val="en-US" w:eastAsia="zh-CN"/>
              </w:rPr>
              <w:t>最近敏感点（规划在建养老院）</w:t>
            </w:r>
            <w:r>
              <w:rPr>
                <w:rFonts w:hint="eastAsia"/>
                <w:color w:val="auto"/>
                <w:sz w:val="24"/>
                <w:highlight w:val="none"/>
              </w:rPr>
              <w:t>厂界约</w:t>
            </w:r>
            <w:r>
              <w:rPr>
                <w:rFonts w:hint="eastAsia"/>
                <w:color w:val="auto"/>
                <w:sz w:val="24"/>
                <w:highlight w:val="none"/>
                <w:lang w:val="en-US" w:eastAsia="zh-CN"/>
              </w:rPr>
              <w:t>21</w:t>
            </w:r>
            <w:r>
              <w:rPr>
                <w:rFonts w:hint="eastAsia"/>
                <w:color w:val="auto"/>
                <w:sz w:val="24"/>
                <w:highlight w:val="none"/>
              </w:rPr>
              <w:t>0</w:t>
            </w:r>
            <w:r>
              <w:rPr>
                <w:color w:val="auto"/>
                <w:sz w:val="24"/>
                <w:highlight w:val="none"/>
              </w:rPr>
              <w:t>m</w:t>
            </w:r>
            <w:r>
              <w:rPr>
                <w:rFonts w:hint="eastAsia"/>
                <w:color w:val="auto"/>
                <w:sz w:val="24"/>
                <w:highlight w:val="none"/>
              </w:rPr>
              <w:t>，项目施工期噪声基本不会对周边敏感点造成影响</w:t>
            </w:r>
            <w:r>
              <w:rPr>
                <w:color w:val="auto"/>
                <w:sz w:val="24"/>
                <w:highlight w:val="none"/>
              </w:rPr>
              <w:t>。</w:t>
            </w:r>
          </w:p>
          <w:p>
            <w:pPr>
              <w:spacing w:line="360" w:lineRule="auto"/>
              <w:ind w:firstLine="480" w:firstLineChars="200"/>
              <w:rPr>
                <w:color w:val="auto"/>
                <w:sz w:val="24"/>
                <w:highlight w:val="none"/>
              </w:rPr>
            </w:pPr>
            <w:r>
              <w:rPr>
                <w:color w:val="auto"/>
                <w:sz w:val="24"/>
                <w:highlight w:val="none"/>
              </w:rPr>
              <w:t>此外，考虑到项目施工材料运输路线主要利用现有的公路，施工过程中运输车辆流量增量总体来说不大</w:t>
            </w:r>
            <w:r>
              <w:rPr>
                <w:rFonts w:hint="eastAsia"/>
                <w:color w:val="auto"/>
                <w:sz w:val="24"/>
                <w:highlight w:val="none"/>
                <w:lang w:eastAsia="zh-CN"/>
              </w:rPr>
              <w:t>，</w:t>
            </w:r>
            <w:r>
              <w:rPr>
                <w:color w:val="auto"/>
                <w:sz w:val="24"/>
                <w:highlight w:val="none"/>
              </w:rPr>
              <w:t>项目密集的材料运输时间较短，将随着施工结束而消失。因此只要采取措施对材料运输车辆加强管理，项目施工期材料运输产生的噪声对沿线环境影响是可以接受的。</w:t>
            </w:r>
          </w:p>
          <w:p>
            <w:pPr>
              <w:spacing w:line="360" w:lineRule="auto"/>
              <w:ind w:firstLine="480" w:firstLineChars="200"/>
              <w:rPr>
                <w:color w:val="auto"/>
                <w:sz w:val="24"/>
                <w:highlight w:val="none"/>
              </w:rPr>
            </w:pPr>
            <w:r>
              <w:rPr>
                <w:color w:val="auto"/>
                <w:sz w:val="24"/>
                <w:highlight w:val="none"/>
              </w:rPr>
              <w:t>针对如上情况，本评价提出以下措施：</w:t>
            </w:r>
          </w:p>
          <w:p>
            <w:pPr>
              <w:spacing w:line="360" w:lineRule="auto"/>
              <w:ind w:firstLine="480" w:firstLineChars="200"/>
              <w:rPr>
                <w:color w:val="auto"/>
                <w:sz w:val="24"/>
                <w:highlight w:val="none"/>
              </w:rPr>
            </w:pPr>
            <w:r>
              <w:rPr>
                <w:color w:val="auto"/>
                <w:sz w:val="24"/>
                <w:highlight w:val="none"/>
              </w:rPr>
              <w:t>①严禁夜间施工，从严控制车辆鸣笛。</w:t>
            </w:r>
          </w:p>
          <w:p>
            <w:pPr>
              <w:spacing w:line="360" w:lineRule="auto"/>
              <w:ind w:firstLine="480" w:firstLineChars="200"/>
              <w:rPr>
                <w:color w:val="auto"/>
                <w:sz w:val="24"/>
                <w:highlight w:val="none"/>
              </w:rPr>
            </w:pPr>
            <w:r>
              <w:rPr>
                <w:color w:val="auto"/>
                <w:sz w:val="24"/>
                <w:highlight w:val="none"/>
              </w:rPr>
              <w:t>②建设单位应合理安排施工进度，避免高噪声设备集中运作，尽量将高噪声设备摆放在距离厂界较远的位置，定期进行维护和检修。</w:t>
            </w:r>
          </w:p>
          <w:p>
            <w:pPr>
              <w:spacing w:line="360" w:lineRule="auto"/>
              <w:ind w:firstLine="480" w:firstLineChars="200"/>
              <w:rPr>
                <w:rFonts w:hint="eastAsia"/>
                <w:color w:val="auto"/>
                <w:sz w:val="24"/>
                <w:highlight w:val="none"/>
              </w:rPr>
            </w:pPr>
            <w:r>
              <w:rPr>
                <w:color w:val="auto"/>
                <w:sz w:val="24"/>
                <w:highlight w:val="none"/>
              </w:rPr>
              <w:t>③</w:t>
            </w:r>
            <w:r>
              <w:rPr>
                <w:rFonts w:hint="eastAsia"/>
                <w:color w:val="auto"/>
                <w:sz w:val="24"/>
                <w:highlight w:val="none"/>
              </w:rPr>
              <w:t>施工期厂界周边设置围墙。</w:t>
            </w:r>
          </w:p>
          <w:p>
            <w:pPr>
              <w:spacing w:line="360" w:lineRule="auto"/>
              <w:ind w:firstLine="480" w:firstLineChars="200"/>
              <w:rPr>
                <w:color w:val="auto"/>
                <w:sz w:val="24"/>
                <w:highlight w:val="none"/>
              </w:rPr>
            </w:pPr>
            <w:r>
              <w:rPr>
                <w:rFonts w:ascii="Calibri" w:hAnsi="Calibri" w:cs="Calibri"/>
                <w:color w:val="auto"/>
                <w:sz w:val="24"/>
                <w:highlight w:val="none"/>
              </w:rPr>
              <w:t>④</w:t>
            </w:r>
            <w:r>
              <w:rPr>
                <w:color w:val="auto"/>
                <w:sz w:val="24"/>
                <w:highlight w:val="none"/>
              </w:rPr>
              <w:t>对高噪声设备进行隔声减振处理。</w:t>
            </w:r>
          </w:p>
          <w:p>
            <w:pPr>
              <w:pStyle w:val="91"/>
              <w:numPr>
                <w:ilvl w:val="0"/>
                <w:numId w:val="0"/>
              </w:numPr>
              <w:rPr>
                <w:rFonts w:hint="eastAsia"/>
                <w:color w:val="auto"/>
                <w:highlight w:val="none"/>
              </w:rPr>
            </w:pPr>
            <w:r>
              <w:rPr>
                <w:rFonts w:hint="eastAsia"/>
                <w:color w:val="auto"/>
                <w:highlight w:val="none"/>
                <w:lang w:val="en-US" w:eastAsia="zh-CN"/>
              </w:rPr>
              <w:t>4.1.4</w:t>
            </w:r>
            <w:r>
              <w:rPr>
                <w:rFonts w:hint="eastAsia"/>
                <w:color w:val="auto"/>
                <w:highlight w:val="none"/>
              </w:rPr>
              <w:t>施工期固体废物</w:t>
            </w:r>
          </w:p>
          <w:p>
            <w:pPr>
              <w:spacing w:line="360" w:lineRule="auto"/>
              <w:ind w:firstLine="480" w:firstLineChars="200"/>
              <w:rPr>
                <w:color w:val="auto"/>
                <w:sz w:val="24"/>
                <w:highlight w:val="none"/>
              </w:rPr>
            </w:pPr>
            <w:r>
              <w:rPr>
                <w:color w:val="auto"/>
                <w:sz w:val="24"/>
                <w:highlight w:val="none"/>
              </w:rPr>
              <w:t>（1）施工建筑垃圾</w:t>
            </w:r>
          </w:p>
          <w:p>
            <w:pPr>
              <w:spacing w:line="360" w:lineRule="auto"/>
              <w:ind w:firstLine="480" w:firstLineChars="200"/>
              <w:rPr>
                <w:color w:val="auto"/>
                <w:sz w:val="24"/>
                <w:highlight w:val="none"/>
              </w:rPr>
            </w:pPr>
            <w:r>
              <w:rPr>
                <w:color w:val="auto"/>
                <w:sz w:val="24"/>
                <w:highlight w:val="none"/>
              </w:rPr>
              <w:t>本项目施工作业固体废物主要为建筑模板、建筑材料下脚料、断残钢筋头、破钢管、包装袋、废旧设备零件以及建筑碎片、碎砖头、水泥块、石子、沙子等建筑材料废弃物和少量机械修配擦油布等。这些施工固体废物中，建筑模板、建筑材料下脚料、断残钢筋头、破钢管、包装袋、废旧设备零件等可回收综合利用；建筑碎片、碎砖头、水泥块、石子、沙子等建筑材料废弃物可作为本项目厂区场地平整填方。</w:t>
            </w:r>
          </w:p>
          <w:p>
            <w:pPr>
              <w:spacing w:line="360" w:lineRule="auto"/>
              <w:ind w:firstLine="480" w:firstLineChars="200"/>
              <w:rPr>
                <w:color w:val="auto"/>
                <w:sz w:val="24"/>
                <w:highlight w:val="none"/>
              </w:rPr>
            </w:pPr>
            <w:r>
              <w:rPr>
                <w:color w:val="auto"/>
                <w:sz w:val="24"/>
                <w:highlight w:val="none"/>
              </w:rPr>
              <w:t>（2）生活垃圾</w:t>
            </w:r>
          </w:p>
          <w:p>
            <w:pPr>
              <w:spacing w:line="360" w:lineRule="auto"/>
              <w:ind w:firstLine="480" w:firstLineChars="200"/>
              <w:rPr>
                <w:color w:val="auto"/>
                <w:sz w:val="24"/>
                <w:highlight w:val="none"/>
              </w:rPr>
            </w:pPr>
            <w:r>
              <w:rPr>
                <w:color w:val="auto"/>
                <w:sz w:val="24"/>
                <w:highlight w:val="none"/>
              </w:rPr>
              <w:t>本项目施工高峰期各类施工人员约</w:t>
            </w:r>
            <w:r>
              <w:rPr>
                <w:rFonts w:hint="eastAsia"/>
                <w:color w:val="auto"/>
                <w:sz w:val="24"/>
                <w:highlight w:val="none"/>
              </w:rPr>
              <w:t>5</w:t>
            </w:r>
            <w:r>
              <w:rPr>
                <w:color w:val="auto"/>
                <w:sz w:val="24"/>
                <w:highlight w:val="none"/>
              </w:rPr>
              <w:t>0人，按每人每天产生1kg生活垃圾估算，则项目施工期生活垃圾产生量为</w:t>
            </w:r>
            <w:r>
              <w:rPr>
                <w:rFonts w:hint="eastAsia"/>
                <w:color w:val="auto"/>
                <w:sz w:val="24"/>
                <w:highlight w:val="none"/>
              </w:rPr>
              <w:t>5</w:t>
            </w:r>
            <w:r>
              <w:rPr>
                <w:color w:val="auto"/>
                <w:sz w:val="24"/>
                <w:highlight w:val="none"/>
              </w:rPr>
              <w:t>0kg/d。生活垃圾包括残剩食物、废纸、塑料和各种玻璃瓶等，由当地环卫部门统一收集处理。</w:t>
            </w:r>
          </w:p>
          <w:p>
            <w:pPr>
              <w:pStyle w:val="91"/>
              <w:numPr>
                <w:ilvl w:val="0"/>
                <w:numId w:val="0"/>
              </w:numPr>
              <w:rPr>
                <w:rFonts w:hint="eastAsia"/>
                <w:color w:val="auto"/>
                <w:highlight w:val="none"/>
              </w:rPr>
            </w:pPr>
            <w:r>
              <w:rPr>
                <w:rFonts w:hint="eastAsia"/>
                <w:color w:val="auto"/>
                <w:highlight w:val="none"/>
                <w:lang w:val="en-US" w:eastAsia="zh-CN"/>
              </w:rPr>
              <w:t>4.1.5</w:t>
            </w:r>
            <w:r>
              <w:rPr>
                <w:rFonts w:hint="eastAsia"/>
                <w:color w:val="auto"/>
                <w:highlight w:val="none"/>
              </w:rPr>
              <w:t>施工期生态环境影响分析</w:t>
            </w:r>
          </w:p>
          <w:p>
            <w:pPr>
              <w:pStyle w:val="72"/>
              <w:ind w:firstLine="480"/>
              <w:rPr>
                <w:color w:val="auto"/>
                <w:highlight w:val="none"/>
              </w:rPr>
            </w:pPr>
            <w:r>
              <w:rPr>
                <w:rFonts w:hint="eastAsia"/>
                <w:color w:val="auto"/>
                <w:highlight w:val="none"/>
              </w:rPr>
              <w:t>施工期对生态的影响主要是施工土方开挖、填筑、机械碾压等施工活动，破坏了工程区域原有地貌、景观，造成水土流失等。</w:t>
            </w:r>
          </w:p>
          <w:p>
            <w:pPr>
              <w:pStyle w:val="72"/>
              <w:ind w:firstLine="480"/>
              <w:rPr>
                <w:color w:val="auto"/>
                <w:highlight w:val="none"/>
              </w:rPr>
            </w:pPr>
            <w:r>
              <w:rPr>
                <w:rFonts w:hint="eastAsia"/>
                <w:color w:val="auto"/>
                <w:highlight w:val="none"/>
              </w:rPr>
              <w:t>本项目所在地块</w:t>
            </w:r>
            <w:r>
              <w:rPr>
                <w:rFonts w:hint="eastAsia"/>
                <w:color w:val="auto"/>
                <w:highlight w:val="none"/>
                <w:lang w:val="en-US" w:eastAsia="zh-CN"/>
              </w:rPr>
              <w:t>现状为荒地、菜地，地表植被大部分被清理，少量灌木丛和菜地，</w:t>
            </w:r>
            <w:r>
              <w:rPr>
                <w:rFonts w:hint="eastAsia"/>
                <w:color w:val="auto"/>
                <w:highlight w:val="none"/>
              </w:rPr>
              <w:t>施工过程中，生态影响主要表现为对土壤的影响、对景观的影响、对陆地动物的影响、水土流失影响等。</w:t>
            </w:r>
          </w:p>
          <w:p>
            <w:pPr>
              <w:pStyle w:val="72"/>
              <w:ind w:firstLine="480"/>
              <w:rPr>
                <w:color w:val="auto"/>
                <w:highlight w:val="none"/>
              </w:rPr>
            </w:pPr>
            <w:r>
              <w:rPr>
                <w:color w:val="auto"/>
                <w:highlight w:val="none"/>
              </w:rPr>
              <w:t>（1）</w:t>
            </w:r>
            <w:r>
              <w:rPr>
                <w:rFonts w:hint="eastAsia"/>
                <w:color w:val="auto"/>
                <w:highlight w:val="none"/>
              </w:rPr>
              <w:t>对动植物及其栖息地的影响</w:t>
            </w:r>
          </w:p>
          <w:p>
            <w:pPr>
              <w:pStyle w:val="72"/>
              <w:ind w:firstLine="480"/>
              <w:rPr>
                <w:color w:val="auto"/>
                <w:highlight w:val="none"/>
              </w:rPr>
            </w:pPr>
            <w:r>
              <w:rPr>
                <w:rFonts w:hint="eastAsia"/>
                <w:color w:val="auto"/>
                <w:highlight w:val="none"/>
              </w:rPr>
              <w:t>施工期的尘土、噪声会对区域内的动物、周边植物产生不良的影响，产生的粉尘将影响附近植物的光合作用，施工粉尘可能在短时间内</w:t>
            </w:r>
            <w:r>
              <w:rPr>
                <w:rFonts w:hint="eastAsia"/>
                <w:color w:val="auto"/>
                <w:highlight w:val="none"/>
                <w:lang w:val="en-US" w:eastAsia="zh-CN"/>
              </w:rPr>
              <w:t>使</w:t>
            </w:r>
            <w:r>
              <w:rPr>
                <w:rFonts w:hint="eastAsia"/>
                <w:color w:val="auto"/>
                <w:highlight w:val="none"/>
              </w:rPr>
              <w:t>周边的植物生长受到影响，使栖息于林间的动物的生活在短时间内受到干扰。附近的陆地动物会暂时迁移到离建设地较远的地方，鸟类会暂时飞走。本项目施工影响范围内无珍稀濒危的动物，因此不会对动物的重要</w:t>
            </w:r>
            <w:r>
              <w:rPr>
                <w:rFonts w:hint="eastAsia"/>
                <w:color w:val="auto"/>
                <w:highlight w:val="none"/>
                <w:lang w:eastAsia="zh-CN"/>
              </w:rPr>
              <w:t>生存环</w:t>
            </w:r>
            <w:r>
              <w:rPr>
                <w:rFonts w:hint="eastAsia"/>
                <w:color w:val="auto"/>
                <w:highlight w:val="none"/>
              </w:rPr>
              <w:t>境和珍稀濒危的动物造成影响，一般的陆生动物会随着项目建设的结束逐渐回迁。</w:t>
            </w:r>
          </w:p>
          <w:p>
            <w:pPr>
              <w:pStyle w:val="72"/>
              <w:ind w:firstLine="480"/>
              <w:rPr>
                <w:color w:val="auto"/>
                <w:highlight w:val="none"/>
              </w:rPr>
            </w:pPr>
            <w:r>
              <w:rPr>
                <w:rFonts w:hint="eastAsia"/>
                <w:color w:val="auto"/>
                <w:highlight w:val="none"/>
              </w:rPr>
              <w:t>（2）生物多样性的减少</w:t>
            </w:r>
          </w:p>
          <w:p>
            <w:pPr>
              <w:pStyle w:val="72"/>
              <w:ind w:firstLine="480"/>
              <w:rPr>
                <w:color w:val="auto"/>
                <w:highlight w:val="none"/>
              </w:rPr>
            </w:pPr>
            <w:r>
              <w:rPr>
                <w:rFonts w:hint="eastAsia"/>
                <w:color w:val="auto"/>
                <w:highlight w:val="none"/>
              </w:rPr>
              <w:t>随着施工期的进行，征地范围内的一些植物将会消失。但据调查本项目占用的土地中没有珍稀濒危的保护植物种类，而随着施工期的结</w:t>
            </w:r>
            <w:r>
              <w:rPr>
                <w:rFonts w:hint="eastAsia"/>
                <w:color w:val="auto"/>
                <w:highlight w:val="none"/>
                <w:lang w:eastAsia="zh-CN"/>
              </w:rPr>
              <w:t>东</w:t>
            </w:r>
            <w:r>
              <w:rPr>
                <w:rFonts w:hint="eastAsia"/>
                <w:color w:val="auto"/>
                <w:highlight w:val="none"/>
              </w:rPr>
              <w:t>，经过绿化建设，植被会得到逐步恢复</w:t>
            </w:r>
            <w:r>
              <w:rPr>
                <w:rFonts w:hint="eastAsia"/>
                <w:color w:val="auto"/>
                <w:highlight w:val="none"/>
                <w:lang w:eastAsia="zh-CN"/>
              </w:rPr>
              <w:t>，</w:t>
            </w:r>
            <w:r>
              <w:rPr>
                <w:rFonts w:hint="eastAsia"/>
                <w:color w:val="auto"/>
                <w:highlight w:val="none"/>
              </w:rPr>
              <w:t>绿化物种较为多样化，将可弥补植物种属多样性的损失。但施工期对植被的破坏将可能会降低区域生态系统的服务功能，此影响将会延续到施工期后的运营期。但由于区域主要为人工生态系统，不会对物种多样性造成影响，对周围生态环境不会造成明显影响。</w:t>
            </w:r>
          </w:p>
          <w:p>
            <w:pPr>
              <w:pStyle w:val="72"/>
              <w:ind w:firstLine="480"/>
              <w:rPr>
                <w:color w:val="auto"/>
                <w:highlight w:val="none"/>
              </w:rPr>
            </w:pPr>
            <w:r>
              <w:rPr>
                <w:rFonts w:hint="eastAsia"/>
                <w:color w:val="auto"/>
                <w:highlight w:val="none"/>
              </w:rPr>
              <w:t>（3）水土流失</w:t>
            </w:r>
          </w:p>
          <w:p>
            <w:pPr>
              <w:pStyle w:val="72"/>
              <w:ind w:firstLine="480"/>
              <w:rPr>
                <w:color w:val="auto"/>
                <w:highlight w:val="none"/>
              </w:rPr>
            </w:pPr>
            <w:r>
              <w:rPr>
                <w:rFonts w:hint="eastAsia"/>
                <w:color w:val="auto"/>
                <w:highlight w:val="none"/>
              </w:rPr>
              <w:t>土地平整扰动了表土结构，土壤抗蚀能力降低，损坏了原有的水土保持能力，导致地表裸露，在地表径流的作用下，加大水土流失量，破坏生态，恶化环境。临时材料及临时弃土方的堆放在雨季可能产生水土流失。根据国家有关水土保持法律法规的要求，坚持“预防为主、全面规划、综合防治、因地制宜、加强管理、注重效益”的方针，坚持水土保持措施与主体工程建设“三同时”制度</w:t>
            </w:r>
            <w:r>
              <w:rPr>
                <w:rFonts w:hint="eastAsia"/>
                <w:color w:val="auto"/>
                <w:highlight w:val="none"/>
                <w:lang w:eastAsia="zh-CN"/>
              </w:rPr>
              <w:t>，在</w:t>
            </w:r>
            <w:r>
              <w:rPr>
                <w:rFonts w:hint="eastAsia"/>
                <w:color w:val="auto"/>
                <w:highlight w:val="none"/>
              </w:rPr>
              <w:t>设计中采取植物复种措施，边建设，边绿化。</w:t>
            </w:r>
          </w:p>
          <w:p>
            <w:pPr>
              <w:pStyle w:val="72"/>
              <w:ind w:firstLine="480"/>
              <w:rPr>
                <w:color w:val="auto"/>
                <w:highlight w:val="none"/>
              </w:rPr>
            </w:pPr>
            <w:r>
              <w:rPr>
                <w:rFonts w:hint="eastAsia"/>
                <w:color w:val="auto"/>
                <w:highlight w:val="none"/>
              </w:rPr>
              <w:t>为减少水土流失量，减轻对当地农业生态系统的影响，还应进行规范施工，减少施工场地作业面积，在施工现场建造挡土防护墙及绿化防护，同时建好施工场地的排水系统。合理设计施工时序，尽量缩短施工工期，并尽量避免雨天施工。对挖方场地，应随挖随整，尽量减少开挖坡度，减少裸露边坡裸露时间。对堆置的弃土堆四面坡脚采用装土编织袋挡墙进行临时性防护，顶面和坡面采用塑料膜或彩条布进行覆盖防护，场地四周设置排水沟。</w:t>
            </w:r>
          </w:p>
          <w:p>
            <w:pPr>
              <w:pStyle w:val="72"/>
              <w:ind w:firstLine="480"/>
              <w:rPr>
                <w:color w:val="auto"/>
                <w:highlight w:val="none"/>
              </w:rPr>
            </w:pPr>
            <w:r>
              <w:rPr>
                <w:rFonts w:hint="eastAsia"/>
                <w:color w:val="auto"/>
                <w:highlight w:val="none"/>
              </w:rPr>
              <w:t>总体而言，通过采取合适的水土保持措施，本项目建设不会给所在区域生态系统带来明显不良影响，整个生态系统仍基本处于良性状态。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4" w:hRule="atLeast"/>
          <w:jc w:val="center"/>
        </w:trPr>
        <w:tc>
          <w:tcPr>
            <w:tcW w:w="612" w:type="dxa"/>
            <w:tcMar>
              <w:left w:w="28" w:type="dxa"/>
              <w:right w:w="28" w:type="dxa"/>
            </w:tcMar>
            <w:vAlign w:val="center"/>
          </w:tcPr>
          <w:p>
            <w:pPr>
              <w:pStyle w:val="25"/>
              <w:adjustRightInd w:val="0"/>
              <w:snapToGrid w:val="0"/>
              <w:spacing w:before="0" w:beforeAutospacing="0" w:after="0" w:afterAutospacing="0"/>
              <w:jc w:val="center"/>
              <w:rPr>
                <w:rFonts w:cs="宋体"/>
                <w:color w:val="auto"/>
                <w:kern w:val="2"/>
                <w:sz w:val="21"/>
                <w:szCs w:val="21"/>
                <w:highlight w:val="none"/>
              </w:rPr>
            </w:pPr>
          </w:p>
        </w:tc>
        <w:tc>
          <w:tcPr>
            <w:tcW w:w="8369" w:type="dxa"/>
          </w:tcPr>
          <w:p>
            <w:pPr>
              <w:pStyle w:val="72"/>
              <w:ind w:firstLine="0" w:firstLineChars="0"/>
              <w:rPr>
                <w:b/>
                <w:bCs/>
                <w:color w:val="auto"/>
                <w:highlight w:val="none"/>
              </w:rPr>
            </w:pPr>
            <w:r>
              <w:rPr>
                <w:rFonts w:hint="eastAsia"/>
                <w:b/>
                <w:bCs/>
                <w:color w:val="auto"/>
                <w:highlight w:val="none"/>
                <w:lang w:val="en-US" w:eastAsia="zh-CN"/>
              </w:rPr>
              <w:t>4.2运营期</w:t>
            </w:r>
            <w:r>
              <w:rPr>
                <w:rFonts w:hint="eastAsia"/>
                <w:b/>
                <w:bCs/>
                <w:color w:val="auto"/>
                <w:highlight w:val="none"/>
              </w:rPr>
              <w:t>废水</w:t>
            </w:r>
          </w:p>
          <w:p>
            <w:pPr>
              <w:pStyle w:val="72"/>
              <w:ind w:left="0" w:leftChars="0" w:firstLine="0" w:firstLineChars="0"/>
              <w:rPr>
                <w:b/>
                <w:bCs/>
                <w:color w:val="auto"/>
                <w:highlight w:val="none"/>
              </w:rPr>
            </w:pPr>
            <w:r>
              <w:rPr>
                <w:rFonts w:hint="eastAsia"/>
                <w:b/>
                <w:bCs/>
                <w:color w:val="auto"/>
                <w:highlight w:val="none"/>
                <w:lang w:val="en-US" w:eastAsia="zh-CN"/>
              </w:rPr>
              <w:t>4.2.1运营期</w:t>
            </w:r>
            <w:r>
              <w:rPr>
                <w:rFonts w:hint="eastAsia"/>
                <w:b/>
                <w:bCs/>
                <w:color w:val="auto"/>
                <w:highlight w:val="none"/>
              </w:rPr>
              <w:t>废水源强</w:t>
            </w:r>
          </w:p>
          <w:p>
            <w:pPr>
              <w:pStyle w:val="72"/>
              <w:ind w:firstLine="480"/>
              <w:rPr>
                <w:rFonts w:hint="eastAsia"/>
                <w:color w:val="auto"/>
                <w:highlight w:val="none"/>
              </w:rPr>
            </w:pPr>
            <w:r>
              <w:rPr>
                <w:rFonts w:hint="eastAsia"/>
                <w:color w:val="auto"/>
                <w:highlight w:val="none"/>
              </w:rPr>
              <w:t>项目</w:t>
            </w:r>
            <w:r>
              <w:rPr>
                <w:rFonts w:hint="eastAsia"/>
                <w:color w:val="auto"/>
                <w:highlight w:val="none"/>
                <w:lang w:val="en-US" w:eastAsia="zh-CN"/>
              </w:rPr>
              <w:t>运营期</w:t>
            </w:r>
            <w:r>
              <w:rPr>
                <w:rFonts w:hint="eastAsia"/>
                <w:color w:val="auto"/>
                <w:highlight w:val="none"/>
              </w:rPr>
              <w:t>废水主要来</w:t>
            </w:r>
            <w:r>
              <w:rPr>
                <w:rFonts w:hint="eastAsia" w:ascii="Times New Roman" w:hAnsi="Times New Roman" w:eastAsia="宋体" w:cs="Times New Roman"/>
                <w:color w:val="auto"/>
                <w:highlight w:val="none"/>
              </w:rPr>
              <w:t>自</w:t>
            </w:r>
            <w:r>
              <w:rPr>
                <w:rFonts w:hint="eastAsia" w:cs="Times New Roman"/>
                <w:color w:val="auto"/>
                <w:highlight w:val="none"/>
                <w:lang w:val="en-US" w:eastAsia="zh-CN"/>
              </w:rPr>
              <w:t>超声清洗废水、</w:t>
            </w:r>
            <w:r>
              <w:rPr>
                <w:rFonts w:hint="eastAsia" w:ascii="Times New Roman" w:hAnsi="Times New Roman" w:eastAsia="宋体" w:cs="Times New Roman"/>
                <w:color w:val="auto"/>
                <w:highlight w:val="none"/>
                <w:lang w:val="en-US" w:eastAsia="zh-CN"/>
              </w:rPr>
              <w:t>水刀切割废水、超声波探伤废水、制纯水废水、车间清洗废水、喷淋除尘设施废水</w:t>
            </w:r>
            <w:r>
              <w:rPr>
                <w:rFonts w:hint="eastAsia" w:cs="Times New Roman"/>
                <w:color w:val="auto"/>
                <w:highlight w:val="none"/>
                <w:lang w:val="en-US" w:eastAsia="zh-CN"/>
              </w:rPr>
              <w:t>、循环冷却水系统排污水</w:t>
            </w:r>
            <w:r>
              <w:rPr>
                <w:rFonts w:hint="eastAsia" w:ascii="Times New Roman" w:hAnsi="Times New Roman" w:eastAsia="宋体" w:cs="Times New Roman"/>
                <w:color w:val="auto"/>
                <w:highlight w:val="none"/>
              </w:rPr>
              <w:t>以及生活污水。项目生产废水</w:t>
            </w:r>
            <w:r>
              <w:rPr>
                <w:rFonts w:hint="eastAsia"/>
                <w:color w:val="auto"/>
                <w:highlight w:val="none"/>
              </w:rPr>
              <w:t>进入</w:t>
            </w:r>
            <w:r>
              <w:rPr>
                <w:rFonts w:hint="eastAsia"/>
                <w:color w:val="auto"/>
                <w:highlight w:val="none"/>
                <w:lang w:val="en-US" w:eastAsia="zh-CN"/>
              </w:rPr>
              <w:t>三四期地块共用的生产废水处理站处理后，经厂区</w:t>
            </w:r>
            <w:r>
              <w:rPr>
                <w:rFonts w:hint="eastAsia"/>
                <w:color w:val="auto"/>
                <w:highlight w:val="none"/>
              </w:rPr>
              <w:t>DW00</w:t>
            </w:r>
            <w:r>
              <w:rPr>
                <w:rFonts w:hint="eastAsia"/>
                <w:color w:val="auto"/>
                <w:highlight w:val="none"/>
                <w:lang w:val="en-US" w:eastAsia="zh-CN"/>
              </w:rPr>
              <w:t>2排污口排放</w:t>
            </w:r>
            <w:r>
              <w:rPr>
                <w:rFonts w:hint="eastAsia"/>
                <w:color w:val="auto"/>
                <w:highlight w:val="none"/>
              </w:rPr>
              <w:t>。</w:t>
            </w:r>
            <w:r>
              <w:rPr>
                <w:rFonts w:hint="eastAsia"/>
                <w:color w:val="auto"/>
                <w:highlight w:val="none"/>
                <w:lang w:val="en-US" w:eastAsia="zh-CN"/>
              </w:rPr>
              <w:t>项目</w:t>
            </w:r>
            <w:r>
              <w:rPr>
                <w:rFonts w:hint="eastAsia"/>
                <w:color w:val="auto"/>
                <w:highlight w:val="none"/>
              </w:rPr>
              <w:t>生活污水经化粪池处理后</w:t>
            </w:r>
            <w:r>
              <w:rPr>
                <w:rFonts w:hint="eastAsia"/>
                <w:color w:val="auto"/>
                <w:highlight w:val="none"/>
                <w:lang w:val="en-US" w:eastAsia="zh-CN"/>
              </w:rPr>
              <w:t>由生活污水排放口排放</w:t>
            </w:r>
            <w:r>
              <w:rPr>
                <w:rFonts w:hint="eastAsia"/>
                <w:color w:val="auto"/>
                <w:highlight w:val="none"/>
              </w:rPr>
              <w:t>。</w:t>
            </w:r>
          </w:p>
          <w:p>
            <w:pPr>
              <w:pStyle w:val="72"/>
              <w:ind w:firstLine="480"/>
              <w:rPr>
                <w:rFonts w:hint="default" w:eastAsia="宋体"/>
                <w:color w:val="auto"/>
                <w:highlight w:val="none"/>
                <w:lang w:val="en-US" w:eastAsia="zh-CN"/>
              </w:rPr>
            </w:pPr>
            <w:r>
              <w:rPr>
                <w:rFonts w:hint="eastAsia"/>
                <w:color w:val="auto"/>
                <w:highlight w:val="none"/>
                <w:lang w:val="en-US" w:eastAsia="zh-CN"/>
              </w:rPr>
              <w:t>（1）生产废水</w:t>
            </w:r>
          </w:p>
          <w:p>
            <w:pPr>
              <w:pStyle w:val="72"/>
              <w:ind w:firstLine="480"/>
              <w:rPr>
                <w:rFonts w:hint="eastAsia" w:cs="Times New Roman"/>
                <w:color w:val="auto"/>
                <w:highlight w:val="none"/>
                <w:lang w:val="en-US" w:eastAsia="zh-CN"/>
              </w:rPr>
            </w:pPr>
            <w:r>
              <w:rPr>
                <w:rFonts w:hint="eastAsia" w:ascii="Times New Roman" w:hAnsi="Times New Roman" w:eastAsia="宋体" w:cs="Times New Roman"/>
                <w:color w:val="auto"/>
                <w:highlight w:val="none"/>
              </w:rPr>
              <w:t>①</w:t>
            </w:r>
            <w:r>
              <w:rPr>
                <w:rFonts w:hint="eastAsia" w:cs="Times New Roman"/>
                <w:color w:val="auto"/>
                <w:highlight w:val="none"/>
                <w:lang w:val="en-US" w:eastAsia="zh-CN"/>
              </w:rPr>
              <w:t>超声清洗废水</w:t>
            </w:r>
          </w:p>
          <w:p>
            <w:pPr>
              <w:pStyle w:val="72"/>
              <w:ind w:firstLine="480"/>
              <w:rPr>
                <w:rFonts w:hint="default" w:cs="Times New Roman"/>
                <w:color w:val="auto"/>
                <w:highlight w:val="none"/>
                <w:lang w:val="en-US" w:eastAsia="zh-CN"/>
              </w:rPr>
            </w:pPr>
            <w:r>
              <w:rPr>
                <w:rFonts w:hint="eastAsia" w:cs="Times New Roman"/>
                <w:color w:val="auto"/>
                <w:highlight w:val="none"/>
                <w:lang w:val="en-US" w:eastAsia="zh-CN"/>
              </w:rPr>
              <w:t>根据水平衡分析，项目超声清洗废水排放量约为4.5t/d，清洗过程主要清洗表面油污和杂质，清洗过程采用碱性清洗剂，参考清洗剂的成分、用量以及同类工程废水水质情况，清洗废水中主要污染物这是pH、COD、SS、NH</w:t>
            </w:r>
            <w:r>
              <w:rPr>
                <w:rFonts w:hint="eastAsia" w:cs="Times New Roman"/>
                <w:color w:val="auto"/>
                <w:highlight w:val="none"/>
                <w:vertAlign w:val="subscript"/>
                <w:lang w:val="en-US" w:eastAsia="zh-CN"/>
              </w:rPr>
              <w:t>3</w:t>
            </w:r>
            <w:r>
              <w:rPr>
                <w:rFonts w:hint="eastAsia" w:cs="Times New Roman"/>
                <w:color w:val="auto"/>
                <w:highlight w:val="none"/>
                <w:vertAlign w:val="baseline"/>
                <w:lang w:val="en-US" w:eastAsia="zh-CN"/>
              </w:rPr>
              <w:t>-N、总磷、石油类，</w:t>
            </w:r>
            <w:r>
              <w:rPr>
                <w:rFonts w:hint="eastAsia" w:cs="Times New Roman"/>
                <w:color w:val="auto"/>
                <w:highlight w:val="none"/>
                <w:lang w:val="en-US" w:eastAsia="zh-CN"/>
              </w:rPr>
              <w:t>浓度约为：pH10~12、COD300~500mg/L、SS500~800mg/L、石油类30～50mg/L、NH</w:t>
            </w:r>
            <w:r>
              <w:rPr>
                <w:rFonts w:hint="eastAsia" w:cs="Times New Roman"/>
                <w:color w:val="auto"/>
                <w:highlight w:val="none"/>
                <w:vertAlign w:val="subscript"/>
                <w:lang w:val="en-US" w:eastAsia="zh-CN"/>
              </w:rPr>
              <w:t>3</w:t>
            </w:r>
            <w:r>
              <w:rPr>
                <w:rFonts w:hint="eastAsia" w:cs="Times New Roman"/>
                <w:color w:val="auto"/>
                <w:highlight w:val="none"/>
                <w:vertAlign w:val="baseline"/>
                <w:lang w:val="en-US" w:eastAsia="zh-CN"/>
              </w:rPr>
              <w:t>-N80~100</w:t>
            </w:r>
            <w:r>
              <w:rPr>
                <w:rFonts w:hint="eastAsia" w:cs="Times New Roman"/>
                <w:color w:val="auto"/>
                <w:highlight w:val="none"/>
                <w:lang w:val="en-US" w:eastAsia="zh-CN"/>
              </w:rPr>
              <w:t>mg/L、总磷30～50mg/L。</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②</w:t>
            </w:r>
            <w:r>
              <w:rPr>
                <w:rFonts w:hint="eastAsia" w:ascii="宋体" w:hAnsi="宋体" w:eastAsia="宋体" w:cs="宋体"/>
                <w:color w:val="auto"/>
                <w:highlight w:val="none"/>
                <w:lang w:val="en-US" w:eastAsia="zh-CN"/>
              </w:rPr>
              <w:t>水刀切割工序废水</w:t>
            </w:r>
          </w:p>
          <w:p>
            <w:pPr>
              <w:pStyle w:val="72"/>
              <w:ind w:firstLine="480"/>
              <w:rPr>
                <w:rFonts w:hint="eastAsia" w:ascii="Times New Roman" w:hAnsi="Times New Roman" w:eastAsia="宋体" w:cs="Times New Roman"/>
                <w:color w:val="auto"/>
                <w:highlight w:val="none"/>
              </w:rPr>
            </w:pPr>
            <w:r>
              <w:rPr>
                <w:rFonts w:hint="eastAsia" w:ascii="宋体" w:hAnsi="宋体" w:eastAsia="宋体" w:cs="宋体"/>
                <w:color w:val="auto"/>
                <w:highlight w:val="none"/>
                <w:lang w:val="en-US" w:eastAsia="zh-CN"/>
              </w:rPr>
              <w:t>根据企业提供的资料，水刀切割工序废水排放量约1.8t/d（540t/a），主要污染物为COD、SS、石油类。</w:t>
            </w:r>
            <w:r>
              <w:rPr>
                <w:rFonts w:hint="eastAsia" w:ascii="Times New Roman" w:hAnsi="Times New Roman" w:eastAsia="宋体" w:cs="Times New Roman"/>
                <w:color w:val="auto"/>
                <w:highlight w:val="none"/>
                <w:lang w:val="en-US" w:eastAsia="zh-CN"/>
              </w:rPr>
              <w:t>根据同类工程调查，</w:t>
            </w:r>
            <w:r>
              <w:rPr>
                <w:rFonts w:hint="eastAsia" w:cs="Times New Roman"/>
                <w:color w:val="auto"/>
                <w:highlight w:val="none"/>
                <w:lang w:val="en-US" w:eastAsia="zh-CN"/>
              </w:rPr>
              <w:t>水刀切割</w:t>
            </w:r>
            <w:r>
              <w:rPr>
                <w:rFonts w:hint="eastAsia" w:ascii="Times New Roman" w:hAnsi="Times New Roman" w:eastAsia="宋体" w:cs="Times New Roman"/>
                <w:color w:val="auto"/>
                <w:highlight w:val="none"/>
                <w:lang w:val="en-US" w:eastAsia="zh-CN"/>
              </w:rPr>
              <w:t xml:space="preserve">废水中 </w:t>
            </w:r>
            <w:r>
              <w:rPr>
                <w:rFonts w:hint="default" w:ascii="Times New Roman" w:hAnsi="Times New Roman" w:eastAsia="宋体" w:cs="Times New Roman"/>
                <w:color w:val="auto"/>
                <w:highlight w:val="none"/>
                <w:lang w:val="en-US" w:eastAsia="zh-CN"/>
              </w:rPr>
              <w:t xml:space="preserve">COD </w:t>
            </w:r>
            <w:r>
              <w:rPr>
                <w:rFonts w:hint="eastAsia" w:ascii="Times New Roman" w:hAnsi="Times New Roman" w:eastAsia="宋体" w:cs="Times New Roman"/>
                <w:color w:val="auto"/>
                <w:highlight w:val="none"/>
                <w:lang w:val="en-US" w:eastAsia="zh-CN"/>
              </w:rPr>
              <w:t>浓度较低，约为</w:t>
            </w:r>
            <w:r>
              <w:rPr>
                <w:rFonts w:hint="default" w:ascii="Times New Roman" w:hAnsi="Times New Roman" w:eastAsia="宋体" w:cs="Times New Roman"/>
                <w:color w:val="auto"/>
                <w:highlight w:val="none"/>
                <w:lang w:val="en-US" w:eastAsia="zh-CN"/>
              </w:rPr>
              <w:t>80mg/L</w:t>
            </w:r>
            <w:r>
              <w:rPr>
                <w:rFonts w:hint="eastAsia" w:ascii="Times New Roman" w:hAnsi="Times New Roman" w:eastAsia="宋体" w:cs="Times New Roman"/>
                <w:color w:val="auto"/>
                <w:highlight w:val="none"/>
                <w:lang w:val="en-US" w:eastAsia="zh-CN"/>
              </w:rPr>
              <w:t>，废水中</w:t>
            </w:r>
            <w:r>
              <w:rPr>
                <w:rFonts w:hint="default" w:ascii="Times New Roman" w:hAnsi="Times New Roman" w:eastAsia="宋体" w:cs="Times New Roman"/>
                <w:color w:val="auto"/>
                <w:highlight w:val="none"/>
                <w:lang w:val="en-US" w:eastAsia="zh-CN"/>
              </w:rPr>
              <w:t>SS</w:t>
            </w:r>
            <w:r>
              <w:rPr>
                <w:rFonts w:hint="eastAsia" w:ascii="Times New Roman" w:hAnsi="Times New Roman" w:eastAsia="宋体" w:cs="Times New Roman"/>
                <w:color w:val="auto"/>
                <w:highlight w:val="none"/>
                <w:lang w:val="en-US" w:eastAsia="zh-CN"/>
              </w:rPr>
              <w:t>浓度约为</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000</w:t>
            </w:r>
            <w:r>
              <w:rPr>
                <w:rFonts w:hint="default" w:ascii="Times New Roman" w:hAnsi="Times New Roman" w:eastAsia="宋体" w:cs="Times New Roman"/>
                <w:color w:val="auto"/>
                <w:highlight w:val="none"/>
                <w:lang w:val="en-US" w:eastAsia="zh-CN"/>
              </w:rPr>
              <w:t>mg/L</w:t>
            </w:r>
            <w:r>
              <w:rPr>
                <w:rFonts w:hint="eastAsia" w:ascii="Times New Roman" w:hAnsi="Times New Roman" w:eastAsia="宋体" w:cs="Times New Roman"/>
                <w:color w:val="auto"/>
                <w:highlight w:val="none"/>
                <w:lang w:val="en-US" w:eastAsia="zh-CN"/>
              </w:rPr>
              <w:t>，石油类约为</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mg/L</w:t>
            </w:r>
            <w:r>
              <w:rPr>
                <w:rFonts w:hint="eastAsia" w:ascii="Times New Roman" w:hAnsi="Times New Roman" w:eastAsia="宋体" w:cs="Times New Roman"/>
                <w:color w:val="auto"/>
                <w:highlight w:val="none"/>
                <w:lang w:val="en-US" w:eastAsia="zh-CN"/>
              </w:rPr>
              <w:t>。</w:t>
            </w:r>
          </w:p>
          <w:p>
            <w:pPr>
              <w:pStyle w:val="72"/>
              <w:ind w:firstLine="480"/>
              <w:rPr>
                <w:color w:val="auto"/>
                <w:highlight w:val="none"/>
              </w:rPr>
            </w:pPr>
            <w:r>
              <w:rPr>
                <w:rFonts w:hint="eastAsia" w:ascii="宋体" w:hAnsi="宋体" w:eastAsia="宋体" w:cs="宋体"/>
                <w:color w:val="auto"/>
                <w:highlight w:val="none"/>
                <w:lang w:val="en-US" w:eastAsia="zh-CN"/>
              </w:rPr>
              <w:t>③</w:t>
            </w:r>
            <w:r>
              <w:rPr>
                <w:rFonts w:hint="eastAsia"/>
                <w:color w:val="auto"/>
                <w:highlight w:val="none"/>
              </w:rPr>
              <w:t>超声探伤废水</w:t>
            </w:r>
          </w:p>
          <w:p>
            <w:pPr>
              <w:pStyle w:val="72"/>
              <w:ind w:firstLine="480"/>
              <w:rPr>
                <w:rFonts w:hint="eastAsia"/>
                <w:color w:val="auto"/>
                <w:highlight w:val="none"/>
              </w:rPr>
            </w:pPr>
            <w:r>
              <w:rPr>
                <w:rFonts w:hint="eastAsia" w:ascii="Times New Roman" w:hAnsi="Times New Roman" w:eastAsia="宋体" w:cs="Times New Roman"/>
                <w:color w:val="auto"/>
                <w:highlight w:val="none"/>
                <w:lang w:val="en-US" w:eastAsia="zh-CN"/>
              </w:rPr>
              <w:t>本项目产品的精密度要求较高，超声波探伤工序每10天换水一次，每次换水约20t，蒸发及工件带水约10%，则超声波探伤废水排放量为18t/次，即540t/a（1.8t/d）</w:t>
            </w:r>
            <w:r>
              <w:rPr>
                <w:rFonts w:hint="eastAsia" w:ascii="Times New Roman" w:hAnsi="Times New Roman" w:eastAsia="宋体" w:cs="Times New Roman"/>
                <w:color w:val="auto"/>
                <w:highlight w:val="none"/>
              </w:rPr>
              <w:t>。超声波探伤废水主要污染物为靶材上残留的切削液、粉尘，根据同类项目</w:t>
            </w:r>
            <w:r>
              <w:rPr>
                <w:rFonts w:hint="eastAsia"/>
                <w:color w:val="auto"/>
                <w:highlight w:val="none"/>
              </w:rPr>
              <w:t>工程调查，超声波探伤废水中COD浓度约为</w:t>
            </w:r>
            <w:r>
              <w:rPr>
                <w:rFonts w:hint="eastAsia"/>
                <w:color w:val="auto"/>
                <w:highlight w:val="none"/>
                <w:lang w:val="en-US" w:eastAsia="zh-CN"/>
              </w:rPr>
              <w:t>1</w:t>
            </w:r>
            <w:r>
              <w:rPr>
                <w:rFonts w:hint="eastAsia"/>
                <w:color w:val="auto"/>
                <w:highlight w:val="none"/>
              </w:rPr>
              <w:t>00mg/L，SS浓度约为</w:t>
            </w:r>
            <w:r>
              <w:rPr>
                <w:rFonts w:hint="eastAsia"/>
                <w:color w:val="auto"/>
                <w:highlight w:val="none"/>
                <w:lang w:val="en-US" w:eastAsia="zh-CN"/>
              </w:rPr>
              <w:t>1</w:t>
            </w:r>
            <w:r>
              <w:rPr>
                <w:rFonts w:hint="eastAsia"/>
                <w:color w:val="auto"/>
                <w:highlight w:val="none"/>
              </w:rPr>
              <w:t>00mg/L，石油类浓度约为5mg/L。</w:t>
            </w:r>
          </w:p>
          <w:p>
            <w:pPr>
              <w:pStyle w:val="72"/>
              <w:ind w:firstLine="480"/>
              <w:rPr>
                <w:rFonts w:hint="eastAsia" w:ascii="Times New Roman" w:hAnsi="Times New Roman" w:eastAsia="宋体" w:cs="Times New Roman"/>
                <w:color w:val="auto"/>
                <w:highlight w:val="none"/>
                <w:lang w:val="en-US" w:eastAsia="zh-CN"/>
              </w:rPr>
            </w:pPr>
            <w:r>
              <w:rPr>
                <w:rFonts w:hint="eastAsia" w:ascii="宋体" w:hAnsi="宋体" w:eastAsia="宋体" w:cs="宋体"/>
                <w:color w:val="auto"/>
                <w:highlight w:val="none"/>
                <w:lang w:val="en-US" w:eastAsia="zh-CN"/>
              </w:rPr>
              <w:t>④</w:t>
            </w:r>
            <w:r>
              <w:rPr>
                <w:rFonts w:hint="eastAsia" w:ascii="Times New Roman" w:hAnsi="Times New Roman" w:eastAsia="宋体" w:cs="Times New Roman"/>
                <w:color w:val="auto"/>
                <w:highlight w:val="none"/>
                <w:lang w:val="en-US" w:eastAsia="zh-CN"/>
              </w:rPr>
              <w:t>制纯水过程排污水</w:t>
            </w:r>
          </w:p>
          <w:p>
            <w:pPr>
              <w:pStyle w:val="72"/>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根据用排水平衡分析，制纯水过程排污水约</w:t>
            </w:r>
            <w:r>
              <w:rPr>
                <w:rFonts w:hint="eastAsia" w:eastAsia="宋体" w:cs="Times New Roman"/>
                <w:color w:val="auto"/>
                <w:highlight w:val="none"/>
                <w:lang w:val="en-US" w:eastAsia="zh-CN"/>
              </w:rPr>
              <w:t>1.75</w:t>
            </w:r>
            <w:r>
              <w:rPr>
                <w:rFonts w:hint="eastAsia" w:ascii="Times New Roman" w:hAnsi="Times New Roman" w:eastAsia="宋体" w:cs="Times New Roman"/>
                <w:color w:val="auto"/>
                <w:highlight w:val="none"/>
                <w:lang w:val="en-US" w:eastAsia="zh-CN"/>
              </w:rPr>
              <w:t xml:space="preserve">t/d，制纯水机以自来水为原水，纯水制备废水中主要污染物为 </w:t>
            </w:r>
            <w:r>
              <w:rPr>
                <w:rFonts w:hint="default" w:ascii="Times New Roman" w:hAnsi="Times New Roman" w:eastAsia="宋体" w:cs="Times New Roman"/>
                <w:color w:val="auto"/>
                <w:highlight w:val="none"/>
                <w:lang w:val="en-US" w:eastAsia="zh-CN"/>
              </w:rPr>
              <w:t>COD</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SS</w:t>
            </w:r>
            <w:r>
              <w:rPr>
                <w:rFonts w:hint="eastAsia" w:ascii="Times New Roman" w:hAnsi="Times New Roman" w:eastAsia="宋体" w:cs="Times New Roman"/>
                <w:color w:val="auto"/>
                <w:highlight w:val="none"/>
                <w:lang w:val="en-US" w:eastAsia="zh-CN"/>
              </w:rPr>
              <w:t xml:space="preserve">，根据同类工程调查，纯水制备废水中 </w:t>
            </w:r>
            <w:r>
              <w:rPr>
                <w:rFonts w:hint="default" w:ascii="Times New Roman" w:hAnsi="Times New Roman" w:eastAsia="宋体" w:cs="Times New Roman"/>
                <w:color w:val="auto"/>
                <w:highlight w:val="none"/>
                <w:lang w:val="en-US" w:eastAsia="zh-CN"/>
              </w:rPr>
              <w:t xml:space="preserve">COD </w:t>
            </w:r>
            <w:r>
              <w:rPr>
                <w:rFonts w:hint="eastAsia" w:ascii="Times New Roman" w:hAnsi="Times New Roman" w:eastAsia="宋体" w:cs="Times New Roman"/>
                <w:color w:val="auto"/>
                <w:highlight w:val="none"/>
                <w:lang w:val="en-US" w:eastAsia="zh-CN"/>
              </w:rPr>
              <w:t>浓度较低，约为</w:t>
            </w:r>
            <w:r>
              <w:rPr>
                <w:rFonts w:hint="default" w:ascii="Times New Roman" w:hAnsi="Times New Roman" w:eastAsia="宋体" w:cs="Times New Roman"/>
                <w:color w:val="auto"/>
                <w:highlight w:val="none"/>
                <w:lang w:val="en-US" w:eastAsia="zh-CN"/>
              </w:rPr>
              <w:t>80mg/L</w:t>
            </w:r>
            <w:r>
              <w:rPr>
                <w:rFonts w:hint="eastAsia" w:ascii="Times New Roman" w:hAnsi="Times New Roman" w:eastAsia="宋体" w:cs="Times New Roman"/>
                <w:color w:val="auto"/>
                <w:highlight w:val="none"/>
                <w:lang w:val="en-US" w:eastAsia="zh-CN"/>
              </w:rPr>
              <w:t>，纯水制备产生的废水中</w:t>
            </w:r>
            <w:r>
              <w:rPr>
                <w:rFonts w:hint="default" w:ascii="Times New Roman" w:hAnsi="Times New Roman" w:eastAsia="宋体" w:cs="Times New Roman"/>
                <w:color w:val="auto"/>
                <w:highlight w:val="none"/>
                <w:lang w:val="en-US" w:eastAsia="zh-CN"/>
              </w:rPr>
              <w:t>SS</w:t>
            </w:r>
            <w:r>
              <w:rPr>
                <w:rFonts w:hint="eastAsia" w:ascii="Times New Roman" w:hAnsi="Times New Roman" w:eastAsia="宋体" w:cs="Times New Roman"/>
                <w:color w:val="auto"/>
                <w:highlight w:val="none"/>
                <w:lang w:val="en-US" w:eastAsia="zh-CN"/>
              </w:rPr>
              <w:t>浓度约为</w:t>
            </w:r>
            <w:r>
              <w:rPr>
                <w:rFonts w:hint="default" w:ascii="Times New Roman" w:hAnsi="Times New Roman" w:eastAsia="宋体" w:cs="Times New Roman"/>
                <w:color w:val="auto"/>
                <w:highlight w:val="none"/>
                <w:lang w:val="en-US" w:eastAsia="zh-CN"/>
              </w:rPr>
              <w:t>15mg/L</w:t>
            </w:r>
            <w:r>
              <w:rPr>
                <w:rFonts w:hint="eastAsia" w:ascii="Times New Roman" w:hAnsi="Times New Roman" w:eastAsia="宋体" w:cs="Times New Roman"/>
                <w:color w:val="auto"/>
                <w:highlight w:val="none"/>
                <w:lang w:val="en-US" w:eastAsia="zh-CN"/>
              </w:rPr>
              <w:t>。</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⑤喷淋除尘废水</w:t>
            </w:r>
          </w:p>
          <w:p>
            <w:pPr>
              <w:pStyle w:val="72"/>
              <w:ind w:firstLine="48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单台水喷淋除尘设施每次换水量为10t，每月定期更换一次，则单台水喷淋除尘设施年换水量为120t/a，两套喷淋除尘设施合计废水排放量为240t/a（0.8t/d）。喷淋除尘废水主要污染物为悬浮物，</w:t>
            </w:r>
            <w:r>
              <w:rPr>
                <w:rFonts w:hint="eastAsia" w:ascii="Times New Roman" w:hAnsi="Times New Roman" w:eastAsia="宋体" w:cs="Times New Roman"/>
                <w:color w:val="auto"/>
                <w:highlight w:val="none"/>
                <w:lang w:val="en-US" w:eastAsia="zh-CN"/>
              </w:rPr>
              <w:t>根据类比同类工程，</w:t>
            </w:r>
            <w:r>
              <w:rPr>
                <w:rFonts w:hint="default" w:ascii="Times New Roman" w:hAnsi="Times New Roman" w:eastAsia="宋体" w:cs="Times New Roman"/>
                <w:color w:val="auto"/>
                <w:highlight w:val="none"/>
                <w:lang w:val="en-US" w:eastAsia="zh-CN"/>
              </w:rPr>
              <w:t>SS</w:t>
            </w:r>
            <w:r>
              <w:rPr>
                <w:rFonts w:hint="eastAsia" w:ascii="Times New Roman" w:hAnsi="Times New Roman" w:eastAsia="宋体" w:cs="Times New Roman"/>
                <w:color w:val="auto"/>
                <w:highlight w:val="none"/>
                <w:lang w:val="en-US" w:eastAsia="zh-CN"/>
              </w:rPr>
              <w:t>浓度约为3000</w:t>
            </w:r>
            <w:r>
              <w:rPr>
                <w:rFonts w:hint="default" w:ascii="Times New Roman" w:hAnsi="Times New Roman" w:eastAsia="宋体" w:cs="Times New Roman"/>
                <w:color w:val="auto"/>
                <w:highlight w:val="none"/>
                <w:lang w:val="en-US" w:eastAsia="zh-CN"/>
              </w:rPr>
              <w:t>mg/L</w:t>
            </w:r>
            <w:r>
              <w:rPr>
                <w:rFonts w:hint="eastAsia" w:cs="Times New Roman"/>
                <w:color w:val="auto"/>
                <w:highlight w:val="none"/>
                <w:lang w:val="en-US" w:eastAsia="zh-CN"/>
              </w:rPr>
              <w:t>。</w:t>
            </w:r>
          </w:p>
          <w:p>
            <w:pPr>
              <w:pStyle w:val="72"/>
              <w:ind w:firstLine="48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⑥车间清洗废水</w:t>
            </w:r>
          </w:p>
          <w:p>
            <w:pPr>
              <w:pStyle w:val="72"/>
              <w:ind w:firstLine="480"/>
              <w:rPr>
                <w:rFonts w:hint="eastAsia"/>
                <w:color w:val="auto"/>
                <w:highlight w:val="none"/>
                <w:lang w:eastAsia="zh-CN"/>
              </w:rPr>
            </w:pPr>
            <w:r>
              <w:rPr>
                <w:rFonts w:hint="eastAsia" w:ascii="宋体" w:hAnsi="宋体" w:eastAsia="宋体" w:cs="宋体"/>
                <w:color w:val="auto"/>
                <w:highlight w:val="none"/>
                <w:lang w:val="en-US" w:eastAsia="zh-CN"/>
              </w:rPr>
              <w:t>根据企业提供的资料，</w:t>
            </w:r>
            <w:r>
              <w:rPr>
                <w:rFonts w:hint="eastAsia" w:ascii="宋体" w:hAnsi="宋体" w:cs="宋体"/>
                <w:color w:val="auto"/>
                <w:highlight w:val="none"/>
                <w:lang w:val="en-US" w:eastAsia="zh-CN"/>
              </w:rPr>
              <w:t>车间</w:t>
            </w:r>
            <w:r>
              <w:rPr>
                <w:rFonts w:hint="eastAsia" w:ascii="宋体" w:hAnsi="宋体" w:eastAsia="宋体" w:cs="宋体"/>
                <w:color w:val="auto"/>
                <w:highlight w:val="none"/>
                <w:lang w:val="en-US" w:eastAsia="zh-CN"/>
              </w:rPr>
              <w:t>清洗废水量约为2t/d，即600t/a。车间清洗废水主要污染物为COD、SS，</w:t>
            </w:r>
            <w:r>
              <w:rPr>
                <w:rFonts w:hint="eastAsia"/>
                <w:color w:val="auto"/>
                <w:highlight w:val="none"/>
              </w:rPr>
              <w:t>COD浓度约为500mg/L，SS浓度约为</w:t>
            </w:r>
            <w:r>
              <w:rPr>
                <w:rFonts w:hint="eastAsia"/>
                <w:color w:val="auto"/>
                <w:highlight w:val="none"/>
                <w:lang w:val="en-US" w:eastAsia="zh-CN"/>
              </w:rPr>
              <w:t>10</w:t>
            </w:r>
            <w:r>
              <w:rPr>
                <w:rFonts w:hint="eastAsia"/>
                <w:color w:val="auto"/>
                <w:highlight w:val="none"/>
              </w:rPr>
              <w:t>00mg/L</w:t>
            </w:r>
            <w:r>
              <w:rPr>
                <w:rFonts w:hint="eastAsia"/>
                <w:color w:val="auto"/>
                <w:highlight w:val="none"/>
                <w:lang w:eastAsia="zh-CN"/>
              </w:rPr>
              <w:t>。</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⑦循环冷却水系统排污水</w:t>
            </w:r>
          </w:p>
          <w:p>
            <w:pPr>
              <w:pStyle w:val="72"/>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设备循环冷水排污水为0.</w:t>
            </w:r>
            <w:r>
              <w:rPr>
                <w:rFonts w:hint="eastAsia" w:eastAsia="宋体" w:cs="Times New Roman"/>
                <w:color w:val="auto"/>
                <w:highlight w:val="none"/>
                <w:lang w:val="en-US" w:eastAsia="zh-CN"/>
              </w:rPr>
              <w:t>8</w:t>
            </w:r>
            <w:r>
              <w:rPr>
                <w:rFonts w:hint="eastAsia" w:ascii="Times New Roman" w:hAnsi="Times New Roman" w:eastAsia="宋体" w:cs="Times New Roman"/>
                <w:color w:val="auto"/>
                <w:highlight w:val="none"/>
                <w:lang w:val="en-US" w:eastAsia="zh-CN"/>
              </w:rPr>
              <w:t>t/d（</w:t>
            </w:r>
            <w:r>
              <w:rPr>
                <w:rFonts w:hint="eastAsia" w:eastAsia="宋体" w:cs="Times New Roman"/>
                <w:color w:val="auto"/>
                <w:highlight w:val="none"/>
                <w:lang w:val="en-US" w:eastAsia="zh-CN"/>
              </w:rPr>
              <w:t>24</w:t>
            </w:r>
            <w:r>
              <w:rPr>
                <w:rFonts w:hint="eastAsia" w:ascii="Times New Roman" w:hAnsi="Times New Roman" w:eastAsia="宋体" w:cs="Times New Roman"/>
                <w:color w:val="auto"/>
                <w:highlight w:val="none"/>
                <w:lang w:val="en-US" w:eastAsia="zh-CN"/>
              </w:rPr>
              <w:t>0t/a），根据同类项目工程调查，</w:t>
            </w:r>
            <w:r>
              <w:rPr>
                <w:rFonts w:hint="eastAsia" w:cs="Times New Roman"/>
                <w:color w:val="auto"/>
                <w:highlight w:val="none"/>
                <w:lang w:val="en-US" w:eastAsia="zh-CN"/>
              </w:rPr>
              <w:t>循环冷却水系统排污水</w:t>
            </w:r>
            <w:r>
              <w:rPr>
                <w:rFonts w:hint="eastAsia" w:ascii="Times New Roman" w:hAnsi="Times New Roman" w:eastAsia="宋体" w:cs="Times New Roman"/>
                <w:color w:val="auto"/>
                <w:highlight w:val="none"/>
                <w:lang w:val="en-US" w:eastAsia="zh-CN"/>
              </w:rPr>
              <w:t>COD浓度约为100mg/L，SS浓度约为100mg/L。</w:t>
            </w:r>
          </w:p>
          <w:p>
            <w:pPr>
              <w:pStyle w:val="68"/>
              <w:bidi w:val="0"/>
              <w:rPr>
                <w:rFonts w:hint="eastAsia"/>
                <w:color w:val="auto"/>
                <w:highlight w:val="none"/>
              </w:rPr>
            </w:pPr>
            <w:r>
              <w:rPr>
                <w:rFonts w:hint="eastAsia"/>
                <w:color w:val="auto"/>
                <w:highlight w:val="none"/>
              </w:rPr>
              <w:t>表4.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w:t>
            </w:r>
            <w:r>
              <w:rPr>
                <w:rFonts w:hint="eastAsia"/>
                <w:color w:val="auto"/>
                <w:highlight w:val="none"/>
              </w:rPr>
              <w:t>本项目生产废水主要污染物产生情况一览表</w:t>
            </w:r>
          </w:p>
          <w:tbl>
            <w:tblPr>
              <w:tblStyle w:val="28"/>
              <w:tblW w:w="8241" w:type="dxa"/>
              <w:tblInd w:w="-22"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55"/>
              <w:gridCol w:w="1010"/>
              <w:gridCol w:w="1296"/>
              <w:gridCol w:w="1155"/>
              <w:gridCol w:w="1110"/>
              <w:gridCol w:w="2115"/>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15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污水来源</w:t>
                  </w:r>
                </w:p>
              </w:tc>
              <w:tc>
                <w:tcPr>
                  <w:tcW w:w="10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废水量</w:t>
                  </w:r>
                  <w:r>
                    <w:rPr>
                      <w:rFonts w:hint="eastAsia" w:ascii="宋体" w:hAnsi="宋体" w:cs="宋体"/>
                      <w:b w:val="0"/>
                      <w:i w:val="0"/>
                      <w:iCs w:val="0"/>
                      <w:color w:val="auto"/>
                      <w:kern w:val="0"/>
                      <w:sz w:val="21"/>
                      <w:szCs w:val="21"/>
                      <w:highlight w:val="none"/>
                      <w:u w:val="none"/>
                      <w:lang w:val="en-US" w:eastAsia="zh-CN" w:bidi="ar"/>
                    </w:rPr>
                    <w:t>（</w:t>
                  </w:r>
                  <w:r>
                    <w:rPr>
                      <w:rStyle w:val="94"/>
                      <w:rFonts w:eastAsia="宋体"/>
                      <w:b w:val="0"/>
                      <w:color w:val="auto"/>
                      <w:highlight w:val="none"/>
                      <w:lang w:val="en-US" w:eastAsia="zh-CN" w:bidi="ar"/>
                    </w:rPr>
                    <w:t>t/a</w:t>
                  </w:r>
                  <w:r>
                    <w:rPr>
                      <w:rStyle w:val="94"/>
                      <w:rFonts w:hint="eastAsia"/>
                      <w:b w:val="0"/>
                      <w:color w:val="auto"/>
                      <w:highlight w:val="none"/>
                      <w:lang w:val="en-US" w:eastAsia="zh-CN" w:bidi="ar"/>
                    </w:rPr>
                    <w:t>）</w:t>
                  </w: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污染指标</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产生浓度</w:t>
                  </w:r>
                  <w:r>
                    <w:rPr>
                      <w:rFonts w:hint="eastAsia" w:ascii="宋体" w:hAnsi="宋体" w:cs="宋体"/>
                      <w:b w:val="0"/>
                      <w:i w:val="0"/>
                      <w:iCs w:val="0"/>
                      <w:color w:val="auto"/>
                      <w:kern w:val="0"/>
                      <w:sz w:val="21"/>
                      <w:szCs w:val="21"/>
                      <w:highlight w:val="none"/>
                      <w:u w:val="none"/>
                      <w:lang w:val="en-US" w:eastAsia="zh-CN" w:bidi="ar"/>
                    </w:rPr>
                    <w:t>（</w:t>
                  </w:r>
                  <w:r>
                    <w:rPr>
                      <w:rStyle w:val="94"/>
                      <w:rFonts w:eastAsia="宋体"/>
                      <w:b w:val="0"/>
                      <w:color w:val="auto"/>
                      <w:highlight w:val="none"/>
                      <w:lang w:val="en-US" w:eastAsia="zh-CN" w:bidi="ar"/>
                    </w:rPr>
                    <w:t>mg/L</w:t>
                  </w:r>
                  <w:r>
                    <w:rPr>
                      <w:rStyle w:val="94"/>
                      <w:rFonts w:hint="eastAsia"/>
                      <w:b w:val="0"/>
                      <w:color w:val="auto"/>
                      <w:highlight w:val="none"/>
                      <w:lang w:val="en-US" w:eastAsia="zh-CN" w:bidi="ar"/>
                    </w:rPr>
                    <w:t>）</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产生量</w:t>
                  </w:r>
                  <w:r>
                    <w:rPr>
                      <w:rFonts w:hint="eastAsia" w:ascii="宋体" w:hAnsi="宋体" w:cs="宋体"/>
                      <w:b w:val="0"/>
                      <w:i w:val="0"/>
                      <w:iCs w:val="0"/>
                      <w:color w:val="auto"/>
                      <w:kern w:val="0"/>
                      <w:sz w:val="21"/>
                      <w:szCs w:val="21"/>
                      <w:highlight w:val="none"/>
                      <w:u w:val="none"/>
                      <w:lang w:val="en-US" w:eastAsia="zh-CN" w:bidi="ar"/>
                    </w:rPr>
                    <w:t>（</w:t>
                  </w:r>
                  <w:r>
                    <w:rPr>
                      <w:rStyle w:val="94"/>
                      <w:rFonts w:eastAsia="宋体"/>
                      <w:b w:val="0"/>
                      <w:color w:val="auto"/>
                      <w:highlight w:val="none"/>
                      <w:lang w:val="en-US" w:eastAsia="zh-CN" w:bidi="ar"/>
                    </w:rPr>
                    <w:t>t/a</w:t>
                  </w:r>
                  <w:r>
                    <w:rPr>
                      <w:rStyle w:val="94"/>
                      <w:rFonts w:hint="eastAsia"/>
                      <w:b w:val="0"/>
                      <w:color w:val="auto"/>
                      <w:highlight w:val="none"/>
                      <w:lang w:val="en-US" w:eastAsia="zh-CN" w:bidi="ar"/>
                    </w:rPr>
                    <w:t>）</w:t>
                  </w:r>
                </w:p>
              </w:tc>
              <w:tc>
                <w:tcPr>
                  <w:tcW w:w="2115"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排放方式</w:t>
                  </w:r>
                  <w:r>
                    <w:rPr>
                      <w:rFonts w:hint="eastAsia" w:ascii="宋体" w:hAnsi="宋体" w:cs="宋体"/>
                      <w:b w:val="0"/>
                      <w:i w:val="0"/>
                      <w:iCs w:val="0"/>
                      <w:color w:val="auto"/>
                      <w:kern w:val="0"/>
                      <w:sz w:val="21"/>
                      <w:szCs w:val="21"/>
                      <w:highlight w:val="none"/>
                      <w:u w:val="none"/>
                      <w:lang w:val="en-US" w:eastAsia="zh-CN" w:bidi="ar"/>
                    </w:rPr>
                    <w:t>、去向</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纯水制备废水</w:t>
                  </w:r>
                </w:p>
              </w:tc>
              <w:tc>
                <w:tcPr>
                  <w:tcW w:w="1010"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525</w:t>
                  </w: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COD</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80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0.042</w:t>
                  </w:r>
                </w:p>
              </w:tc>
              <w:tc>
                <w:tcPr>
                  <w:tcW w:w="211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间歇排放</w:t>
                  </w:r>
                  <w:r>
                    <w:rPr>
                      <w:rFonts w:hint="eastAsia" w:ascii="宋体" w:hAnsi="宋体" w:cs="宋体"/>
                      <w:b w:val="0"/>
                      <w:i w:val="0"/>
                      <w:iCs w:val="0"/>
                      <w:color w:val="auto"/>
                      <w:kern w:val="0"/>
                      <w:sz w:val="21"/>
                      <w:szCs w:val="21"/>
                      <w:highlight w:val="none"/>
                      <w:u w:val="none"/>
                      <w:lang w:val="en-US" w:eastAsia="zh-CN" w:bidi="ar"/>
                    </w:rPr>
                    <w:t>，现有污水处理站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SS</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15</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0.00788</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超声清洗废水</w:t>
                  </w:r>
                </w:p>
              </w:tc>
              <w:tc>
                <w:tcPr>
                  <w:tcW w:w="1010"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ascii="Calibri" w:hAnsi="Calibri" w:eastAsia="宋体" w:cs="Calibri"/>
                      <w:b w:val="0"/>
                      <w:i w:val="0"/>
                      <w:iCs w:val="0"/>
                      <w:color w:val="auto"/>
                      <w:sz w:val="21"/>
                      <w:szCs w:val="21"/>
                      <w:highlight w:val="none"/>
                      <w:u w:val="none"/>
                    </w:rPr>
                  </w:pPr>
                  <w:r>
                    <w:rPr>
                      <w:rFonts w:hint="default" w:ascii="Calibri" w:hAnsi="Calibri" w:eastAsia="宋体" w:cs="Calibri"/>
                      <w:b w:val="0"/>
                      <w:i w:val="0"/>
                      <w:iCs w:val="0"/>
                      <w:color w:val="auto"/>
                      <w:kern w:val="0"/>
                      <w:sz w:val="21"/>
                      <w:szCs w:val="21"/>
                      <w:highlight w:val="none"/>
                      <w:u w:val="none"/>
                      <w:lang w:val="en-US" w:eastAsia="zh-CN" w:bidi="ar"/>
                    </w:rPr>
                    <w:t>1350</w:t>
                  </w: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COD</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cs="宋体"/>
                      <w:b w:val="0"/>
                      <w:i w:val="0"/>
                      <w:iCs w:val="0"/>
                      <w:color w:val="auto"/>
                      <w:kern w:val="0"/>
                      <w:sz w:val="21"/>
                      <w:szCs w:val="21"/>
                      <w:highlight w:val="none"/>
                      <w:u w:val="none"/>
                      <w:lang w:val="en-US" w:eastAsia="zh-CN" w:bidi="ar"/>
                    </w:rPr>
                    <w:t>5</w:t>
                  </w:r>
                  <w:r>
                    <w:rPr>
                      <w:rFonts w:hint="eastAsia" w:ascii="宋体" w:hAnsi="宋体" w:eastAsia="宋体" w:cs="宋体"/>
                      <w:b w:val="0"/>
                      <w:i w:val="0"/>
                      <w:iCs w:val="0"/>
                      <w:color w:val="auto"/>
                      <w:kern w:val="0"/>
                      <w:sz w:val="21"/>
                      <w:szCs w:val="21"/>
                      <w:highlight w:val="none"/>
                      <w:u w:val="none"/>
                      <w:lang w:val="en-US" w:eastAsia="zh-CN" w:bidi="ar"/>
                    </w:rPr>
                    <w:t>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val="0"/>
                      <w:i w:val="0"/>
                      <w:iCs w:val="0"/>
                      <w:color w:val="auto"/>
                      <w:sz w:val="21"/>
                      <w:szCs w:val="21"/>
                      <w:highlight w:val="none"/>
                      <w:u w:val="none"/>
                      <w:lang w:val="en-US"/>
                    </w:rPr>
                  </w:pPr>
                  <w:r>
                    <w:rPr>
                      <w:rFonts w:hint="eastAsia" w:ascii="宋体" w:hAnsi="宋体" w:cs="宋体"/>
                      <w:b w:val="0"/>
                      <w:i w:val="0"/>
                      <w:iCs w:val="0"/>
                      <w:color w:val="auto"/>
                      <w:kern w:val="0"/>
                      <w:sz w:val="21"/>
                      <w:szCs w:val="21"/>
                      <w:highlight w:val="none"/>
                      <w:u w:val="none"/>
                      <w:lang w:val="en-US" w:eastAsia="zh-CN" w:bidi="ar"/>
                    </w:rPr>
                    <w:t>0.675</w:t>
                  </w:r>
                </w:p>
              </w:tc>
              <w:tc>
                <w:tcPr>
                  <w:tcW w:w="211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连续排放</w:t>
                  </w:r>
                  <w:r>
                    <w:rPr>
                      <w:rFonts w:hint="eastAsia" w:ascii="宋体" w:hAnsi="宋体" w:cs="宋体"/>
                      <w:b w:val="0"/>
                      <w:i w:val="0"/>
                      <w:iCs w:val="0"/>
                      <w:color w:val="auto"/>
                      <w:kern w:val="0"/>
                      <w:sz w:val="21"/>
                      <w:szCs w:val="21"/>
                      <w:highlight w:val="none"/>
                      <w:u w:val="none"/>
                      <w:lang w:val="en-US" w:eastAsia="zh-CN" w:bidi="ar"/>
                    </w:rPr>
                    <w:t>，新建污水处理站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Calibri" w:hAnsi="Calibri" w:eastAsia="宋体" w:cs="Calibri"/>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SS</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800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1.08</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Calibri" w:hAnsi="Calibri" w:eastAsia="宋体" w:cs="Calibri"/>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石油类</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cs="宋体"/>
                      <w:b w:val="0"/>
                      <w:i w:val="0"/>
                      <w:iCs w:val="0"/>
                      <w:color w:val="auto"/>
                      <w:kern w:val="0"/>
                      <w:sz w:val="21"/>
                      <w:szCs w:val="21"/>
                      <w:highlight w:val="none"/>
                      <w:u w:val="none"/>
                      <w:lang w:val="en-US" w:eastAsia="zh-CN" w:bidi="ar"/>
                    </w:rPr>
                    <w:t>5</w:t>
                  </w:r>
                  <w:r>
                    <w:rPr>
                      <w:rFonts w:hint="eastAsia" w:ascii="宋体" w:hAnsi="宋体" w:eastAsia="宋体" w:cs="宋体"/>
                      <w:b w:val="0"/>
                      <w:i w:val="0"/>
                      <w:iCs w:val="0"/>
                      <w:color w:val="auto"/>
                      <w:kern w:val="0"/>
                      <w:sz w:val="21"/>
                      <w:szCs w:val="21"/>
                      <w:highlight w:val="none"/>
                      <w:u w:val="none"/>
                      <w:lang w:val="en-US" w:eastAsia="zh-CN" w:bidi="ar"/>
                    </w:rPr>
                    <w:t>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val="0"/>
                      <w:i w:val="0"/>
                      <w:iCs w:val="0"/>
                      <w:color w:val="auto"/>
                      <w:sz w:val="21"/>
                      <w:szCs w:val="21"/>
                      <w:highlight w:val="none"/>
                      <w:u w:val="none"/>
                      <w:lang w:val="en-US"/>
                    </w:rPr>
                  </w:pPr>
                  <w:r>
                    <w:rPr>
                      <w:rFonts w:hint="eastAsia" w:ascii="宋体" w:hAnsi="宋体" w:eastAsia="宋体" w:cs="宋体"/>
                      <w:b w:val="0"/>
                      <w:i w:val="0"/>
                      <w:iCs w:val="0"/>
                      <w:color w:val="auto"/>
                      <w:kern w:val="0"/>
                      <w:sz w:val="21"/>
                      <w:szCs w:val="21"/>
                      <w:highlight w:val="none"/>
                      <w:u w:val="none"/>
                      <w:lang w:val="en-US" w:eastAsia="zh-CN" w:bidi="ar"/>
                    </w:rPr>
                    <w:t>0.</w:t>
                  </w:r>
                  <w:r>
                    <w:rPr>
                      <w:rFonts w:hint="eastAsia" w:ascii="宋体" w:hAnsi="宋体" w:cs="宋体"/>
                      <w:b w:val="0"/>
                      <w:i w:val="0"/>
                      <w:iCs w:val="0"/>
                      <w:color w:val="auto"/>
                      <w:kern w:val="0"/>
                      <w:sz w:val="21"/>
                      <w:szCs w:val="21"/>
                      <w:highlight w:val="none"/>
                      <w:u w:val="none"/>
                      <w:lang w:val="en-US" w:eastAsia="zh-CN" w:bidi="ar"/>
                    </w:rPr>
                    <w:t>0675</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Calibri" w:hAnsi="Calibri" w:eastAsia="宋体" w:cs="Calibri"/>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氨氮</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100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0.135</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Calibri" w:hAnsi="Calibri" w:eastAsia="宋体" w:cs="Calibri"/>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总磷</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50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0.0675</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循环冷却水系统排污水</w:t>
                  </w:r>
                </w:p>
              </w:tc>
              <w:tc>
                <w:tcPr>
                  <w:tcW w:w="1010"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val="0"/>
                      <w:i w:val="0"/>
                      <w:iCs w:val="0"/>
                      <w:color w:val="auto"/>
                      <w:sz w:val="21"/>
                      <w:szCs w:val="21"/>
                      <w:highlight w:val="none"/>
                      <w:u w:val="none"/>
                    </w:rPr>
                  </w:pPr>
                  <w:r>
                    <w:rPr>
                      <w:rFonts w:hint="default" w:ascii="Calibri" w:hAnsi="Calibri" w:eastAsia="宋体" w:cs="Calibri"/>
                      <w:b w:val="0"/>
                      <w:i w:val="0"/>
                      <w:iCs w:val="0"/>
                      <w:color w:val="auto"/>
                      <w:kern w:val="0"/>
                      <w:sz w:val="21"/>
                      <w:szCs w:val="21"/>
                      <w:highlight w:val="none"/>
                      <w:u w:val="none"/>
                      <w:lang w:val="en-US" w:eastAsia="zh-CN" w:bidi="ar"/>
                    </w:rPr>
                    <w:t>240</w:t>
                  </w: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COD</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100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0.024</w:t>
                  </w:r>
                </w:p>
              </w:tc>
              <w:tc>
                <w:tcPr>
                  <w:tcW w:w="211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间歇排放</w:t>
                  </w:r>
                  <w:r>
                    <w:rPr>
                      <w:rFonts w:hint="eastAsia" w:ascii="宋体" w:hAnsi="宋体" w:cs="宋体"/>
                      <w:b w:val="0"/>
                      <w:i w:val="0"/>
                      <w:iCs w:val="0"/>
                      <w:color w:val="auto"/>
                      <w:kern w:val="0"/>
                      <w:sz w:val="21"/>
                      <w:szCs w:val="21"/>
                      <w:highlight w:val="none"/>
                      <w:u w:val="none"/>
                      <w:lang w:val="en-US" w:eastAsia="zh-CN" w:bidi="ar"/>
                    </w:rPr>
                    <w:t>，新建污水处理站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Calibri" w:hAnsi="Calibri" w:eastAsia="宋体" w:cs="Calibri"/>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SS</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100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0.024</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超声探伤废水</w:t>
                  </w:r>
                </w:p>
              </w:tc>
              <w:tc>
                <w:tcPr>
                  <w:tcW w:w="1010"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540</w:t>
                  </w: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COD</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100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0.054</w:t>
                  </w:r>
                </w:p>
              </w:tc>
              <w:tc>
                <w:tcPr>
                  <w:tcW w:w="211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间歇排放</w:t>
                  </w:r>
                  <w:r>
                    <w:rPr>
                      <w:rFonts w:hint="eastAsia" w:ascii="宋体" w:hAnsi="宋体" w:cs="宋体"/>
                      <w:b w:val="0"/>
                      <w:i w:val="0"/>
                      <w:iCs w:val="0"/>
                      <w:color w:val="auto"/>
                      <w:kern w:val="0"/>
                      <w:sz w:val="21"/>
                      <w:szCs w:val="21"/>
                      <w:highlight w:val="none"/>
                      <w:u w:val="none"/>
                      <w:lang w:val="en-US" w:eastAsia="zh-CN" w:bidi="ar"/>
                    </w:rPr>
                    <w:t>，新建污水处理站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SS</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100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0.054</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石油类</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5</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0.0027</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水刀切割废水</w:t>
                  </w:r>
                </w:p>
              </w:tc>
              <w:tc>
                <w:tcPr>
                  <w:tcW w:w="1010"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540</w:t>
                  </w: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COD</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80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0.0432</w:t>
                  </w:r>
                </w:p>
              </w:tc>
              <w:tc>
                <w:tcPr>
                  <w:tcW w:w="211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连续排放</w:t>
                  </w:r>
                  <w:r>
                    <w:rPr>
                      <w:rFonts w:hint="eastAsia" w:ascii="宋体" w:hAnsi="宋体" w:cs="宋体"/>
                      <w:b w:val="0"/>
                      <w:i w:val="0"/>
                      <w:iCs w:val="0"/>
                      <w:color w:val="auto"/>
                      <w:kern w:val="0"/>
                      <w:sz w:val="21"/>
                      <w:szCs w:val="21"/>
                      <w:highlight w:val="none"/>
                      <w:u w:val="none"/>
                      <w:lang w:val="en-US" w:eastAsia="zh-CN" w:bidi="ar"/>
                    </w:rPr>
                    <w:t>，新建污水处理站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石油类</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5</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0.0027</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SS</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1000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0.54</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喷淋除尘废水</w:t>
                  </w:r>
                </w:p>
              </w:tc>
              <w:tc>
                <w:tcPr>
                  <w:tcW w:w="1010"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240</w:t>
                  </w: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COD</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200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0.048</w:t>
                  </w:r>
                </w:p>
              </w:tc>
              <w:tc>
                <w:tcPr>
                  <w:tcW w:w="211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间歇排放</w:t>
                  </w:r>
                  <w:r>
                    <w:rPr>
                      <w:rFonts w:hint="eastAsia" w:ascii="宋体" w:hAnsi="宋体" w:cs="宋体"/>
                      <w:b w:val="0"/>
                      <w:i w:val="0"/>
                      <w:iCs w:val="0"/>
                      <w:color w:val="auto"/>
                      <w:kern w:val="0"/>
                      <w:sz w:val="21"/>
                      <w:szCs w:val="21"/>
                      <w:highlight w:val="none"/>
                      <w:u w:val="none"/>
                      <w:lang w:val="en-US" w:eastAsia="zh-CN" w:bidi="ar"/>
                    </w:rPr>
                    <w:t>，新建污水处理站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SS</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3000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0.72</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车间清洗废水</w:t>
                  </w:r>
                </w:p>
              </w:tc>
              <w:tc>
                <w:tcPr>
                  <w:tcW w:w="1010"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600</w:t>
                  </w: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COD</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500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0.3</w:t>
                  </w:r>
                </w:p>
              </w:tc>
              <w:tc>
                <w:tcPr>
                  <w:tcW w:w="211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间歇排放</w:t>
                  </w:r>
                  <w:r>
                    <w:rPr>
                      <w:rFonts w:hint="eastAsia" w:ascii="宋体" w:hAnsi="宋体" w:cs="宋体"/>
                      <w:b w:val="0"/>
                      <w:i w:val="0"/>
                      <w:iCs w:val="0"/>
                      <w:color w:val="auto"/>
                      <w:kern w:val="0"/>
                      <w:sz w:val="21"/>
                      <w:szCs w:val="21"/>
                      <w:highlight w:val="none"/>
                      <w:u w:val="none"/>
                      <w:lang w:val="en-US" w:eastAsia="zh-CN" w:bidi="ar"/>
                    </w:rPr>
                    <w:t>，新建污水处理站</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b w:val="0"/>
                      <w:i w:val="0"/>
                      <w:iCs w:val="0"/>
                      <w:color w:val="auto"/>
                      <w:kern w:val="0"/>
                      <w:sz w:val="21"/>
                      <w:szCs w:val="21"/>
                      <w:highlight w:val="none"/>
                      <w:u w:val="none"/>
                      <w:lang w:val="en-US" w:eastAsia="zh-CN" w:bidi="ar"/>
                    </w:rPr>
                    <w:t>SS</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1000</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b w:val="0"/>
                      <w:i w:val="0"/>
                      <w:iCs w:val="0"/>
                      <w:color w:val="auto"/>
                      <w:kern w:val="0"/>
                      <w:sz w:val="21"/>
                      <w:szCs w:val="21"/>
                      <w:highlight w:val="none"/>
                      <w:u w:val="none"/>
                      <w:lang w:val="en-US" w:eastAsia="zh-CN" w:bidi="ar"/>
                    </w:rPr>
                    <w:t>0.6</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val="0"/>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其中进入新建污水处理站</w:t>
                  </w:r>
                </w:p>
              </w:tc>
              <w:tc>
                <w:tcPr>
                  <w:tcW w:w="1010"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3510</w:t>
                  </w: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326 </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1.1442</w:t>
                  </w:r>
                </w:p>
              </w:tc>
              <w:tc>
                <w:tcPr>
                  <w:tcW w:w="211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val="0"/>
                      <w:i w:val="0"/>
                      <w:iCs w:val="0"/>
                      <w:color w:val="auto"/>
                      <w:kern w:val="0"/>
                      <w:sz w:val="21"/>
                      <w:szCs w:val="21"/>
                      <w:highlight w:val="none"/>
                      <w:u w:val="none"/>
                      <w:lang w:val="en-US" w:eastAsia="zh-CN" w:bidi="ar"/>
                    </w:rPr>
                  </w:pPr>
                  <w:r>
                    <w:rPr>
                      <w:rFonts w:hint="eastAsia" w:ascii="宋体" w:hAnsi="宋体" w:cs="宋体"/>
                      <w:b w:val="0"/>
                      <w:i w:val="0"/>
                      <w:iCs w:val="0"/>
                      <w:color w:val="auto"/>
                      <w:kern w:val="0"/>
                      <w:sz w:val="21"/>
                      <w:szCs w:val="21"/>
                      <w:highlight w:val="none"/>
                      <w:u w:val="none"/>
                      <w:lang w:val="en-US" w:eastAsia="zh-CN" w:bidi="ar"/>
                    </w:rPr>
                    <w:t>进入新建污水处理站，由</w:t>
                  </w:r>
                  <w:r>
                    <w:rPr>
                      <w:rFonts w:hint="eastAsia" w:ascii="宋体" w:hAnsi="宋体" w:eastAsia="宋体" w:cs="宋体"/>
                      <w:i w:val="0"/>
                      <w:iCs w:val="0"/>
                      <w:color w:val="auto"/>
                      <w:kern w:val="0"/>
                      <w:sz w:val="21"/>
                      <w:szCs w:val="21"/>
                      <w:highlight w:val="none"/>
                      <w:u w:val="none"/>
                      <w:lang w:val="en-US" w:eastAsia="zh-CN" w:bidi="ar"/>
                    </w:rPr>
                    <w:t>DW002排放</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860 </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3.018</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石油类</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21 </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0.0729</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氨氮</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38 </w:t>
                  </w:r>
                </w:p>
              </w:tc>
              <w:tc>
                <w:tcPr>
                  <w:tcW w:w="111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0.135</w:t>
                  </w:r>
                </w:p>
              </w:tc>
              <w:tc>
                <w:tcPr>
                  <w:tcW w:w="2115" w:type="dxa"/>
                  <w:vMerge w:val="continue"/>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总磷</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19 </w:t>
                  </w:r>
                </w:p>
              </w:tc>
              <w:tc>
                <w:tcPr>
                  <w:tcW w:w="1110" w:type="dxa"/>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0.0675</w:t>
                  </w:r>
                </w:p>
              </w:tc>
              <w:tc>
                <w:tcPr>
                  <w:tcW w:w="2115" w:type="dxa"/>
                  <w:vMerge w:val="continue"/>
                  <w:tcBorders>
                    <w:tl2br w:val="nil"/>
                    <w:tr2bl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b w:val="0"/>
                      <w:i w:val="0"/>
                      <w:iCs w:val="0"/>
                      <w:color w:val="auto"/>
                      <w:kern w:val="0"/>
                      <w:sz w:val="22"/>
                      <w:szCs w:val="22"/>
                      <w:highlight w:val="none"/>
                      <w:u w:val="none"/>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进入现有污水处理站</w:t>
                  </w:r>
                </w:p>
              </w:tc>
              <w:tc>
                <w:tcPr>
                  <w:tcW w:w="1010" w:type="dxa"/>
                  <w:vMerge w:val="restart"/>
                  <w:tcBorders>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525</w:t>
                  </w: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80</w:t>
                  </w:r>
                </w:p>
              </w:tc>
              <w:tc>
                <w:tcPr>
                  <w:tcW w:w="1110" w:type="dxa"/>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0.042</w:t>
                  </w:r>
                </w:p>
              </w:tc>
              <w:tc>
                <w:tcPr>
                  <w:tcW w:w="2115" w:type="dxa"/>
                  <w:vMerge w:val="restart"/>
                  <w:tcBorders>
                    <w:tl2br w:val="nil"/>
                    <w:tr2bl w:val="nil"/>
                  </w:tcBorders>
                  <w:shd w:val="clear" w:color="auto" w:fill="FFFFFF"/>
                  <w:noWrap/>
                  <w:vAlign w:val="center"/>
                </w:tcPr>
                <w:p>
                  <w:pPr>
                    <w:keepNext w:val="0"/>
                    <w:keepLines w:val="0"/>
                    <w:widowControl/>
                    <w:suppressLineNumbers w:val="0"/>
                    <w:jc w:val="both"/>
                    <w:textAlignment w:val="center"/>
                    <w:rPr>
                      <w:rFonts w:hint="default" w:ascii="宋体" w:hAnsi="宋体" w:eastAsia="宋体" w:cs="宋体"/>
                      <w:b w:val="0"/>
                      <w:i w:val="0"/>
                      <w:iCs w:val="0"/>
                      <w:color w:val="auto"/>
                      <w:kern w:val="0"/>
                      <w:sz w:val="22"/>
                      <w:szCs w:val="22"/>
                      <w:highlight w:val="none"/>
                      <w:u w:val="none"/>
                      <w:lang w:val="en-US" w:eastAsia="zh-CN" w:bidi="ar"/>
                    </w:rPr>
                  </w:pPr>
                  <w:r>
                    <w:rPr>
                      <w:rFonts w:hint="eastAsia" w:ascii="宋体" w:hAnsi="宋体" w:cs="宋体"/>
                      <w:b w:val="0"/>
                      <w:i w:val="0"/>
                      <w:iCs w:val="0"/>
                      <w:color w:val="auto"/>
                      <w:kern w:val="0"/>
                      <w:sz w:val="21"/>
                      <w:szCs w:val="21"/>
                      <w:highlight w:val="none"/>
                      <w:u w:val="none"/>
                      <w:lang w:val="en-US" w:eastAsia="zh-CN" w:bidi="ar"/>
                    </w:rPr>
                    <w:t>进入现有污水处理站，由</w:t>
                  </w:r>
                  <w:r>
                    <w:rPr>
                      <w:rFonts w:hint="eastAsia" w:ascii="宋体" w:hAnsi="宋体" w:eastAsia="宋体" w:cs="宋体"/>
                      <w:i w:val="0"/>
                      <w:iCs w:val="0"/>
                      <w:color w:val="auto"/>
                      <w:kern w:val="0"/>
                      <w:sz w:val="22"/>
                      <w:szCs w:val="22"/>
                      <w:highlight w:val="none"/>
                      <w:u w:val="none"/>
                      <w:lang w:val="en-US" w:eastAsia="zh-CN" w:bidi="ar"/>
                    </w:rPr>
                    <w:t>DW001排放</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55" w:type="dxa"/>
                  <w:vMerge w:val="continue"/>
                  <w:tcBorders>
                    <w:tl2br w:val="nil"/>
                    <w:tr2bl w:val="nil"/>
                  </w:tcBorders>
                  <w:shd w:val="clear" w:color="auto" w:fill="FFFFFF"/>
                  <w:vAlign w:val="center"/>
                </w:tcPr>
                <w:p>
                  <w:pPr>
                    <w:jc w:val="center"/>
                    <w:rPr>
                      <w:rFonts w:hint="eastAsia" w:ascii="宋体" w:hAnsi="宋体" w:eastAsia="宋体" w:cs="宋体"/>
                      <w:b w:val="0"/>
                      <w:i w:val="0"/>
                      <w:iCs w:val="0"/>
                      <w:color w:val="auto"/>
                      <w:sz w:val="21"/>
                      <w:szCs w:val="21"/>
                      <w:highlight w:val="none"/>
                      <w:u w:val="none"/>
                    </w:rPr>
                  </w:pPr>
                </w:p>
              </w:tc>
              <w:tc>
                <w:tcPr>
                  <w:tcW w:w="1010" w:type="dxa"/>
                  <w:vMerge w:val="continue"/>
                  <w:tcBorders>
                    <w:tl2br w:val="nil"/>
                    <w:tr2bl w:val="nil"/>
                  </w:tcBorders>
                  <w:shd w:val="clear" w:color="auto" w:fill="FFFFFF"/>
                  <w:vAlign w:val="center"/>
                </w:tcPr>
                <w:p>
                  <w:pPr>
                    <w:jc w:val="center"/>
                    <w:rPr>
                      <w:rFonts w:hint="default" w:ascii="Times New Roman" w:hAnsi="Times New Roman" w:eastAsia="宋体" w:cs="Times New Roman"/>
                      <w:b w:val="0"/>
                      <w:i w:val="0"/>
                      <w:iCs w:val="0"/>
                      <w:color w:val="auto"/>
                      <w:sz w:val="21"/>
                      <w:szCs w:val="21"/>
                      <w:highlight w:val="none"/>
                      <w:u w:val="none"/>
                    </w:rPr>
                  </w:pPr>
                </w:p>
              </w:tc>
              <w:tc>
                <w:tcPr>
                  <w:tcW w:w="129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1155"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1110" w:type="dxa"/>
                  <w:tcBorders>
                    <w:tl2br w:val="nil"/>
                    <w:tr2bl w:val="nil"/>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0.00788</w:t>
                  </w:r>
                </w:p>
              </w:tc>
              <w:tc>
                <w:tcPr>
                  <w:tcW w:w="2115" w:type="dxa"/>
                  <w:vMerge w:val="continue"/>
                  <w:tcBorders>
                    <w:tl2br w:val="nil"/>
                    <w:tr2bl w:val="nil"/>
                  </w:tcBorders>
                  <w:shd w:val="clear" w:color="auto" w:fill="FFFFFF"/>
                  <w:noWrap/>
                  <w:vAlign w:val="center"/>
                </w:tcPr>
                <w:p>
                  <w:pPr>
                    <w:keepNext w:val="0"/>
                    <w:keepLines w:val="0"/>
                    <w:widowControl/>
                    <w:suppressLineNumbers w:val="0"/>
                    <w:jc w:val="right"/>
                    <w:textAlignment w:val="center"/>
                    <w:rPr>
                      <w:rFonts w:hint="eastAsia" w:ascii="宋体" w:hAnsi="宋体" w:eastAsia="宋体" w:cs="宋体"/>
                      <w:b w:val="0"/>
                      <w:i w:val="0"/>
                      <w:iCs w:val="0"/>
                      <w:color w:val="auto"/>
                      <w:kern w:val="0"/>
                      <w:sz w:val="22"/>
                      <w:szCs w:val="22"/>
                      <w:highlight w:val="none"/>
                      <w:u w:val="none"/>
                      <w:lang w:val="en-US" w:eastAsia="zh-CN" w:bidi="ar"/>
                    </w:rPr>
                  </w:pPr>
                </w:p>
              </w:tc>
            </w:tr>
          </w:tbl>
          <w:p>
            <w:pPr>
              <w:pStyle w:val="68"/>
              <w:bidi w:val="0"/>
              <w:rPr>
                <w:rFonts w:hint="eastAsia"/>
                <w:color w:val="auto"/>
                <w:highlight w:val="none"/>
              </w:rPr>
            </w:pPr>
          </w:p>
          <w:p>
            <w:pPr>
              <w:pStyle w:val="72"/>
              <w:bidi w:val="0"/>
              <w:rPr>
                <w:rFonts w:hint="default"/>
                <w:color w:val="auto"/>
                <w:highlight w:val="none"/>
                <w:lang w:val="en-US"/>
              </w:rPr>
            </w:pPr>
            <w:r>
              <w:rPr>
                <w:rFonts w:hint="eastAsia" w:ascii="宋体" w:hAnsi="宋体" w:eastAsia="宋体" w:cs="宋体"/>
                <w:color w:val="auto"/>
                <w:highlight w:val="none"/>
                <w:lang w:val="en-US" w:eastAsia="zh-CN"/>
              </w:rPr>
              <w:t>由上述分析可知，项目生产废水排放量为</w:t>
            </w:r>
            <w:r>
              <w:rPr>
                <w:rFonts w:hint="eastAsia" w:ascii="宋体" w:hAnsi="宋体" w:cs="宋体"/>
                <w:color w:val="auto"/>
                <w:highlight w:val="none"/>
                <w:lang w:val="en-US" w:eastAsia="zh-CN"/>
              </w:rPr>
              <w:t>4035</w:t>
            </w:r>
            <w:r>
              <w:rPr>
                <w:rFonts w:hint="eastAsia" w:ascii="宋体" w:hAnsi="宋体" w:eastAsia="宋体" w:cs="宋体"/>
                <w:color w:val="auto"/>
                <w:highlight w:val="none"/>
                <w:lang w:val="en-US" w:eastAsia="zh-CN"/>
              </w:rPr>
              <w:t>t/a（</w:t>
            </w:r>
            <w:r>
              <w:rPr>
                <w:rFonts w:hint="eastAsia" w:ascii="宋体" w:hAnsi="宋体" w:cs="宋体"/>
                <w:color w:val="auto"/>
                <w:highlight w:val="none"/>
                <w:lang w:val="en-US" w:eastAsia="zh-CN"/>
              </w:rPr>
              <w:t>13.45</w:t>
            </w:r>
            <w:r>
              <w:rPr>
                <w:rFonts w:hint="eastAsia" w:ascii="宋体" w:hAnsi="宋体" w:eastAsia="宋体" w:cs="宋体"/>
                <w:color w:val="auto"/>
                <w:highlight w:val="none"/>
                <w:lang w:val="en-US" w:eastAsia="zh-CN"/>
              </w:rPr>
              <w:t>t/d），</w:t>
            </w:r>
            <w:r>
              <w:rPr>
                <w:rFonts w:hint="eastAsia" w:ascii="宋体" w:hAnsi="宋体" w:cs="宋体"/>
                <w:color w:val="auto"/>
                <w:highlight w:val="none"/>
                <w:lang w:val="en-US" w:eastAsia="zh-CN"/>
              </w:rPr>
              <w:t>其中纯水制备系统依托现有位于二期地块内，其废水排入现有污水处理站处理，其他生产废水均四期地块废水管道收集后进入新建污水处理站处理，废水量约为3510t/a，</w:t>
            </w:r>
            <w:r>
              <w:rPr>
                <w:rFonts w:hint="eastAsia" w:ascii="宋体" w:hAnsi="宋体" w:eastAsia="宋体" w:cs="宋体"/>
                <w:color w:val="auto"/>
                <w:highlight w:val="none"/>
                <w:lang w:val="en-US" w:eastAsia="zh-CN"/>
              </w:rPr>
              <w:t>主要污染物为COD、SS</w:t>
            </w:r>
            <w:r>
              <w:rPr>
                <w:rFonts w:hint="eastAsia" w:ascii="宋体" w:hAnsi="宋体" w:cs="宋体"/>
                <w:color w:val="auto"/>
                <w:highlight w:val="none"/>
                <w:lang w:val="en-US" w:eastAsia="zh-CN"/>
              </w:rPr>
              <w:t>、氨氮、总磷</w:t>
            </w:r>
            <w:r>
              <w:rPr>
                <w:rFonts w:hint="eastAsia" w:ascii="宋体" w:hAnsi="宋体" w:eastAsia="宋体" w:cs="宋体"/>
                <w:color w:val="auto"/>
                <w:highlight w:val="none"/>
                <w:lang w:val="en-US" w:eastAsia="zh-CN"/>
              </w:rPr>
              <w:t>和石油类，拟采用</w:t>
            </w:r>
            <w:r>
              <w:rPr>
                <w:rFonts w:hint="eastAsia" w:ascii="宋体" w:hAnsi="宋体" w:cs="宋体"/>
                <w:color w:val="auto"/>
                <w:highlight w:val="none"/>
                <w:lang w:val="en-US" w:eastAsia="zh-CN"/>
              </w:rPr>
              <w:t>PH调节+化学</w:t>
            </w:r>
            <w:r>
              <w:rPr>
                <w:rFonts w:hint="eastAsia" w:ascii="宋体" w:hAnsi="宋体" w:eastAsia="宋体" w:cs="宋体"/>
                <w:color w:val="auto"/>
                <w:highlight w:val="none"/>
                <w:lang w:val="en-US" w:eastAsia="zh-CN"/>
              </w:rPr>
              <w:t>混凝沉淀预处理后与</w:t>
            </w:r>
            <w:r>
              <w:rPr>
                <w:rFonts w:hint="eastAsia" w:ascii="宋体" w:hAnsi="宋体" w:cs="宋体"/>
                <w:color w:val="auto"/>
                <w:highlight w:val="none"/>
                <w:lang w:val="en-US" w:eastAsia="zh-CN"/>
              </w:rPr>
              <w:t>三期工程其他废水一起处理后</w:t>
            </w:r>
            <w:r>
              <w:rPr>
                <w:rFonts w:hint="eastAsia" w:ascii="宋体" w:hAnsi="宋体" w:eastAsia="宋体" w:cs="宋体"/>
                <w:color w:val="auto"/>
                <w:highlight w:val="none"/>
                <w:lang w:val="en-US" w:eastAsia="zh-CN"/>
              </w:rPr>
              <w:t>排放。</w:t>
            </w:r>
          </w:p>
          <w:p>
            <w:pPr>
              <w:pStyle w:val="72"/>
              <w:ind w:firstLine="480"/>
              <w:rPr>
                <w:rFonts w:hint="eastAsia"/>
                <w:color w:val="auto"/>
                <w:highlight w:val="none"/>
                <w:lang w:val="en-US" w:eastAsia="zh-CN"/>
              </w:rPr>
            </w:pPr>
            <w:r>
              <w:rPr>
                <w:rFonts w:hint="eastAsia" w:ascii="宋体" w:hAnsi="宋体" w:eastAsia="宋体" w:cs="宋体"/>
                <w:color w:val="auto"/>
                <w:kern w:val="0"/>
                <w:sz w:val="24"/>
                <w:szCs w:val="24"/>
                <w:highlight w:val="none"/>
                <w:lang w:val="en-US" w:eastAsia="zh-CN" w:bidi="ar"/>
              </w:rPr>
              <w:t>参考《排放源统计调查产排污核算方法和系数手册》机械行业产排污系数，含</w:t>
            </w:r>
            <w:r>
              <w:rPr>
                <w:rFonts w:hint="eastAsia" w:ascii="宋体" w:hAnsi="宋体" w:cs="宋体"/>
                <w:color w:val="auto"/>
                <w:kern w:val="0"/>
                <w:sz w:val="24"/>
                <w:szCs w:val="24"/>
                <w:highlight w:val="none"/>
                <w:lang w:val="en-US" w:eastAsia="zh-CN" w:bidi="ar"/>
              </w:rPr>
              <w:t>切削液</w:t>
            </w:r>
            <w:r>
              <w:rPr>
                <w:rFonts w:hint="eastAsia" w:ascii="宋体" w:hAnsi="宋体" w:eastAsia="宋体" w:cs="宋体"/>
                <w:color w:val="auto"/>
                <w:kern w:val="0"/>
                <w:sz w:val="24"/>
                <w:szCs w:val="24"/>
                <w:highlight w:val="none"/>
                <w:lang w:val="en-US" w:eastAsia="zh-CN" w:bidi="ar"/>
              </w:rPr>
              <w:t>的废水</w:t>
            </w:r>
            <w:r>
              <w:rPr>
                <w:rFonts w:hint="eastAsia"/>
                <w:color w:val="auto"/>
                <w:highlight w:val="none"/>
                <w:lang w:val="en-US" w:eastAsia="zh-CN"/>
              </w:rPr>
              <w:t>采用物理化学方法、化学混凝法对COD的处理效率在40%以上，对石油类去除率在50%以上，另外，本项目悬浮物主要来源于金属表面切割、除尘，悬浮物自重较重，采用沉淀法处理效率可达70%以上。磷酸盐采用化学沉淀等方法去除率约在80%—90%，本项目取80%。则处理后水质情况见表4.2.2。</w:t>
            </w:r>
          </w:p>
          <w:p>
            <w:pPr>
              <w:pStyle w:val="72"/>
              <w:ind w:firstLine="480"/>
              <w:rPr>
                <w:rFonts w:hint="eastAsia"/>
                <w:color w:val="auto"/>
                <w:highlight w:val="none"/>
                <w:lang w:val="en-US" w:eastAsia="zh-CN"/>
              </w:rPr>
            </w:pPr>
            <w:r>
              <w:rPr>
                <w:rFonts w:hint="eastAsia"/>
                <w:color w:val="auto"/>
                <w:highlight w:val="none"/>
                <w:lang w:val="en-US" w:eastAsia="zh-CN"/>
              </w:rPr>
              <w:t>其他废水主要为纯水制备系统排污水，该股废水主要污染物为COD、SS，水质较简单，依托现有污水处理站处理。参考现有污水处理站的竣工验收监测数据，对COD、SS的处理效率分别在47%和69%以上。处理后水质情况见表4.2.2。</w:t>
            </w:r>
          </w:p>
          <w:p>
            <w:pPr>
              <w:pStyle w:val="68"/>
              <w:jc w:val="center"/>
              <w:rPr>
                <w:rFonts w:hint="eastAsia"/>
                <w:color w:val="auto"/>
                <w:highlight w:val="none"/>
              </w:rPr>
            </w:pPr>
            <w:r>
              <w:rPr>
                <w:rFonts w:hint="eastAsia"/>
                <w:color w:val="auto"/>
                <w:highlight w:val="none"/>
              </w:rPr>
              <w:t>表4.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2本项目生产</w:t>
            </w:r>
            <w:r>
              <w:rPr>
                <w:rFonts w:hint="eastAsia"/>
                <w:color w:val="auto"/>
                <w:highlight w:val="none"/>
              </w:rPr>
              <w:t>废水主要污染物产排情况一览表</w:t>
            </w:r>
          </w:p>
          <w:tbl>
            <w:tblPr>
              <w:tblStyle w:val="29"/>
              <w:tblW w:w="8174"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760"/>
              <w:gridCol w:w="542"/>
              <w:gridCol w:w="682"/>
              <w:gridCol w:w="958"/>
              <w:gridCol w:w="735"/>
              <w:gridCol w:w="600"/>
              <w:gridCol w:w="773"/>
              <w:gridCol w:w="1042"/>
              <w:gridCol w:w="880"/>
              <w:gridCol w:w="5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663"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污水来源</w:t>
                  </w:r>
                </w:p>
              </w:tc>
              <w:tc>
                <w:tcPr>
                  <w:tcW w:w="760"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污染物</w:t>
                  </w:r>
                </w:p>
              </w:tc>
              <w:tc>
                <w:tcPr>
                  <w:tcW w:w="542"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lang w:val="en-US" w:eastAsia="zh-CN"/>
                    </w:rPr>
                    <w:t>水</w:t>
                  </w:r>
                  <w:r>
                    <w:rPr>
                      <w:rFonts w:hint="eastAsia"/>
                      <w:b w:val="0"/>
                      <w:color w:val="auto"/>
                      <w:highlight w:val="none"/>
                    </w:rPr>
                    <w:t>量t/a</w:t>
                  </w:r>
                </w:p>
              </w:tc>
              <w:tc>
                <w:tcPr>
                  <w:tcW w:w="1640" w:type="dxa"/>
                  <w:gridSpan w:val="2"/>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废水</w:t>
                  </w:r>
                </w:p>
              </w:tc>
              <w:tc>
                <w:tcPr>
                  <w:tcW w:w="735"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工艺</w:t>
                  </w:r>
                </w:p>
              </w:tc>
              <w:tc>
                <w:tcPr>
                  <w:tcW w:w="600"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处理效率%</w:t>
                  </w:r>
                </w:p>
              </w:tc>
              <w:tc>
                <w:tcPr>
                  <w:tcW w:w="1815" w:type="dxa"/>
                  <w:gridSpan w:val="2"/>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rPr>
                    <w:t>排放</w:t>
                  </w:r>
                  <w:r>
                    <w:rPr>
                      <w:rFonts w:hint="eastAsia"/>
                      <w:b w:val="0"/>
                      <w:color w:val="auto"/>
                      <w:highlight w:val="none"/>
                      <w:lang w:val="en-US" w:eastAsia="zh-CN"/>
                    </w:rPr>
                    <w:t>情况</w:t>
                  </w:r>
                </w:p>
              </w:tc>
              <w:tc>
                <w:tcPr>
                  <w:tcW w:w="880"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排放口编号及名称</w:t>
                  </w:r>
                </w:p>
              </w:tc>
              <w:tc>
                <w:tcPr>
                  <w:tcW w:w="539"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63"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760"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542"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1640" w:type="dxa"/>
                  <w:gridSpan w:val="2"/>
                  <w:vMerge w:val="continue"/>
                  <w:tcBorders>
                    <w:left w:val="single" w:color="000000" w:sz="4" w:space="0"/>
                    <w:bottom w:val="single" w:color="auto"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735"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600"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773" w:type="dxa"/>
                  <w:vMerge w:val="restart"/>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highlight w:val="none"/>
                    </w:rPr>
                    <w:t>浓度mg/L</w:t>
                  </w:r>
                </w:p>
              </w:tc>
              <w:tc>
                <w:tcPr>
                  <w:tcW w:w="1042" w:type="dxa"/>
                  <w:vMerge w:val="restart"/>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highlight w:val="none"/>
                    </w:rPr>
                    <w:t>排放量t/a</w:t>
                  </w:r>
                </w:p>
                <w:p>
                  <w:pPr>
                    <w:pStyle w:val="70"/>
                    <w:rPr>
                      <w:rFonts w:hint="eastAsia"/>
                      <w:b w:val="0"/>
                      <w:color w:val="auto"/>
                      <w:highlight w:val="none"/>
                    </w:rPr>
                  </w:pPr>
                </w:p>
              </w:tc>
              <w:tc>
                <w:tcPr>
                  <w:tcW w:w="880"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63"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760"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542"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682" w:type="dxa"/>
                  <w:tcBorders>
                    <w:top w:val="single" w:color="auto"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highlight w:val="none"/>
                    </w:rPr>
                    <w:t>浓度mg/L</w:t>
                  </w:r>
                </w:p>
              </w:tc>
              <w:tc>
                <w:tcPr>
                  <w:tcW w:w="958" w:type="dxa"/>
                  <w:tcBorders>
                    <w:top w:val="single" w:color="auto"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highlight w:val="none"/>
                    </w:rPr>
                    <w:t>产生量t/a</w:t>
                  </w:r>
                </w:p>
              </w:tc>
              <w:tc>
                <w:tcPr>
                  <w:tcW w:w="735"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600"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773"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1042"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880"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63"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highlight w:val="none"/>
                      <w:lang w:val="en-US" w:eastAsia="zh-CN"/>
                    </w:rPr>
                    <w:t>纯水制备浓水</w:t>
                  </w: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COD</w:t>
                  </w:r>
                </w:p>
              </w:tc>
              <w:tc>
                <w:tcPr>
                  <w:tcW w:w="542"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525</w:t>
                  </w: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80</w:t>
                  </w: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0.042</w:t>
                  </w:r>
                </w:p>
              </w:tc>
              <w:tc>
                <w:tcPr>
                  <w:tcW w:w="735"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混凝沉淀/缺氧/好氧</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47</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42.4</w:t>
                  </w: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0.022 </w:t>
                  </w:r>
                </w:p>
              </w:tc>
              <w:tc>
                <w:tcPr>
                  <w:tcW w:w="880"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DW001生产废水排污口1</w:t>
                  </w:r>
                </w:p>
              </w:tc>
              <w:tc>
                <w:tcPr>
                  <w:tcW w:w="539"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63"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SS</w:t>
                  </w:r>
                </w:p>
              </w:tc>
              <w:tc>
                <w:tcPr>
                  <w:tcW w:w="542"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0.0079 </w:t>
                  </w:r>
                </w:p>
              </w:tc>
              <w:tc>
                <w:tcPr>
                  <w:tcW w:w="735"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69</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4.65</w:t>
                  </w: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0.0024 </w:t>
                  </w:r>
                </w:p>
              </w:tc>
              <w:tc>
                <w:tcPr>
                  <w:tcW w:w="880"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63"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rPr>
                  </w:pPr>
                  <w:r>
                    <w:rPr>
                      <w:rFonts w:hint="eastAsia"/>
                      <w:b w:val="0"/>
                      <w:color w:val="auto"/>
                      <w:highlight w:val="none"/>
                      <w:lang w:val="en-US" w:eastAsia="zh-CN"/>
                    </w:rPr>
                    <w:t>其他生产废水</w:t>
                  </w: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COD</w:t>
                  </w:r>
                </w:p>
              </w:tc>
              <w:tc>
                <w:tcPr>
                  <w:tcW w:w="542"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3510</w:t>
                  </w: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eastAsia="宋体"/>
                      <w:b w:val="0"/>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326 </w:t>
                  </w: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eastAsia="宋体"/>
                      <w:b w:val="0"/>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1.144 </w:t>
                  </w:r>
                </w:p>
              </w:tc>
              <w:tc>
                <w:tcPr>
                  <w:tcW w:w="735"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PH调节/</w:t>
                  </w:r>
                  <w:r>
                    <w:rPr>
                      <w:rFonts w:hint="eastAsia"/>
                      <w:b w:val="0"/>
                      <w:color w:val="auto"/>
                      <w:highlight w:val="none"/>
                    </w:rPr>
                    <w:t>混凝</w:t>
                  </w:r>
                  <w:r>
                    <w:rPr>
                      <w:rFonts w:hint="eastAsia"/>
                      <w:b w:val="0"/>
                      <w:color w:val="auto"/>
                      <w:highlight w:val="none"/>
                      <w:lang w:val="en-US" w:eastAsia="zh-CN"/>
                    </w:rPr>
                    <w:t>/</w:t>
                  </w:r>
                  <w:r>
                    <w:rPr>
                      <w:rFonts w:hint="eastAsia"/>
                      <w:b w:val="0"/>
                      <w:color w:val="auto"/>
                      <w:highlight w:val="none"/>
                    </w:rPr>
                    <w:t>沉淀</w:t>
                  </w: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lang w:val="en-US" w:eastAsia="zh-CN"/>
                    </w:rPr>
                    <w:t>40</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eastAsia="宋体"/>
                      <w:b w:val="0"/>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195.6</w:t>
                  </w: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b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0.687 </w:t>
                  </w:r>
                </w:p>
              </w:tc>
              <w:tc>
                <w:tcPr>
                  <w:tcW w:w="880"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highlight w:val="none"/>
                      <w:lang w:val="en-US" w:eastAsia="zh-CN"/>
                    </w:rPr>
                  </w:pPr>
                  <w:r>
                    <w:rPr>
                      <w:rFonts w:hint="eastAsia"/>
                      <w:b w:val="0"/>
                      <w:color w:val="auto"/>
                      <w:highlight w:val="none"/>
                    </w:rPr>
                    <w:t>DW00</w:t>
                  </w:r>
                  <w:r>
                    <w:rPr>
                      <w:rFonts w:hint="eastAsia"/>
                      <w:b w:val="0"/>
                      <w:color w:val="auto"/>
                      <w:highlight w:val="none"/>
                      <w:lang w:val="en-US" w:eastAsia="zh-CN"/>
                    </w:rPr>
                    <w:t>2生产废水</w:t>
                  </w:r>
                  <w:r>
                    <w:rPr>
                      <w:rFonts w:hint="eastAsia"/>
                      <w:b w:val="0"/>
                      <w:color w:val="auto"/>
                      <w:highlight w:val="none"/>
                    </w:rPr>
                    <w:t>排放口</w:t>
                  </w:r>
                  <w:r>
                    <w:rPr>
                      <w:rFonts w:hint="eastAsia"/>
                      <w:b w:val="0"/>
                      <w:color w:val="auto"/>
                      <w:highlight w:val="none"/>
                      <w:lang w:val="en-US" w:eastAsia="zh-CN"/>
                    </w:rPr>
                    <w:t>2</w:t>
                  </w:r>
                </w:p>
              </w:tc>
              <w:tc>
                <w:tcPr>
                  <w:tcW w:w="539" w:type="dxa"/>
                  <w:vMerge w:val="continue"/>
                  <w:tcBorders>
                    <w:left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6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SS</w:t>
                  </w:r>
                </w:p>
              </w:tc>
              <w:tc>
                <w:tcPr>
                  <w:tcW w:w="542"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eastAsia="宋体"/>
                      <w:b w:val="0"/>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860 </w:t>
                  </w: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eastAsia="宋体"/>
                      <w:b w:val="0"/>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3.018</w:t>
                  </w:r>
                </w:p>
              </w:tc>
              <w:tc>
                <w:tcPr>
                  <w:tcW w:w="7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lang w:val="en-US" w:eastAsia="zh-CN"/>
                    </w:rPr>
                    <w:t>7</w:t>
                  </w:r>
                  <w:r>
                    <w:rPr>
                      <w:rFonts w:hint="eastAsia"/>
                      <w:b w:val="0"/>
                      <w:color w:val="auto"/>
                      <w:highlight w:val="none"/>
                    </w:rPr>
                    <w:t>0</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eastAsia="宋体"/>
                      <w:b w:val="0"/>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258</w:t>
                  </w: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b w:val="0"/>
                      <w:color w:val="auto"/>
                      <w:highlight w:val="none"/>
                      <w:lang w:val="en-US"/>
                    </w:rPr>
                  </w:pPr>
                  <w:r>
                    <w:rPr>
                      <w:rFonts w:hint="eastAsia" w:ascii="宋体" w:hAnsi="宋体" w:eastAsia="宋体" w:cs="宋体"/>
                      <w:i w:val="0"/>
                      <w:iCs w:val="0"/>
                      <w:color w:val="auto"/>
                      <w:kern w:val="0"/>
                      <w:sz w:val="21"/>
                      <w:szCs w:val="21"/>
                      <w:highlight w:val="none"/>
                      <w:u w:val="none"/>
                      <w:lang w:val="en-US" w:eastAsia="zh-CN" w:bidi="ar"/>
                    </w:rPr>
                    <w:t xml:space="preserve">0.905 </w:t>
                  </w:r>
                </w:p>
              </w:tc>
              <w:tc>
                <w:tcPr>
                  <w:tcW w:w="880"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6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石油类</w:t>
                  </w:r>
                </w:p>
              </w:tc>
              <w:tc>
                <w:tcPr>
                  <w:tcW w:w="542"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21 </w:t>
                  </w: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0.073 </w:t>
                  </w:r>
                </w:p>
              </w:tc>
              <w:tc>
                <w:tcPr>
                  <w:tcW w:w="7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50</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10.5</w:t>
                  </w: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b w:val="0"/>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0.036 </w:t>
                  </w:r>
                </w:p>
              </w:tc>
              <w:tc>
                <w:tcPr>
                  <w:tcW w:w="880"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6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氨氮</w:t>
                  </w:r>
                </w:p>
              </w:tc>
              <w:tc>
                <w:tcPr>
                  <w:tcW w:w="542"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38 </w:t>
                  </w: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0.135</w:t>
                  </w:r>
                </w:p>
              </w:tc>
              <w:tc>
                <w:tcPr>
                  <w:tcW w:w="7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w:t>
                  </w: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0.135</w:t>
                  </w:r>
                </w:p>
              </w:tc>
              <w:tc>
                <w:tcPr>
                  <w:tcW w:w="880"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6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总磷</w:t>
                  </w:r>
                </w:p>
              </w:tc>
              <w:tc>
                <w:tcPr>
                  <w:tcW w:w="542"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19 </w:t>
                  </w: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0.068 </w:t>
                  </w:r>
                </w:p>
              </w:tc>
              <w:tc>
                <w:tcPr>
                  <w:tcW w:w="7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80</w:t>
                  </w: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w:t>
                  </w: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0.014 </w:t>
                  </w:r>
                </w:p>
              </w:tc>
              <w:tc>
                <w:tcPr>
                  <w:tcW w:w="880"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63"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合计</w:t>
                  </w: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COD</w:t>
                  </w:r>
                </w:p>
              </w:tc>
              <w:tc>
                <w:tcPr>
                  <w:tcW w:w="542"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4035</w:t>
                  </w: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1.186 </w:t>
                  </w:r>
                </w:p>
              </w:tc>
              <w:tc>
                <w:tcPr>
                  <w:tcW w:w="7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0.709 </w:t>
                  </w:r>
                </w:p>
              </w:tc>
              <w:tc>
                <w:tcPr>
                  <w:tcW w:w="88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63" w:type="dxa"/>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SS</w:t>
                  </w:r>
                </w:p>
              </w:tc>
              <w:tc>
                <w:tcPr>
                  <w:tcW w:w="542" w:type="dxa"/>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3.0259 </w:t>
                  </w:r>
                </w:p>
              </w:tc>
              <w:tc>
                <w:tcPr>
                  <w:tcW w:w="7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0.9078 </w:t>
                  </w:r>
                </w:p>
              </w:tc>
              <w:tc>
                <w:tcPr>
                  <w:tcW w:w="88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63" w:type="dxa"/>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石油类</w:t>
                  </w:r>
                </w:p>
              </w:tc>
              <w:tc>
                <w:tcPr>
                  <w:tcW w:w="542" w:type="dxa"/>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0.073 </w:t>
                  </w:r>
                </w:p>
              </w:tc>
              <w:tc>
                <w:tcPr>
                  <w:tcW w:w="7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0.036 </w:t>
                  </w:r>
                </w:p>
              </w:tc>
              <w:tc>
                <w:tcPr>
                  <w:tcW w:w="88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63" w:type="dxa"/>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氨氮</w:t>
                  </w:r>
                </w:p>
              </w:tc>
              <w:tc>
                <w:tcPr>
                  <w:tcW w:w="542" w:type="dxa"/>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0.135</w:t>
                  </w:r>
                </w:p>
              </w:tc>
              <w:tc>
                <w:tcPr>
                  <w:tcW w:w="7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0.135</w:t>
                  </w:r>
                </w:p>
              </w:tc>
              <w:tc>
                <w:tcPr>
                  <w:tcW w:w="88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63"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总磷</w:t>
                  </w:r>
                </w:p>
              </w:tc>
              <w:tc>
                <w:tcPr>
                  <w:tcW w:w="542"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8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p>
              </w:tc>
              <w:tc>
                <w:tcPr>
                  <w:tcW w:w="9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0.0675</w:t>
                  </w:r>
                </w:p>
              </w:tc>
              <w:tc>
                <w:tcPr>
                  <w:tcW w:w="7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6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7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p>
              </w:tc>
              <w:tc>
                <w:tcPr>
                  <w:tcW w:w="104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0.0135</w:t>
                  </w:r>
                </w:p>
              </w:tc>
              <w:tc>
                <w:tcPr>
                  <w:tcW w:w="88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c>
                <w:tcPr>
                  <w:tcW w:w="539" w:type="dxa"/>
                  <w:tcBorders>
                    <w:left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p>
              </w:tc>
            </w:tr>
          </w:tbl>
          <w:p>
            <w:pPr>
              <w:pStyle w:val="72"/>
              <w:bidi w:val="0"/>
              <w:rPr>
                <w:color w:val="auto"/>
                <w:highlight w:val="none"/>
              </w:rPr>
            </w:pPr>
            <w:r>
              <w:rPr>
                <w:rFonts w:hint="eastAsia" w:ascii="宋体" w:hAnsi="宋体" w:eastAsia="宋体" w:cs="宋体"/>
                <w:color w:val="auto"/>
                <w:highlight w:val="none"/>
              </w:rPr>
              <w:t>⑥</w:t>
            </w:r>
            <w:r>
              <w:rPr>
                <w:rFonts w:hint="eastAsia"/>
                <w:color w:val="auto"/>
                <w:highlight w:val="none"/>
              </w:rPr>
              <w:t>生活污水</w:t>
            </w:r>
          </w:p>
          <w:p>
            <w:pPr>
              <w:pStyle w:val="72"/>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活污水排放量为9.5t/d（2850t/a）。本项目生活污水经化粪池处理达到《污水综合排放标准》（GB8978-1996）表4三级排放标准和《污水排入城镇下水道水质标准》（GB/T31962-2015）表1中的B级标准后排入长乐滨海工业区污水处理厂处理达标排放。具体分析见表4.</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.3。</w:t>
            </w:r>
          </w:p>
          <w:p>
            <w:pPr>
              <w:pStyle w:val="68"/>
              <w:bidi w:val="0"/>
              <w:rPr>
                <w:rFonts w:hint="eastAsia"/>
                <w:color w:val="auto"/>
                <w:highlight w:val="none"/>
              </w:rPr>
            </w:pPr>
            <w:r>
              <w:rPr>
                <w:rFonts w:hint="eastAsia"/>
                <w:color w:val="auto"/>
                <w:highlight w:val="none"/>
              </w:rPr>
              <w:t>表4.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3</w:t>
            </w:r>
            <w:r>
              <w:rPr>
                <w:rFonts w:hint="eastAsia"/>
                <w:color w:val="auto"/>
                <w:highlight w:val="none"/>
              </w:rPr>
              <w:t>本项目</w:t>
            </w:r>
            <w:r>
              <w:rPr>
                <w:rFonts w:hint="eastAsia"/>
                <w:color w:val="auto"/>
                <w:highlight w:val="none"/>
                <w:lang w:val="en-US" w:eastAsia="zh-CN"/>
              </w:rPr>
              <w:t>生活污</w:t>
            </w:r>
            <w:r>
              <w:rPr>
                <w:rFonts w:hint="eastAsia"/>
                <w:color w:val="auto"/>
                <w:highlight w:val="none"/>
              </w:rPr>
              <w:t>水主要污染物产</w:t>
            </w:r>
            <w:r>
              <w:rPr>
                <w:rFonts w:hint="eastAsia"/>
                <w:color w:val="auto"/>
                <w:highlight w:val="none"/>
                <w:lang w:val="en-US" w:eastAsia="zh-CN"/>
              </w:rPr>
              <w:t>排</w:t>
            </w:r>
            <w:r>
              <w:rPr>
                <w:rFonts w:hint="eastAsia"/>
                <w:color w:val="auto"/>
                <w:highlight w:val="none"/>
              </w:rPr>
              <w:t>情况一览表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62"/>
              <w:gridCol w:w="1163"/>
              <w:gridCol w:w="1163"/>
              <w:gridCol w:w="1163"/>
              <w:gridCol w:w="1163"/>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pPr>
                    <w:pStyle w:val="70"/>
                    <w:rPr>
                      <w:color w:val="auto"/>
                      <w:highlight w:val="none"/>
                    </w:rPr>
                  </w:pPr>
                  <w:r>
                    <w:rPr>
                      <w:rFonts w:hint="eastAsia"/>
                      <w:color w:val="auto"/>
                      <w:highlight w:val="none"/>
                    </w:rPr>
                    <w:t>污染物</w:t>
                  </w:r>
                </w:p>
              </w:tc>
              <w:tc>
                <w:tcPr>
                  <w:tcW w:w="1162" w:type="dxa"/>
                  <w:vAlign w:val="center"/>
                </w:tcPr>
                <w:p>
                  <w:pPr>
                    <w:pStyle w:val="70"/>
                    <w:rPr>
                      <w:rFonts w:hint="eastAsia"/>
                      <w:color w:val="auto"/>
                      <w:highlight w:val="none"/>
                      <w:lang w:val="en-US" w:eastAsia="zh-CN"/>
                    </w:rPr>
                  </w:pPr>
                  <w:r>
                    <w:rPr>
                      <w:rFonts w:hint="eastAsia"/>
                      <w:color w:val="auto"/>
                      <w:highlight w:val="none"/>
                    </w:rPr>
                    <w:t>废水量（t/a）</w:t>
                  </w:r>
                </w:p>
              </w:tc>
              <w:tc>
                <w:tcPr>
                  <w:tcW w:w="1163" w:type="dxa"/>
                  <w:vAlign w:val="center"/>
                </w:tcPr>
                <w:p>
                  <w:pPr>
                    <w:pStyle w:val="70"/>
                    <w:rPr>
                      <w:color w:val="auto"/>
                      <w:highlight w:val="none"/>
                    </w:rPr>
                  </w:pPr>
                  <w:r>
                    <w:rPr>
                      <w:rFonts w:hint="eastAsia"/>
                      <w:color w:val="auto"/>
                      <w:highlight w:val="none"/>
                    </w:rPr>
                    <w:t>产生浓度（mg/L）</w:t>
                  </w:r>
                </w:p>
              </w:tc>
              <w:tc>
                <w:tcPr>
                  <w:tcW w:w="1163" w:type="dxa"/>
                  <w:vAlign w:val="center"/>
                </w:tcPr>
                <w:p>
                  <w:pPr>
                    <w:pStyle w:val="70"/>
                    <w:rPr>
                      <w:rFonts w:hint="eastAsia"/>
                      <w:color w:val="auto"/>
                      <w:highlight w:val="none"/>
                    </w:rPr>
                  </w:pPr>
                  <w:r>
                    <w:rPr>
                      <w:rFonts w:hint="eastAsia"/>
                      <w:color w:val="auto"/>
                      <w:highlight w:val="none"/>
                    </w:rPr>
                    <w:t>污染物产生量（t/a）</w:t>
                  </w:r>
                </w:p>
              </w:tc>
              <w:tc>
                <w:tcPr>
                  <w:tcW w:w="1163" w:type="dxa"/>
                  <w:vAlign w:val="center"/>
                </w:tcPr>
                <w:p>
                  <w:pPr>
                    <w:pStyle w:val="70"/>
                    <w:rPr>
                      <w:rFonts w:hint="eastAsia"/>
                      <w:color w:val="auto"/>
                      <w:highlight w:val="none"/>
                    </w:rPr>
                  </w:pPr>
                  <w:r>
                    <w:rPr>
                      <w:rFonts w:hint="eastAsia"/>
                      <w:color w:val="auto"/>
                      <w:highlight w:val="none"/>
                    </w:rPr>
                    <w:t>排放浓度（mg/L）</w:t>
                  </w:r>
                </w:p>
              </w:tc>
              <w:tc>
                <w:tcPr>
                  <w:tcW w:w="1163" w:type="dxa"/>
                  <w:vAlign w:val="center"/>
                </w:tcPr>
                <w:p>
                  <w:pPr>
                    <w:pStyle w:val="70"/>
                    <w:rPr>
                      <w:rFonts w:hint="eastAsia"/>
                      <w:color w:val="auto"/>
                      <w:highlight w:val="none"/>
                    </w:rPr>
                  </w:pPr>
                  <w:r>
                    <w:rPr>
                      <w:rFonts w:hint="eastAsia"/>
                      <w:color w:val="auto"/>
                      <w:highlight w:val="none"/>
                    </w:rPr>
                    <w:t>排放量（t/a）</w:t>
                  </w:r>
                </w:p>
              </w:tc>
              <w:tc>
                <w:tcPr>
                  <w:tcW w:w="1163" w:type="dxa"/>
                  <w:vAlign w:val="center"/>
                </w:tcPr>
                <w:p>
                  <w:pPr>
                    <w:pStyle w:val="70"/>
                    <w:rPr>
                      <w:rFonts w:hint="eastAsia"/>
                      <w:color w:val="auto"/>
                      <w:highlight w:val="none"/>
                    </w:rPr>
                  </w:pPr>
                  <w:r>
                    <w:rPr>
                      <w:rFonts w:hint="eastAsia"/>
                      <w:color w:val="auto"/>
                      <w:highlight w:val="none"/>
                      <w:lang w:val="en-US" w:eastAsia="zh-CN"/>
                    </w:rPr>
                    <w:t>排放口编号及名称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pPr>
                    <w:pStyle w:val="70"/>
                    <w:rPr>
                      <w:rFonts w:hint="eastAsia"/>
                      <w:color w:val="auto"/>
                      <w:highlight w:val="none"/>
                    </w:rPr>
                  </w:pPr>
                  <w:r>
                    <w:rPr>
                      <w:color w:val="auto"/>
                      <w:highlight w:val="none"/>
                    </w:rPr>
                    <w:t>COD</w:t>
                  </w:r>
                </w:p>
              </w:tc>
              <w:tc>
                <w:tcPr>
                  <w:tcW w:w="1162" w:type="dxa"/>
                  <w:vMerge w:val="restart"/>
                  <w:vAlign w:val="center"/>
                </w:tcPr>
                <w:p>
                  <w:pPr>
                    <w:pStyle w:val="70"/>
                    <w:rPr>
                      <w:rFonts w:hint="default"/>
                      <w:color w:val="auto"/>
                      <w:highlight w:val="none"/>
                      <w:lang w:val="en-US"/>
                    </w:rPr>
                  </w:pPr>
                  <w:r>
                    <w:rPr>
                      <w:rFonts w:hint="eastAsia"/>
                      <w:color w:val="auto"/>
                      <w:highlight w:val="none"/>
                      <w:lang w:val="en-US" w:eastAsia="zh-CN"/>
                    </w:rPr>
                    <w:t>2850</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1.425</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450</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1.2825</w:t>
                  </w:r>
                </w:p>
              </w:tc>
              <w:tc>
                <w:tcPr>
                  <w:tcW w:w="1163" w:type="dxa"/>
                  <w:vMerge w:val="restart"/>
                  <w:shd w:val="clear" w:color="auto" w:fill="auto"/>
                  <w:vAlign w:val="center"/>
                </w:tcPr>
                <w:p>
                  <w:pPr>
                    <w:pStyle w:val="70"/>
                    <w:bidi w:val="0"/>
                    <w:rPr>
                      <w:rFonts w:hint="eastAsia"/>
                      <w:color w:val="auto"/>
                      <w:highlight w:val="none"/>
                    </w:rPr>
                  </w:pPr>
                  <w:r>
                    <w:rPr>
                      <w:rFonts w:hint="eastAsia"/>
                      <w:color w:val="auto"/>
                      <w:highlight w:val="none"/>
                    </w:rPr>
                    <w:t>DW00</w:t>
                  </w:r>
                  <w:r>
                    <w:rPr>
                      <w:rFonts w:hint="eastAsia"/>
                      <w:color w:val="auto"/>
                      <w:highlight w:val="none"/>
                      <w:lang w:val="en-US" w:eastAsia="zh-CN"/>
                    </w:rPr>
                    <w:t>2生活污水排放口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2" w:type="dxa"/>
                  <w:vAlign w:val="center"/>
                </w:tcPr>
                <w:p>
                  <w:pPr>
                    <w:pStyle w:val="70"/>
                    <w:rPr>
                      <w:rFonts w:hint="eastAsia"/>
                      <w:color w:val="auto"/>
                      <w:highlight w:val="none"/>
                    </w:rPr>
                  </w:pPr>
                  <w:r>
                    <w:rPr>
                      <w:rFonts w:hint="eastAsia"/>
                      <w:color w:val="auto"/>
                      <w:highlight w:val="none"/>
                    </w:rPr>
                    <w:t>BOD</w:t>
                  </w:r>
                  <w:r>
                    <w:rPr>
                      <w:color w:val="auto"/>
                      <w:highlight w:val="none"/>
                      <w:vertAlign w:val="subscript"/>
                    </w:rPr>
                    <w:t>5</w:t>
                  </w:r>
                </w:p>
              </w:tc>
              <w:tc>
                <w:tcPr>
                  <w:tcW w:w="1162" w:type="dxa"/>
                  <w:vMerge w:val="continue"/>
                  <w:vAlign w:val="center"/>
                </w:tcPr>
                <w:p>
                  <w:pPr>
                    <w:pStyle w:val="70"/>
                    <w:rPr>
                      <w:rFonts w:hint="eastAsia"/>
                      <w:color w:val="auto"/>
                      <w:highlight w:val="none"/>
                    </w:rPr>
                  </w:pP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0.7125</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0.57</w:t>
                  </w:r>
                </w:p>
              </w:tc>
              <w:tc>
                <w:tcPr>
                  <w:tcW w:w="1163" w:type="dxa"/>
                  <w:vMerge w:val="continue"/>
                  <w:shd w:val="clear" w:color="auto" w:fill="auto"/>
                  <w:vAlign w:val="center"/>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2" w:type="dxa"/>
                  <w:vAlign w:val="center"/>
                </w:tcPr>
                <w:p>
                  <w:pPr>
                    <w:pStyle w:val="70"/>
                    <w:rPr>
                      <w:rFonts w:hint="eastAsia"/>
                      <w:color w:val="auto"/>
                      <w:highlight w:val="none"/>
                    </w:rPr>
                  </w:pPr>
                  <w:r>
                    <w:rPr>
                      <w:color w:val="auto"/>
                      <w:highlight w:val="none"/>
                    </w:rPr>
                    <w:t>SS</w:t>
                  </w:r>
                </w:p>
              </w:tc>
              <w:tc>
                <w:tcPr>
                  <w:tcW w:w="1162" w:type="dxa"/>
                  <w:vMerge w:val="continue"/>
                  <w:vAlign w:val="center"/>
                </w:tcPr>
                <w:p>
                  <w:pPr>
                    <w:pStyle w:val="70"/>
                    <w:rPr>
                      <w:rFonts w:hint="eastAsia"/>
                      <w:color w:val="auto"/>
                      <w:highlight w:val="none"/>
                    </w:rPr>
                  </w:pP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0.57</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0.3705</w:t>
                  </w:r>
                </w:p>
              </w:tc>
              <w:tc>
                <w:tcPr>
                  <w:tcW w:w="1163" w:type="dxa"/>
                  <w:vMerge w:val="continue"/>
                  <w:shd w:val="clear" w:color="auto" w:fill="auto"/>
                  <w:vAlign w:val="center"/>
                </w:tcPr>
                <w:p>
                  <w:pP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vAlign w:val="center"/>
                </w:tcPr>
                <w:p>
                  <w:pPr>
                    <w:pStyle w:val="70"/>
                    <w:rPr>
                      <w:rFonts w:hint="eastAsia"/>
                      <w:color w:val="auto"/>
                      <w:highlight w:val="none"/>
                    </w:rPr>
                  </w:pPr>
                  <w:r>
                    <w:rPr>
                      <w:color w:val="auto"/>
                      <w:highlight w:val="none"/>
                    </w:rPr>
                    <w:t>NH</w:t>
                  </w:r>
                  <w:r>
                    <w:rPr>
                      <w:color w:val="auto"/>
                      <w:highlight w:val="none"/>
                      <w:vertAlign w:val="subscript"/>
                    </w:rPr>
                    <w:t>3</w:t>
                  </w:r>
                  <w:r>
                    <w:rPr>
                      <w:color w:val="auto"/>
                      <w:highlight w:val="none"/>
                    </w:rPr>
                    <w:t>-N</w:t>
                  </w:r>
                </w:p>
              </w:tc>
              <w:tc>
                <w:tcPr>
                  <w:tcW w:w="1162" w:type="dxa"/>
                  <w:vMerge w:val="continue"/>
                  <w:vAlign w:val="center"/>
                </w:tcPr>
                <w:p>
                  <w:pPr>
                    <w:pStyle w:val="70"/>
                    <w:rPr>
                      <w:rFonts w:hint="eastAsia"/>
                      <w:color w:val="auto"/>
                      <w:highlight w:val="none"/>
                    </w:rPr>
                  </w:pP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0.09975</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1163" w:type="dxa"/>
                  <w:vAlign w:val="center"/>
                </w:tcPr>
                <w:p>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0.09975</w:t>
                  </w:r>
                </w:p>
              </w:tc>
              <w:tc>
                <w:tcPr>
                  <w:tcW w:w="1163" w:type="dxa"/>
                  <w:vMerge w:val="continue"/>
                  <w:shd w:val="clear" w:color="auto" w:fill="auto"/>
                  <w:vAlign w:val="center"/>
                </w:tcPr>
                <w:p>
                  <w:pPr>
                    <w:rPr>
                      <w:rFonts w:hint="eastAsia" w:ascii="Calibri" w:hAnsi="Calibri" w:eastAsia="宋体" w:cs="Times New Roman"/>
                      <w:color w:val="auto"/>
                      <w:kern w:val="2"/>
                      <w:sz w:val="21"/>
                      <w:szCs w:val="22"/>
                      <w:highlight w:val="none"/>
                      <w:lang w:val="en-US" w:eastAsia="zh-CN" w:bidi="ar-SA"/>
                    </w:rPr>
                  </w:pPr>
                </w:p>
              </w:tc>
            </w:tr>
          </w:tbl>
          <w:p>
            <w:pPr>
              <w:pStyle w:val="72"/>
              <w:ind w:firstLine="480"/>
              <w:rPr>
                <w:rFonts w:hint="eastAsia" w:ascii="Times New Roman" w:hAnsi="Times New Roman" w:eastAsia="宋体" w:cs="Times New Roman"/>
                <w:color w:val="auto"/>
                <w:highlight w:val="none"/>
                <w:lang w:val="en-US" w:eastAsia="zh-CN"/>
              </w:rPr>
            </w:pPr>
          </w:p>
          <w:p>
            <w:pPr>
              <w:pStyle w:val="72"/>
              <w:numPr>
                <w:ilvl w:val="0"/>
                <w:numId w:val="9"/>
              </w:numPr>
              <w:bidi w:val="0"/>
              <w:ind w:left="0" w:leftChars="0" w:firstLine="480" w:firstLineChars="20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全厂水污染物排放“</w:t>
            </w:r>
            <w:r>
              <w:rPr>
                <w:rFonts w:hint="eastAsia" w:ascii="宋体" w:hAnsi="宋体" w:cs="宋体"/>
                <w:color w:val="auto"/>
                <w:highlight w:val="none"/>
                <w:lang w:val="en-US" w:eastAsia="zh-CN"/>
              </w:rPr>
              <w:t>三本账</w:t>
            </w:r>
            <w:r>
              <w:rPr>
                <w:rFonts w:hint="eastAsia" w:ascii="宋体" w:hAnsi="宋体" w:eastAsia="宋体" w:cs="宋体"/>
                <w:color w:val="auto"/>
                <w:highlight w:val="none"/>
                <w:lang w:val="en-US" w:eastAsia="zh-CN"/>
              </w:rPr>
              <w:t>”</w:t>
            </w:r>
          </w:p>
          <w:p>
            <w:pPr>
              <w:pStyle w:val="72"/>
              <w:numPr>
                <w:ilvl w:val="0"/>
                <w:numId w:val="0"/>
              </w:numPr>
              <w:bidi w:val="0"/>
              <w:ind w:firstLine="480" w:firstLineChars="20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本次改扩建工程实</w:t>
            </w:r>
            <w:r>
              <w:rPr>
                <w:rFonts w:hint="eastAsia" w:ascii="宋体" w:hAnsi="宋体" w:cs="宋体"/>
                <w:color w:val="auto"/>
                <w:highlight w:val="none"/>
                <w:lang w:val="en-US" w:eastAsia="zh-CN"/>
              </w:rPr>
              <w:t>施</w:t>
            </w:r>
            <w:r>
              <w:rPr>
                <w:rFonts w:hint="eastAsia" w:ascii="宋体" w:hAnsi="宋体" w:eastAsia="宋体" w:cs="宋体"/>
                <w:color w:val="auto"/>
                <w:highlight w:val="none"/>
                <w:lang w:val="en-US" w:eastAsia="zh-CN"/>
              </w:rPr>
              <w:t>后全厂用排水情况见图4.1-1。其中，现有工程已投产项目用排水情况按照实际用排水情况，已批在建项目用排水情况参考环评数据。</w:t>
            </w:r>
          </w:p>
          <w:p>
            <w:pPr>
              <w:pStyle w:val="72"/>
              <w:ind w:firstLine="480"/>
              <w:rPr>
                <w:color w:val="auto"/>
                <w:highlight w:val="none"/>
              </w:rPr>
            </w:pPr>
          </w:p>
        </w:tc>
      </w:tr>
    </w:tbl>
    <w:p>
      <w:pPr>
        <w:pStyle w:val="25"/>
        <w:adjustRightInd w:val="0"/>
        <w:snapToGrid w:val="0"/>
        <w:spacing w:before="0" w:beforeAutospacing="0" w:after="0" w:afterAutospacing="0"/>
        <w:jc w:val="center"/>
        <w:rPr>
          <w:rFonts w:cs="宋体"/>
          <w:bCs/>
          <w:color w:val="auto"/>
          <w:szCs w:val="21"/>
          <w:highlight w:val="none"/>
        </w:rPr>
        <w:sectPr>
          <w:footerReference r:id="rId5" w:type="default"/>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3"/>
        <w:gridCol w:w="86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4" w:hRule="atLeast"/>
          <w:jc w:val="center"/>
        </w:trPr>
        <w:tc>
          <w:tcPr>
            <w:tcW w:w="612" w:type="dxa"/>
            <w:tcMar>
              <w:left w:w="28" w:type="dxa"/>
              <w:right w:w="28" w:type="dxa"/>
            </w:tcMar>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pPr>
              <w:pStyle w:val="25"/>
              <w:adjustRightInd w:val="0"/>
              <w:snapToGrid w:val="0"/>
              <w:spacing w:before="0" w:beforeAutospacing="0" w:after="0" w:afterAutospacing="0"/>
              <w:jc w:val="center"/>
              <w:rPr>
                <w:rFonts w:cs="宋体"/>
                <w:color w:val="auto"/>
                <w:kern w:val="2"/>
                <w:sz w:val="21"/>
                <w:szCs w:val="21"/>
                <w:highlight w:val="none"/>
              </w:rPr>
            </w:pPr>
            <w:r>
              <w:rPr>
                <w:rFonts w:hint="eastAsia" w:cs="宋体"/>
                <w:bCs/>
                <w:color w:val="auto"/>
                <w:szCs w:val="21"/>
                <w:highlight w:val="none"/>
              </w:rPr>
              <w:t>措施</w:t>
            </w:r>
          </w:p>
        </w:tc>
        <w:tc>
          <w:tcPr>
            <w:tcW w:w="8369" w:type="dxa"/>
          </w:tcPr>
          <w:p>
            <w:pPr>
              <w:pStyle w:val="72"/>
              <w:numPr>
                <w:ilvl w:val="0"/>
                <w:numId w:val="0"/>
              </w:numPr>
              <w:bidi w:val="0"/>
              <w:jc w:val="center"/>
              <w:rPr>
                <w:rFonts w:hint="eastAsia" w:ascii="宋体" w:hAnsi="宋体" w:eastAsia="宋体" w:cs="宋体"/>
                <w:b/>
                <w:bCs/>
                <w:color w:val="auto"/>
                <w:highlight w:val="none"/>
                <w:lang w:val="en-US" w:eastAsia="zh-CN"/>
              </w:rPr>
            </w:pPr>
            <w:r>
              <w:rPr>
                <w:color w:val="auto"/>
                <w:highlight w:val="none"/>
              </w:rPr>
              <w:drawing>
                <wp:inline distT="0" distB="0" distL="114300" distR="114300">
                  <wp:extent cx="5442585" cy="4537075"/>
                  <wp:effectExtent l="0" t="0" r="5715" b="15875"/>
                  <wp:docPr id="1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
                          <pic:cNvPicPr>
                            <a:picLocks noChangeAspect="1"/>
                          </pic:cNvPicPr>
                        </pic:nvPicPr>
                        <pic:blipFill>
                          <a:blip r:embed="rId28"/>
                          <a:stretch>
                            <a:fillRect/>
                          </a:stretch>
                        </pic:blipFill>
                        <pic:spPr>
                          <a:xfrm>
                            <a:off x="0" y="0"/>
                            <a:ext cx="5442585" cy="4537075"/>
                          </a:xfrm>
                          <a:prstGeom prst="rect">
                            <a:avLst/>
                          </a:prstGeom>
                          <a:noFill/>
                          <a:ln>
                            <a:noFill/>
                          </a:ln>
                        </pic:spPr>
                      </pic:pic>
                    </a:graphicData>
                  </a:graphic>
                </wp:inline>
              </w:drawing>
            </w:r>
            <w:r>
              <w:rPr>
                <w:rFonts w:hint="eastAsia" w:ascii="宋体" w:hAnsi="宋体" w:eastAsia="宋体" w:cs="宋体"/>
                <w:b/>
                <w:bCs/>
                <w:color w:val="auto"/>
                <w:highlight w:val="none"/>
                <w:lang w:val="en-US" w:eastAsia="zh-CN"/>
              </w:rPr>
              <w:t>图4.</w:t>
            </w:r>
            <w:r>
              <w:rPr>
                <w:rFonts w:hint="eastAsia" w:ascii="宋体" w:hAnsi="宋体" w:cs="宋体"/>
                <w:b/>
                <w:bCs/>
                <w:color w:val="auto"/>
                <w:highlight w:val="none"/>
                <w:lang w:val="en-US" w:eastAsia="zh-CN"/>
              </w:rPr>
              <w:t>2</w:t>
            </w:r>
            <w:r>
              <w:rPr>
                <w:rFonts w:hint="eastAsia" w:ascii="宋体" w:hAnsi="宋体" w:eastAsia="宋体" w:cs="宋体"/>
                <w:b/>
                <w:bCs/>
                <w:color w:val="auto"/>
                <w:highlight w:val="none"/>
                <w:lang w:val="en-US" w:eastAsia="zh-CN"/>
              </w:rPr>
              <w:t>-1 改扩建工程实施后全厂水平衡图（单位：t/d）</w:t>
            </w:r>
          </w:p>
          <w:p>
            <w:pPr>
              <w:pStyle w:val="72"/>
              <w:numPr>
                <w:ilvl w:val="0"/>
                <w:numId w:val="0"/>
              </w:numPr>
              <w:bidi w:val="0"/>
              <w:ind w:firstLine="480" w:firstLineChars="200"/>
              <w:rPr>
                <w:rFonts w:hint="eastAsia"/>
                <w:color w:val="auto"/>
                <w:lang w:val="en-US" w:eastAsia="zh-CN"/>
              </w:rPr>
            </w:pPr>
            <w:r>
              <w:rPr>
                <w:rFonts w:hint="eastAsia"/>
                <w:color w:val="auto"/>
                <w:lang w:val="en-US" w:eastAsia="zh-CN"/>
              </w:rPr>
              <w:t>项目实施后，全厂各股废水排放去向见表4.2.4。</w:t>
            </w:r>
          </w:p>
          <w:p>
            <w:pPr>
              <w:pStyle w:val="72"/>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firstLine="482" w:firstLineChars="200"/>
              <w:jc w:val="center"/>
              <w:textAlignment w:val="auto"/>
              <w:rPr>
                <w:rFonts w:hint="default"/>
                <w:b/>
                <w:bCs/>
                <w:color w:val="auto"/>
                <w:lang w:val="en-US" w:eastAsia="zh-CN"/>
              </w:rPr>
            </w:pPr>
            <w:r>
              <w:rPr>
                <w:rFonts w:hint="eastAsia"/>
                <w:b/>
                <w:bCs/>
                <w:color w:val="auto"/>
                <w:lang w:val="en-US" w:eastAsia="zh-CN"/>
              </w:rPr>
              <w:t>表4.2.4 全厂各股废水排放去向一览表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4361"/>
              <w:gridCol w:w="2039"/>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地块</w:t>
                  </w:r>
                </w:p>
              </w:tc>
              <w:tc>
                <w:tcPr>
                  <w:tcW w:w="4361"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废水类型</w:t>
                  </w:r>
                </w:p>
              </w:tc>
              <w:tc>
                <w:tcPr>
                  <w:tcW w:w="2039"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主要污染物</w:t>
                  </w:r>
                </w:p>
              </w:tc>
              <w:tc>
                <w:tcPr>
                  <w:tcW w:w="1309"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restart"/>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二期地块</w:t>
                  </w:r>
                </w:p>
              </w:tc>
              <w:tc>
                <w:tcPr>
                  <w:tcW w:w="4361"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vertAlign w:val="baseline"/>
                      <w:lang w:val="en-US" w:eastAsia="zh-CN"/>
                    </w:rPr>
                  </w:pPr>
                  <w:r>
                    <w:rPr>
                      <w:rFonts w:hint="eastAsia"/>
                      <w:color w:val="auto"/>
                      <w:sz w:val="21"/>
                      <w:szCs w:val="21"/>
                      <w:highlight w:val="none"/>
                      <w:lang w:val="en-US" w:eastAsia="zh-CN"/>
                    </w:rPr>
                    <w:t>旋转靶材除尘系统喷淋废水、水刀切割废水、车间清洗废水</w:t>
                  </w:r>
                </w:p>
              </w:tc>
              <w:tc>
                <w:tcPr>
                  <w:tcW w:w="2039"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SS</w:t>
                  </w:r>
                </w:p>
              </w:tc>
              <w:tc>
                <w:tcPr>
                  <w:tcW w:w="1309" w:type="dxa"/>
                  <w:vMerge w:val="restart"/>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进入现有污水处理站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4361"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纯水制备系统排污水</w:t>
                  </w:r>
                </w:p>
              </w:tc>
              <w:tc>
                <w:tcPr>
                  <w:tcW w:w="2039" w:type="dxa"/>
                  <w:vMerge w:val="restart"/>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低浓度COD、SS</w:t>
                  </w:r>
                </w:p>
              </w:tc>
              <w:tc>
                <w:tcPr>
                  <w:tcW w:w="1309"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4361"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循环冷却水系统排污水</w:t>
                  </w:r>
                </w:p>
              </w:tc>
              <w:tc>
                <w:tcPr>
                  <w:tcW w:w="2039"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309"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由厂内污水管网排入市政污水管网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restart"/>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三期地块</w:t>
                  </w:r>
                </w:p>
              </w:tc>
              <w:tc>
                <w:tcPr>
                  <w:tcW w:w="4361"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highlight w:val="none"/>
                      <w:lang w:val="en-US" w:eastAsia="zh-CN"/>
                    </w:rPr>
                    <w:t>半导体用金属及合金靶材研发及产业化项目有机废气水喷淋废水（含醇废水）</w:t>
                  </w:r>
                </w:p>
              </w:tc>
              <w:tc>
                <w:tcPr>
                  <w:tcW w:w="2039"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COD</w:t>
                  </w:r>
                </w:p>
              </w:tc>
              <w:tc>
                <w:tcPr>
                  <w:tcW w:w="1309" w:type="dxa"/>
                  <w:vMerge w:val="restart"/>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进入新建污水处理站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4361"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车间清洗废水</w:t>
                  </w:r>
                </w:p>
              </w:tc>
              <w:tc>
                <w:tcPr>
                  <w:tcW w:w="2039"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SS</w:t>
                  </w:r>
                </w:p>
              </w:tc>
              <w:tc>
                <w:tcPr>
                  <w:tcW w:w="1309"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4361"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超声探伤废水</w:t>
                  </w:r>
                </w:p>
              </w:tc>
              <w:tc>
                <w:tcPr>
                  <w:tcW w:w="2039"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低浓度COD、SS</w:t>
                  </w:r>
                </w:p>
              </w:tc>
              <w:tc>
                <w:tcPr>
                  <w:tcW w:w="1309"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restart"/>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四期地块</w:t>
                  </w:r>
                </w:p>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4361"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超声清洗废水</w:t>
                  </w:r>
                </w:p>
              </w:tc>
              <w:tc>
                <w:tcPr>
                  <w:tcW w:w="2039"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COD、SS、石油类、氨氮、总磷</w:t>
                  </w:r>
                </w:p>
              </w:tc>
              <w:tc>
                <w:tcPr>
                  <w:tcW w:w="1309"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4361"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ascii="宋体" w:hAnsi="宋体" w:eastAsia="宋体" w:cs="宋体"/>
                      <w:color w:val="auto"/>
                      <w:sz w:val="21"/>
                      <w:szCs w:val="21"/>
                      <w:highlight w:val="none"/>
                      <w:lang w:val="en-US" w:eastAsia="zh-CN"/>
                    </w:rPr>
                    <w:t>循环冷却水系统排污水</w:t>
                  </w:r>
                  <w:r>
                    <w:rPr>
                      <w:rFonts w:hint="eastAsia" w:ascii="宋体" w:hAnsi="宋体" w:cs="宋体"/>
                      <w:color w:val="auto"/>
                      <w:sz w:val="21"/>
                      <w:szCs w:val="21"/>
                      <w:highlight w:val="none"/>
                      <w:lang w:val="en-US" w:eastAsia="zh-CN"/>
                    </w:rPr>
                    <w:t>、</w:t>
                  </w:r>
                  <w:r>
                    <w:rPr>
                      <w:rFonts w:hint="eastAsia"/>
                      <w:color w:val="auto"/>
                      <w:sz w:val="21"/>
                      <w:szCs w:val="21"/>
                      <w:vertAlign w:val="baseline"/>
                      <w:lang w:val="en-US" w:eastAsia="zh-CN"/>
                    </w:rPr>
                    <w:t>超声探伤废水</w:t>
                  </w:r>
                </w:p>
              </w:tc>
              <w:tc>
                <w:tcPr>
                  <w:tcW w:w="2039"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低浓度COD、SS</w:t>
                  </w:r>
                </w:p>
              </w:tc>
              <w:tc>
                <w:tcPr>
                  <w:tcW w:w="1309"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4361"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水刀切割废水、车间清洗废水、喷淋除尘废水</w:t>
                  </w:r>
                </w:p>
              </w:tc>
              <w:tc>
                <w:tcPr>
                  <w:tcW w:w="2039" w:type="dxa"/>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SS</w:t>
                  </w:r>
                </w:p>
              </w:tc>
              <w:tc>
                <w:tcPr>
                  <w:tcW w:w="1309" w:type="dxa"/>
                  <w:vMerge w:val="continue"/>
                  <w:vAlign w:val="center"/>
                </w:tcPr>
                <w:p>
                  <w:pPr>
                    <w:pStyle w:val="7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color w:val="auto"/>
                      <w:sz w:val="21"/>
                      <w:szCs w:val="21"/>
                      <w:vertAlign w:val="baseline"/>
                      <w:lang w:val="en-US" w:eastAsia="zh-CN"/>
                    </w:rPr>
                  </w:pPr>
                </w:p>
              </w:tc>
            </w:tr>
          </w:tbl>
          <w:p>
            <w:pPr>
              <w:pStyle w:val="72"/>
              <w:numPr>
                <w:ilvl w:val="0"/>
                <w:numId w:val="0"/>
              </w:numPr>
              <w:bidi w:val="0"/>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改扩建工程实施后全厂水污染物排放“</w:t>
            </w:r>
            <w:r>
              <w:rPr>
                <w:rFonts w:hint="eastAsia" w:ascii="宋体" w:hAnsi="宋体" w:cs="宋体"/>
                <w:color w:val="auto"/>
                <w:highlight w:val="none"/>
                <w:lang w:val="en-US" w:eastAsia="zh-CN"/>
              </w:rPr>
              <w:t>三本账</w:t>
            </w:r>
            <w:r>
              <w:rPr>
                <w:rFonts w:hint="eastAsia" w:ascii="宋体" w:hAnsi="宋体" w:eastAsia="宋体" w:cs="宋体"/>
                <w:color w:val="auto"/>
                <w:highlight w:val="none"/>
                <w:lang w:val="en-US" w:eastAsia="zh-CN"/>
              </w:rPr>
              <w:t>”见表4.</w:t>
            </w:r>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5</w:t>
            </w:r>
            <w:r>
              <w:rPr>
                <w:rFonts w:hint="eastAsia" w:ascii="宋体" w:hAnsi="宋体" w:eastAsia="宋体" w:cs="宋体"/>
                <w:color w:val="auto"/>
                <w:highlight w:val="none"/>
                <w:lang w:val="en-US" w:eastAsia="zh-CN"/>
              </w:rPr>
              <w:t>。</w:t>
            </w:r>
          </w:p>
          <w:p>
            <w:pPr>
              <w:pStyle w:val="68"/>
              <w:rPr>
                <w:color w:val="auto"/>
                <w:highlight w:val="none"/>
              </w:rPr>
            </w:pPr>
            <w:r>
              <w:rPr>
                <w:rFonts w:hint="eastAsia"/>
                <w:color w:val="auto"/>
                <w:highlight w:val="none"/>
              </w:rPr>
              <w:t>表4.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4</w:t>
            </w:r>
            <w:r>
              <w:rPr>
                <w:rFonts w:hint="eastAsia"/>
                <w:color w:val="auto"/>
                <w:highlight w:val="none"/>
              </w:rPr>
              <w:t>全厂水污染物排放情况“三本账”</w:t>
            </w:r>
          </w:p>
          <w:tbl>
            <w:tblPr>
              <w:tblStyle w:val="28"/>
              <w:tblW w:w="488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488"/>
              <w:gridCol w:w="1168"/>
              <w:gridCol w:w="1256"/>
              <w:gridCol w:w="1256"/>
              <w:gridCol w:w="1256"/>
              <w:gridCol w:w="1019"/>
              <w:gridCol w:w="18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57" w:hRule="atLeast"/>
                <w:jc w:val="center"/>
              </w:trPr>
              <w:tc>
                <w:tcPr>
                  <w:tcW w:w="1001" w:type="pct"/>
                  <w:gridSpan w:val="2"/>
                  <w:tcBorders>
                    <w:tl2br w:val="nil"/>
                    <w:tr2bl w:val="nil"/>
                  </w:tcBorders>
                  <w:vAlign w:val="center"/>
                </w:tcPr>
                <w:p>
                  <w:pPr>
                    <w:pStyle w:val="70"/>
                    <w:rPr>
                      <w:color w:val="auto"/>
                      <w:highlight w:val="none"/>
                    </w:rPr>
                  </w:pPr>
                  <w:r>
                    <w:rPr>
                      <w:color w:val="auto"/>
                      <w:highlight w:val="none"/>
                    </w:rPr>
                    <w:t>项目</w:t>
                  </w:r>
                </w:p>
              </w:tc>
              <w:tc>
                <w:tcPr>
                  <w:tcW w:w="759" w:type="pct"/>
                  <w:tcBorders>
                    <w:tl2br w:val="nil"/>
                    <w:tr2bl w:val="nil"/>
                  </w:tcBorders>
                  <w:vAlign w:val="center"/>
                </w:tcPr>
                <w:p>
                  <w:pPr>
                    <w:pStyle w:val="70"/>
                    <w:rPr>
                      <w:color w:val="auto"/>
                      <w:highlight w:val="none"/>
                    </w:rPr>
                  </w:pPr>
                  <w:r>
                    <w:rPr>
                      <w:color w:val="auto"/>
                      <w:highlight w:val="none"/>
                    </w:rPr>
                    <w:t>现有工程排放量</w:t>
                  </w:r>
                </w:p>
              </w:tc>
              <w:tc>
                <w:tcPr>
                  <w:tcW w:w="759" w:type="pct"/>
                  <w:tcBorders>
                    <w:tl2br w:val="nil"/>
                    <w:tr2bl w:val="nil"/>
                  </w:tcBorders>
                  <w:vAlign w:val="center"/>
                </w:tcPr>
                <w:p>
                  <w:pPr>
                    <w:pStyle w:val="70"/>
                    <w:rPr>
                      <w:color w:val="auto"/>
                      <w:highlight w:val="none"/>
                    </w:rPr>
                  </w:pPr>
                  <w:r>
                    <w:rPr>
                      <w:rFonts w:hint="eastAsia"/>
                      <w:color w:val="auto"/>
                      <w:highlight w:val="none"/>
                      <w:lang w:val="en-US" w:eastAsia="zh-CN"/>
                    </w:rPr>
                    <w:t>本次改扩建</w:t>
                  </w:r>
                  <w:r>
                    <w:rPr>
                      <w:rFonts w:hint="eastAsia"/>
                      <w:color w:val="auto"/>
                      <w:highlight w:val="none"/>
                    </w:rPr>
                    <w:t>项目</w:t>
                  </w:r>
                  <w:r>
                    <w:rPr>
                      <w:color w:val="auto"/>
                      <w:highlight w:val="none"/>
                    </w:rPr>
                    <w:t>排放量</w:t>
                  </w:r>
                </w:p>
              </w:tc>
              <w:tc>
                <w:tcPr>
                  <w:tcW w:w="759" w:type="pct"/>
                  <w:tcBorders>
                    <w:tl2br w:val="nil"/>
                    <w:tr2bl w:val="nil"/>
                  </w:tcBorders>
                  <w:vAlign w:val="center"/>
                </w:tcPr>
                <w:p>
                  <w:pPr>
                    <w:pStyle w:val="70"/>
                    <w:rPr>
                      <w:color w:val="auto"/>
                      <w:highlight w:val="none"/>
                    </w:rPr>
                  </w:pPr>
                  <w:r>
                    <w:rPr>
                      <w:color w:val="auto"/>
                      <w:highlight w:val="none"/>
                    </w:rPr>
                    <w:t>以新带老削减量</w:t>
                  </w:r>
                </w:p>
              </w:tc>
              <w:tc>
                <w:tcPr>
                  <w:tcW w:w="616" w:type="pct"/>
                  <w:tcBorders>
                    <w:tl2br w:val="nil"/>
                    <w:tr2bl w:val="nil"/>
                  </w:tcBorders>
                  <w:vAlign w:val="center"/>
                </w:tcPr>
                <w:p>
                  <w:pPr>
                    <w:pStyle w:val="70"/>
                    <w:rPr>
                      <w:color w:val="auto"/>
                      <w:highlight w:val="none"/>
                    </w:rPr>
                  </w:pPr>
                  <w:r>
                    <w:rPr>
                      <w:color w:val="auto"/>
                      <w:highlight w:val="none"/>
                    </w:rPr>
                    <w:t>全厂</w:t>
                  </w:r>
                  <w:r>
                    <w:rPr>
                      <w:rFonts w:hint="eastAsia"/>
                      <w:color w:val="auto"/>
                      <w:highlight w:val="none"/>
                      <w:lang w:val="en-US" w:eastAsia="zh-CN"/>
                    </w:rPr>
                    <w:t>排放量</w:t>
                  </w:r>
                  <w:r>
                    <w:rPr>
                      <w:color w:val="auto"/>
                      <w:highlight w:val="none"/>
                    </w:rPr>
                    <w:t>合计</w:t>
                  </w:r>
                </w:p>
              </w:tc>
              <w:tc>
                <w:tcPr>
                  <w:tcW w:w="1103" w:type="pct"/>
                  <w:tcBorders>
                    <w:tl2br w:val="nil"/>
                    <w:tr2bl w:val="nil"/>
                  </w:tcBorders>
                  <w:vAlign w:val="center"/>
                </w:tcPr>
                <w:p>
                  <w:pPr>
                    <w:pStyle w:val="70"/>
                    <w:rPr>
                      <w:color w:val="auto"/>
                      <w:highlight w:val="none"/>
                    </w:rPr>
                  </w:pPr>
                  <w:r>
                    <w:rPr>
                      <w:color w:val="auto"/>
                      <w:highlight w:val="none"/>
                    </w:rPr>
                    <w:t>本项目投产前后增减量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295" w:type="pct"/>
                  <w:vMerge w:val="restar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生产废水</w:t>
                  </w:r>
                </w:p>
              </w:tc>
              <w:tc>
                <w:tcPr>
                  <w:tcW w:w="706" w:type="pct"/>
                  <w:tcBorders>
                    <w:tl2br w:val="nil"/>
                    <w:tr2bl w:val="nil"/>
                  </w:tcBorders>
                  <w:vAlign w:val="center"/>
                </w:tcPr>
                <w:p>
                  <w:pPr>
                    <w:pStyle w:val="70"/>
                    <w:rPr>
                      <w:color w:val="auto"/>
                      <w:highlight w:val="none"/>
                    </w:rPr>
                  </w:pPr>
                  <w:r>
                    <w:rPr>
                      <w:color w:val="auto"/>
                      <w:highlight w:val="none"/>
                    </w:rPr>
                    <w:t>水量（m</w:t>
                  </w:r>
                  <w:r>
                    <w:rPr>
                      <w:color w:val="auto"/>
                      <w:highlight w:val="none"/>
                      <w:vertAlign w:val="superscript"/>
                    </w:rPr>
                    <w:t>3</w:t>
                  </w:r>
                  <w:r>
                    <w:rPr>
                      <w:color w:val="auto"/>
                      <w:highlight w:val="none"/>
                    </w:rPr>
                    <w:t>/a）</w:t>
                  </w:r>
                </w:p>
              </w:tc>
              <w:tc>
                <w:tcPr>
                  <w:tcW w:w="125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2587.68</w:t>
                  </w:r>
                </w:p>
              </w:tc>
              <w:tc>
                <w:tcPr>
                  <w:tcW w:w="125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4035</w:t>
                  </w:r>
                </w:p>
              </w:tc>
              <w:tc>
                <w:tcPr>
                  <w:tcW w:w="125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-1251</w:t>
                  </w:r>
                </w:p>
              </w:tc>
              <w:tc>
                <w:tcPr>
                  <w:tcW w:w="1019"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5371.68</w:t>
                  </w:r>
                </w:p>
              </w:tc>
              <w:tc>
                <w:tcPr>
                  <w:tcW w:w="182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295" w:type="pct"/>
                  <w:vMerge w:val="continue"/>
                  <w:tcBorders>
                    <w:tl2br w:val="nil"/>
                    <w:tr2bl w:val="nil"/>
                  </w:tcBorders>
                  <w:vAlign w:val="center"/>
                </w:tcPr>
                <w:p>
                  <w:pPr>
                    <w:pStyle w:val="70"/>
                    <w:rPr>
                      <w:color w:val="auto"/>
                      <w:highlight w:val="none"/>
                    </w:rPr>
                  </w:pPr>
                </w:p>
              </w:tc>
              <w:tc>
                <w:tcPr>
                  <w:tcW w:w="706" w:type="pct"/>
                  <w:tcBorders>
                    <w:tl2br w:val="nil"/>
                    <w:tr2bl w:val="nil"/>
                  </w:tcBorders>
                  <w:vAlign w:val="center"/>
                </w:tcPr>
                <w:p>
                  <w:pPr>
                    <w:pStyle w:val="70"/>
                    <w:rPr>
                      <w:color w:val="auto"/>
                      <w:highlight w:val="none"/>
                    </w:rPr>
                  </w:pPr>
                  <w:r>
                    <w:rPr>
                      <w:color w:val="auto"/>
                      <w:highlight w:val="none"/>
                    </w:rPr>
                    <w:t>COD</w:t>
                  </w:r>
                  <w:r>
                    <w:rPr>
                      <w:rFonts w:hint="eastAsia"/>
                      <w:color w:val="auto"/>
                      <w:highlight w:val="none"/>
                      <w:lang w:eastAsia="zh-CN"/>
                    </w:rPr>
                    <w:t>(</w:t>
                  </w:r>
                  <w:r>
                    <w:rPr>
                      <w:color w:val="auto"/>
                      <w:highlight w:val="none"/>
                    </w:rPr>
                    <w:t>t/a</w:t>
                  </w:r>
                  <w:r>
                    <w:rPr>
                      <w:rFonts w:hint="eastAsia"/>
                      <w:color w:val="auto"/>
                      <w:highlight w:val="none"/>
                      <w:lang w:eastAsia="zh-CN"/>
                    </w:rPr>
                    <w:t>)</w:t>
                  </w:r>
                </w:p>
              </w:tc>
              <w:tc>
                <w:tcPr>
                  <w:tcW w:w="1256" w:type="dxa"/>
                  <w:tcBorders>
                    <w:tl2br w:val="nil"/>
                    <w:tr2bl w:val="nil"/>
                  </w:tcBorders>
                  <w:vAlign w:val="center"/>
                </w:tcPr>
                <w:p>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iCs w:val="0"/>
                      <w:color w:val="auto"/>
                      <w:kern w:val="0"/>
                      <w:sz w:val="21"/>
                      <w:szCs w:val="21"/>
                      <w:highlight w:val="none"/>
                      <w:u w:val="none"/>
                      <w:lang w:val="en-US" w:eastAsia="zh-CN" w:bidi="ar"/>
                    </w:rPr>
                    <w:t xml:space="preserve">0.129 </w:t>
                  </w:r>
                </w:p>
              </w:tc>
              <w:tc>
                <w:tcPr>
                  <w:tcW w:w="125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0.202 </w:t>
                  </w:r>
                </w:p>
              </w:tc>
              <w:tc>
                <w:tcPr>
                  <w:tcW w:w="125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-0.063 </w:t>
                  </w:r>
                </w:p>
              </w:tc>
              <w:tc>
                <w:tcPr>
                  <w:tcW w:w="1019"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0.269 </w:t>
                  </w:r>
                </w:p>
              </w:tc>
              <w:tc>
                <w:tcPr>
                  <w:tcW w:w="182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 xml:space="preserve">0.139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295" w:type="pct"/>
                  <w:vMerge w:val="continue"/>
                  <w:tcBorders>
                    <w:tl2br w:val="nil"/>
                    <w:tr2bl w:val="nil"/>
                  </w:tcBorders>
                  <w:vAlign w:val="center"/>
                </w:tcPr>
                <w:p>
                  <w:pPr>
                    <w:pStyle w:val="70"/>
                    <w:rPr>
                      <w:color w:val="auto"/>
                      <w:highlight w:val="none"/>
                    </w:rPr>
                  </w:pPr>
                </w:p>
              </w:tc>
              <w:tc>
                <w:tcPr>
                  <w:tcW w:w="706" w:type="pct"/>
                  <w:tcBorders>
                    <w:tl2br w:val="nil"/>
                    <w:tr2bl w:val="nil"/>
                  </w:tcBorders>
                  <w:vAlign w:val="center"/>
                </w:tcPr>
                <w:p>
                  <w:pPr>
                    <w:pStyle w:val="70"/>
                    <w:rPr>
                      <w:color w:val="auto"/>
                      <w:highlight w:val="none"/>
                    </w:rPr>
                  </w:pPr>
                  <w:r>
                    <w:rPr>
                      <w:color w:val="auto"/>
                      <w:highlight w:val="none"/>
                    </w:rPr>
                    <w:t>NH</w:t>
                  </w:r>
                  <w:r>
                    <w:rPr>
                      <w:color w:val="auto"/>
                      <w:highlight w:val="none"/>
                      <w:vertAlign w:val="subscript"/>
                    </w:rPr>
                    <w:t>3</w:t>
                  </w:r>
                  <w:r>
                    <w:rPr>
                      <w:color w:val="auto"/>
                      <w:highlight w:val="none"/>
                    </w:rPr>
                    <w:t>-N</w:t>
                  </w:r>
                  <w:r>
                    <w:rPr>
                      <w:rFonts w:hint="eastAsia"/>
                      <w:color w:val="auto"/>
                      <w:highlight w:val="none"/>
                      <w:lang w:eastAsia="zh-CN"/>
                    </w:rPr>
                    <w:t>(</w:t>
                  </w:r>
                  <w:r>
                    <w:rPr>
                      <w:color w:val="auto"/>
                      <w:highlight w:val="none"/>
                    </w:rPr>
                    <w:t>t/a</w:t>
                  </w:r>
                  <w:r>
                    <w:rPr>
                      <w:rFonts w:hint="eastAsia"/>
                      <w:color w:val="auto"/>
                      <w:highlight w:val="none"/>
                      <w:lang w:eastAsia="zh-CN"/>
                    </w:rPr>
                    <w:t>)</w:t>
                  </w:r>
                </w:p>
              </w:tc>
              <w:tc>
                <w:tcPr>
                  <w:tcW w:w="1256"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256"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0.0202 </w:t>
                  </w:r>
                </w:p>
              </w:tc>
              <w:tc>
                <w:tcPr>
                  <w:tcW w:w="1256" w:type="dxa"/>
                  <w:tcBorders>
                    <w:tl2br w:val="nil"/>
                    <w:tr2bl w:val="nil"/>
                  </w:tcBorders>
                  <w:vAlign w:val="center"/>
                </w:tcPr>
                <w:p>
                  <w:pPr>
                    <w:jc w:val="center"/>
                    <w:rPr>
                      <w:rFonts w:hint="eastAsia" w:ascii="宋体" w:hAnsi="宋体" w:eastAsia="宋体" w:cs="宋体"/>
                      <w:i w:val="0"/>
                      <w:iCs w:val="0"/>
                      <w:color w:val="auto"/>
                      <w:kern w:val="0"/>
                      <w:sz w:val="21"/>
                      <w:szCs w:val="21"/>
                      <w:highlight w:val="none"/>
                      <w:u w:val="none"/>
                      <w:lang w:val="en-US" w:eastAsia="zh-CN" w:bidi="ar"/>
                    </w:rPr>
                  </w:pPr>
                </w:p>
              </w:tc>
              <w:tc>
                <w:tcPr>
                  <w:tcW w:w="1019"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0.0202 </w:t>
                  </w:r>
                </w:p>
              </w:tc>
              <w:tc>
                <w:tcPr>
                  <w:tcW w:w="1826" w:type="dxa"/>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0.0202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295" w:type="pct"/>
                  <w:vMerge w:val="restart"/>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生活污水</w:t>
                  </w:r>
                </w:p>
              </w:tc>
              <w:tc>
                <w:tcPr>
                  <w:tcW w:w="706" w:type="pct"/>
                  <w:tcBorders>
                    <w:tl2br w:val="nil"/>
                    <w:tr2bl w:val="nil"/>
                  </w:tcBorders>
                  <w:vAlign w:val="center"/>
                </w:tcPr>
                <w:p>
                  <w:pPr>
                    <w:pStyle w:val="70"/>
                    <w:rPr>
                      <w:color w:val="auto"/>
                      <w:highlight w:val="none"/>
                    </w:rPr>
                  </w:pPr>
                  <w:r>
                    <w:rPr>
                      <w:color w:val="auto"/>
                      <w:highlight w:val="none"/>
                    </w:rPr>
                    <w:t>水量（m</w:t>
                  </w:r>
                  <w:r>
                    <w:rPr>
                      <w:color w:val="auto"/>
                      <w:highlight w:val="none"/>
                      <w:vertAlign w:val="superscript"/>
                    </w:rPr>
                    <w:t>3</w:t>
                  </w:r>
                  <w:r>
                    <w:rPr>
                      <w:color w:val="auto"/>
                      <w:highlight w:val="none"/>
                    </w:rPr>
                    <w:t>/a）</w:t>
                  </w:r>
                </w:p>
              </w:tc>
              <w:tc>
                <w:tcPr>
                  <w:tcW w:w="125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5820</w:t>
                  </w:r>
                </w:p>
              </w:tc>
              <w:tc>
                <w:tcPr>
                  <w:tcW w:w="125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2850</w:t>
                  </w:r>
                </w:p>
              </w:tc>
              <w:tc>
                <w:tcPr>
                  <w:tcW w:w="125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-1950</w:t>
                  </w:r>
                </w:p>
              </w:tc>
              <w:tc>
                <w:tcPr>
                  <w:tcW w:w="1019"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6720</w:t>
                  </w:r>
                </w:p>
              </w:tc>
              <w:tc>
                <w:tcPr>
                  <w:tcW w:w="182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4" w:hRule="atLeast"/>
                <w:jc w:val="center"/>
              </w:trPr>
              <w:tc>
                <w:tcPr>
                  <w:tcW w:w="295" w:type="pct"/>
                  <w:vMerge w:val="continue"/>
                  <w:tcBorders>
                    <w:tl2br w:val="nil"/>
                    <w:tr2bl w:val="nil"/>
                  </w:tcBorders>
                  <w:vAlign w:val="center"/>
                </w:tcPr>
                <w:p>
                  <w:pPr>
                    <w:pStyle w:val="70"/>
                    <w:rPr>
                      <w:color w:val="auto"/>
                      <w:highlight w:val="none"/>
                    </w:rPr>
                  </w:pPr>
                </w:p>
              </w:tc>
              <w:tc>
                <w:tcPr>
                  <w:tcW w:w="706" w:type="pct"/>
                  <w:tcBorders>
                    <w:tl2br w:val="nil"/>
                    <w:tr2bl w:val="nil"/>
                  </w:tcBorders>
                  <w:vAlign w:val="center"/>
                </w:tcPr>
                <w:p>
                  <w:pPr>
                    <w:pStyle w:val="70"/>
                    <w:rPr>
                      <w:color w:val="auto"/>
                      <w:highlight w:val="none"/>
                    </w:rPr>
                  </w:pPr>
                  <w:r>
                    <w:rPr>
                      <w:color w:val="auto"/>
                      <w:highlight w:val="none"/>
                    </w:rPr>
                    <w:t>COD</w:t>
                  </w:r>
                  <w:r>
                    <w:rPr>
                      <w:rFonts w:hint="eastAsia"/>
                      <w:color w:val="auto"/>
                      <w:highlight w:val="none"/>
                      <w:lang w:eastAsia="zh-CN"/>
                    </w:rPr>
                    <w:t>(</w:t>
                  </w:r>
                  <w:r>
                    <w:rPr>
                      <w:color w:val="auto"/>
                      <w:highlight w:val="none"/>
                    </w:rPr>
                    <w:t>t/a</w:t>
                  </w:r>
                  <w:r>
                    <w:rPr>
                      <w:rFonts w:hint="eastAsia"/>
                      <w:color w:val="auto"/>
                      <w:highlight w:val="none"/>
                      <w:lang w:eastAsia="zh-CN"/>
                    </w:rPr>
                    <w:t>)</w:t>
                  </w:r>
                </w:p>
              </w:tc>
              <w:tc>
                <w:tcPr>
                  <w:tcW w:w="1256"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0.291</w:t>
                  </w:r>
                </w:p>
              </w:tc>
              <w:tc>
                <w:tcPr>
                  <w:tcW w:w="125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0.143</w:t>
                  </w:r>
                </w:p>
              </w:tc>
              <w:tc>
                <w:tcPr>
                  <w:tcW w:w="125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-0.098</w:t>
                  </w:r>
                </w:p>
              </w:tc>
              <w:tc>
                <w:tcPr>
                  <w:tcW w:w="1019"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0.336</w:t>
                  </w:r>
                </w:p>
              </w:tc>
              <w:tc>
                <w:tcPr>
                  <w:tcW w:w="1826"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0.045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03" w:hRule="atLeast"/>
                <w:jc w:val="center"/>
              </w:trPr>
              <w:tc>
                <w:tcPr>
                  <w:tcW w:w="295" w:type="pct"/>
                  <w:vMerge w:val="continue"/>
                  <w:tcBorders>
                    <w:tl2br w:val="nil"/>
                    <w:tr2bl w:val="nil"/>
                  </w:tcBorders>
                  <w:vAlign w:val="center"/>
                </w:tcPr>
                <w:p>
                  <w:pPr>
                    <w:pStyle w:val="70"/>
                    <w:rPr>
                      <w:color w:val="auto"/>
                      <w:highlight w:val="none"/>
                    </w:rPr>
                  </w:pPr>
                </w:p>
              </w:tc>
              <w:tc>
                <w:tcPr>
                  <w:tcW w:w="706" w:type="pct"/>
                  <w:tcBorders>
                    <w:tl2br w:val="nil"/>
                    <w:tr2bl w:val="nil"/>
                  </w:tcBorders>
                  <w:vAlign w:val="center"/>
                </w:tcPr>
                <w:p>
                  <w:pPr>
                    <w:pStyle w:val="70"/>
                    <w:rPr>
                      <w:color w:val="auto"/>
                      <w:highlight w:val="none"/>
                    </w:rPr>
                  </w:pPr>
                  <w:r>
                    <w:rPr>
                      <w:color w:val="auto"/>
                      <w:highlight w:val="none"/>
                    </w:rPr>
                    <w:t>NH</w:t>
                  </w:r>
                  <w:r>
                    <w:rPr>
                      <w:color w:val="auto"/>
                      <w:highlight w:val="none"/>
                      <w:vertAlign w:val="subscript"/>
                    </w:rPr>
                    <w:t>3</w:t>
                  </w:r>
                  <w:r>
                    <w:rPr>
                      <w:color w:val="auto"/>
                      <w:highlight w:val="none"/>
                    </w:rPr>
                    <w:t>-N</w:t>
                  </w:r>
                  <w:r>
                    <w:rPr>
                      <w:rFonts w:hint="eastAsia"/>
                      <w:color w:val="auto"/>
                      <w:highlight w:val="none"/>
                      <w:lang w:eastAsia="zh-CN"/>
                    </w:rPr>
                    <w:t>(</w:t>
                  </w:r>
                  <w:r>
                    <w:rPr>
                      <w:color w:val="auto"/>
                      <w:highlight w:val="none"/>
                    </w:rPr>
                    <w:t>t/a</w:t>
                  </w:r>
                  <w:r>
                    <w:rPr>
                      <w:rFonts w:hint="eastAsia"/>
                      <w:color w:val="auto"/>
                      <w:highlight w:val="none"/>
                      <w:lang w:eastAsia="zh-CN"/>
                    </w:rPr>
                    <w:t>)</w:t>
                  </w:r>
                </w:p>
              </w:tc>
              <w:tc>
                <w:tcPr>
                  <w:tcW w:w="1256"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0.029</w:t>
                  </w:r>
                </w:p>
              </w:tc>
              <w:tc>
                <w:tcPr>
                  <w:tcW w:w="1256"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0.014</w:t>
                  </w:r>
                </w:p>
              </w:tc>
              <w:tc>
                <w:tcPr>
                  <w:tcW w:w="1256"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-0.01</w:t>
                  </w:r>
                </w:p>
              </w:tc>
              <w:tc>
                <w:tcPr>
                  <w:tcW w:w="1019"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0.034</w:t>
                  </w:r>
                </w:p>
              </w:tc>
              <w:tc>
                <w:tcPr>
                  <w:tcW w:w="1826"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0.0045</w:t>
                  </w:r>
                </w:p>
              </w:tc>
            </w:tr>
          </w:tbl>
          <w:p>
            <w:pPr>
              <w:pStyle w:val="70"/>
              <w:ind w:firstLine="210" w:firstLineChars="100"/>
              <w:jc w:val="both"/>
              <w:rPr>
                <w:rFonts w:hint="eastAsia"/>
                <w:color w:val="auto"/>
                <w:highlight w:val="none"/>
                <w:lang w:val="en-US" w:eastAsia="zh-CN"/>
              </w:rPr>
            </w:pPr>
            <w:r>
              <w:rPr>
                <w:rFonts w:hint="eastAsia"/>
                <w:color w:val="auto"/>
                <w:highlight w:val="none"/>
                <w:lang w:val="en-US" w:eastAsia="zh-CN"/>
              </w:rPr>
              <w:t>备注：</w:t>
            </w:r>
          </w:p>
          <w:p>
            <w:pPr>
              <w:pStyle w:val="70"/>
              <w:ind w:firstLine="210" w:firstLineChars="100"/>
              <w:jc w:val="both"/>
              <w:rPr>
                <w:rFonts w:hint="eastAsia"/>
                <w:color w:val="auto"/>
                <w:highlight w:val="none"/>
                <w:lang w:val="en-US" w:eastAsia="zh-CN"/>
              </w:rPr>
            </w:pPr>
            <w:r>
              <w:rPr>
                <w:rFonts w:hint="eastAsia"/>
                <w:color w:val="auto"/>
                <w:highlight w:val="none"/>
                <w:lang w:val="en-US" w:eastAsia="zh-CN"/>
              </w:rPr>
              <w:t>（1）COD、氨氮排放浓度按滨海工业污水处理厂尾水排放标准核算，即COD排放浓度50mg/L、氨氮5mg/L。</w:t>
            </w:r>
          </w:p>
          <w:p>
            <w:pPr>
              <w:pStyle w:val="70"/>
              <w:ind w:firstLine="210" w:firstLineChars="100"/>
              <w:jc w:val="both"/>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“以新带老”削减</w:t>
            </w:r>
            <w:r>
              <w:rPr>
                <w:rFonts w:hint="eastAsia"/>
                <w:color w:val="auto"/>
                <w:lang w:val="en-US" w:eastAsia="zh-CN"/>
              </w:rPr>
              <w:t>来</w:t>
            </w:r>
            <w:r>
              <w:rPr>
                <w:rFonts w:hint="eastAsia"/>
                <w:color w:val="auto"/>
              </w:rPr>
              <w:t>源于平面铝靶材、钼靶材生产过程的产污及配套人员迁移至改扩建项目，迁移后喷砂工序采用干法除尘，减少喷淋除尘废水的产生。</w:t>
            </w:r>
          </w:p>
          <w:p>
            <w:pPr>
              <w:pStyle w:val="70"/>
              <w:ind w:firstLine="210" w:firstLineChars="100"/>
              <w:jc w:val="both"/>
              <w:rPr>
                <w:rFonts w:hint="default" w:eastAsia="宋体"/>
                <w:color w:val="auto"/>
                <w:lang w:val="en-US" w:eastAsia="zh-CN"/>
              </w:rPr>
            </w:pPr>
            <w:r>
              <w:rPr>
                <w:rFonts w:hint="eastAsia"/>
                <w:color w:val="auto"/>
              </w:rPr>
              <w:t>（</w:t>
            </w:r>
            <w:r>
              <w:rPr>
                <w:rFonts w:hint="eastAsia"/>
                <w:color w:val="auto"/>
                <w:lang w:val="en-US" w:eastAsia="zh-CN"/>
              </w:rPr>
              <w:t>3</w:t>
            </w:r>
            <w:r>
              <w:rPr>
                <w:rFonts w:hint="eastAsia"/>
                <w:color w:val="auto"/>
              </w:rPr>
              <w:t>）</w:t>
            </w:r>
            <w:r>
              <w:rPr>
                <w:rFonts w:hint="eastAsia"/>
                <w:color w:val="auto"/>
                <w:lang w:val="en-US" w:eastAsia="zh-CN"/>
              </w:rPr>
              <w:t>现有工程排放量参考验收及环评数据，本次改扩建项目排放量按照改扩建项目水平衡核算，全厂排放量按照项目实施后全厂水平衡核算，“以新带老”削减量=全厂排放量-现有工程排放量-本次改扩建项目排放量。</w:t>
            </w:r>
          </w:p>
          <w:p>
            <w:pPr>
              <w:pStyle w:val="72"/>
              <w:ind w:left="0" w:leftChars="0" w:firstLine="0" w:firstLineChars="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.2环保措施</w:t>
            </w:r>
          </w:p>
          <w:p>
            <w:pPr>
              <w:pStyle w:val="72"/>
              <w:ind w:firstLine="480"/>
              <w:rPr>
                <w:rFonts w:hint="default"/>
                <w:color w:val="auto"/>
                <w:highlight w:val="none"/>
                <w:lang w:val="en-US" w:eastAsia="zh-CN"/>
              </w:rPr>
            </w:pPr>
            <w:r>
              <w:rPr>
                <w:rFonts w:hint="eastAsia"/>
                <w:color w:val="auto"/>
                <w:highlight w:val="none"/>
                <w:lang w:val="en-US" w:eastAsia="zh-CN"/>
              </w:rPr>
              <w:t>（1）现有污水处理站处理工艺及规模</w:t>
            </w:r>
          </w:p>
          <w:p>
            <w:pPr>
              <w:pStyle w:val="72"/>
              <w:ind w:firstLine="480"/>
              <w:rPr>
                <w:rFonts w:hint="eastAsia"/>
                <w:color w:val="auto"/>
                <w:highlight w:val="none"/>
                <w:lang w:val="en-US" w:eastAsia="zh-CN"/>
              </w:rPr>
            </w:pPr>
            <w:r>
              <w:rPr>
                <w:rFonts w:hint="eastAsia"/>
                <w:color w:val="auto"/>
                <w:highlight w:val="none"/>
                <w:lang w:val="en-US" w:eastAsia="zh-CN"/>
              </w:rPr>
              <w:t>厂区二期地块已有污水处理站废水处理工艺为</w:t>
            </w:r>
            <w:r>
              <w:rPr>
                <w:rFonts w:hint="eastAsia"/>
                <w:color w:val="auto"/>
                <w:highlight w:val="none"/>
              </w:rPr>
              <w:t>“混凝沉淀+缺氧+好氧+二次沉淀”</w:t>
            </w:r>
            <w:r>
              <w:rPr>
                <w:rFonts w:hint="eastAsia"/>
                <w:color w:val="auto"/>
                <w:highlight w:val="none"/>
                <w:lang w:eastAsia="zh-CN"/>
              </w:rPr>
              <w:t>，</w:t>
            </w:r>
            <w:r>
              <w:rPr>
                <w:rFonts w:hint="eastAsia"/>
                <w:color w:val="auto"/>
                <w:highlight w:val="none"/>
              </w:rPr>
              <w:t>设计处理能力为10t/d</w:t>
            </w:r>
            <w:r>
              <w:rPr>
                <w:rFonts w:hint="eastAsia"/>
                <w:color w:val="auto"/>
                <w:highlight w:val="none"/>
                <w:lang w:eastAsia="zh-CN"/>
              </w:rPr>
              <w:t>。</w:t>
            </w:r>
            <w:r>
              <w:rPr>
                <w:rFonts w:hint="eastAsia"/>
                <w:color w:val="auto"/>
                <w:highlight w:val="none"/>
                <w:lang w:val="en-US" w:eastAsia="zh-CN"/>
              </w:rPr>
              <w:t>随着本项目的实施，二期地块、三期地块的项目废水除硅旋转靶生产废水外，仅有纯水制备废水仍进入现有污水处理站处理，废水量合计为3.18t/d，循环冷却水系统排污水比较清洁，直接排入污水管网，产生量约为0.8t/d，纯水制备系统浓水和循环冷却水系统排污水水质简单，水质成分中的污染物已远低于</w:t>
            </w:r>
            <w:r>
              <w:rPr>
                <w:rFonts w:hint="eastAsia"/>
                <w:color w:val="auto"/>
                <w:highlight w:val="none"/>
              </w:rPr>
              <w:t>《</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）表</w:t>
            </w:r>
            <w:r>
              <w:rPr>
                <w:rFonts w:hint="eastAsia"/>
                <w:color w:val="auto"/>
                <w:highlight w:val="none"/>
                <w:lang w:val="en-US" w:eastAsia="zh-CN"/>
              </w:rPr>
              <w:t>1</w:t>
            </w:r>
            <w:r>
              <w:rPr>
                <w:rFonts w:hint="eastAsia"/>
                <w:color w:val="auto"/>
                <w:highlight w:val="none"/>
              </w:rPr>
              <w:t>中的</w:t>
            </w:r>
            <w:r>
              <w:rPr>
                <w:rFonts w:hint="eastAsia"/>
                <w:color w:val="auto"/>
                <w:highlight w:val="none"/>
                <w:lang w:val="en-US" w:eastAsia="zh-CN"/>
              </w:rPr>
              <w:t>间接</w:t>
            </w:r>
            <w:r>
              <w:rPr>
                <w:rFonts w:hint="eastAsia"/>
                <w:color w:val="auto"/>
                <w:highlight w:val="none"/>
              </w:rPr>
              <w:t>排放</w:t>
            </w:r>
            <w:r>
              <w:rPr>
                <w:rFonts w:hint="eastAsia"/>
                <w:color w:val="auto"/>
                <w:highlight w:val="none"/>
                <w:lang w:val="en-US" w:eastAsia="zh-CN"/>
              </w:rPr>
              <w:t>限值。而旋转靶材除尘系统喷淋废水、水刀切割废水、车间清洗废水主要污染物为悬浮物，根据现有工程竣工环保验收监测结果，混凝沉淀处理后处理效率可达到69%以上，处理后外排废水水质可符合</w:t>
            </w:r>
            <w:r>
              <w:rPr>
                <w:rFonts w:hint="eastAsia"/>
                <w:color w:val="auto"/>
                <w:highlight w:val="none"/>
              </w:rPr>
              <w:t>《</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）表</w:t>
            </w:r>
            <w:r>
              <w:rPr>
                <w:rFonts w:hint="eastAsia"/>
                <w:color w:val="auto"/>
                <w:highlight w:val="none"/>
                <w:lang w:val="en-US" w:eastAsia="zh-CN"/>
              </w:rPr>
              <w:t>1</w:t>
            </w:r>
            <w:r>
              <w:rPr>
                <w:rFonts w:hint="eastAsia"/>
                <w:color w:val="auto"/>
                <w:highlight w:val="none"/>
              </w:rPr>
              <w:t>中的</w:t>
            </w:r>
            <w:r>
              <w:rPr>
                <w:rFonts w:hint="eastAsia"/>
                <w:color w:val="auto"/>
                <w:highlight w:val="none"/>
                <w:lang w:val="en-US" w:eastAsia="zh-CN"/>
              </w:rPr>
              <w:t>间接</w:t>
            </w:r>
            <w:r>
              <w:rPr>
                <w:rFonts w:hint="eastAsia"/>
                <w:color w:val="auto"/>
                <w:highlight w:val="none"/>
              </w:rPr>
              <w:t>排放</w:t>
            </w:r>
            <w:r>
              <w:rPr>
                <w:rFonts w:hint="eastAsia"/>
                <w:color w:val="auto"/>
                <w:highlight w:val="none"/>
                <w:lang w:val="en-US" w:eastAsia="zh-CN"/>
              </w:rPr>
              <w:t>限值要求。</w:t>
            </w:r>
          </w:p>
          <w:p>
            <w:pPr>
              <w:pStyle w:val="72"/>
              <w:ind w:firstLine="480"/>
              <w:rPr>
                <w:rFonts w:hint="default"/>
                <w:color w:val="auto"/>
                <w:highlight w:val="none"/>
                <w:lang w:val="en-US" w:eastAsia="zh-CN"/>
              </w:rPr>
            </w:pPr>
            <w:r>
              <w:rPr>
                <w:rFonts w:hint="eastAsia"/>
                <w:color w:val="auto"/>
                <w:highlight w:val="none"/>
                <w:lang w:val="en-US" w:eastAsia="zh-CN"/>
              </w:rPr>
              <w:t>（2）新建污水处理站处理工艺及规模</w:t>
            </w:r>
          </w:p>
          <w:p>
            <w:pPr>
              <w:pStyle w:val="72"/>
              <w:ind w:firstLine="480"/>
              <w:rPr>
                <w:rFonts w:hint="eastAsia"/>
                <w:color w:val="auto"/>
                <w:highlight w:val="none"/>
                <w:lang w:val="en-US" w:eastAsia="zh-CN"/>
              </w:rPr>
            </w:pPr>
            <w:r>
              <w:rPr>
                <w:rFonts w:hint="eastAsia"/>
                <w:color w:val="auto"/>
                <w:highlight w:val="none"/>
                <w:lang w:val="en-US" w:eastAsia="zh-CN"/>
              </w:rPr>
              <w:t>根据企业雨污管网图，企业拟在三期地块新建一座20t/d污水处理站，将四期地块、三期地块生产废水一起进入新建污水处理站处理。</w:t>
            </w:r>
          </w:p>
          <w:p>
            <w:pPr>
              <w:pStyle w:val="72"/>
              <w:ind w:firstLine="48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①</w:t>
            </w:r>
            <w:r>
              <w:rPr>
                <w:rFonts w:hint="eastAsia" w:ascii="宋体" w:hAnsi="宋体" w:cs="宋体"/>
                <w:color w:val="auto"/>
                <w:highlight w:val="none"/>
                <w:lang w:val="en-US" w:eastAsia="zh-CN"/>
              </w:rPr>
              <w:t>本项目废水进入新建污水处理站处理工艺可行性分析</w:t>
            </w:r>
          </w:p>
          <w:p>
            <w:pPr>
              <w:pStyle w:val="72"/>
              <w:ind w:firstLine="480"/>
              <w:rPr>
                <w:rFonts w:hint="default"/>
                <w:color w:val="auto"/>
                <w:highlight w:val="none"/>
                <w:lang w:val="en-US" w:eastAsia="zh-CN"/>
              </w:rPr>
            </w:pPr>
            <w:r>
              <w:rPr>
                <w:rFonts w:hint="eastAsia"/>
                <w:color w:val="auto"/>
                <w:highlight w:val="none"/>
                <w:lang w:val="en-US" w:eastAsia="zh-CN"/>
              </w:rPr>
              <w:t>本项目废水主要有超声清洗废水、超声探伤废水、水刀切割废水、喷淋除尘废水、车间清洗废水和循环冷却水系统排污水等，其中超声探伤废水、循环冷却水系统排污水水质简单，污染物浓度低，水刀切割废水、车间清洗废水和喷淋除尘废水主要污染物为悬浮物，超声清洗废水因为采用碱性有机清洗剂，主要污染物有COD、氨氮、总磷及石油类等。</w:t>
            </w:r>
            <w:r>
              <w:rPr>
                <w:rFonts w:hint="eastAsia" w:ascii="宋体" w:hAnsi="宋体" w:eastAsia="宋体" w:cs="宋体"/>
                <w:color w:val="auto"/>
                <w:kern w:val="0"/>
                <w:sz w:val="24"/>
                <w:szCs w:val="24"/>
                <w:highlight w:val="none"/>
                <w:lang w:val="en-US" w:eastAsia="zh-CN" w:bidi="ar"/>
              </w:rPr>
              <w:t>参考《排放源统计调查产排污核算方法和系数手册》机械行业产排污系数，含</w:t>
            </w:r>
            <w:r>
              <w:rPr>
                <w:rFonts w:hint="eastAsia" w:ascii="宋体" w:hAnsi="宋体" w:cs="宋体"/>
                <w:color w:val="auto"/>
                <w:kern w:val="0"/>
                <w:sz w:val="24"/>
                <w:szCs w:val="24"/>
                <w:highlight w:val="none"/>
                <w:lang w:val="en-US" w:eastAsia="zh-CN" w:bidi="ar"/>
              </w:rPr>
              <w:t>切削液</w:t>
            </w:r>
            <w:r>
              <w:rPr>
                <w:rFonts w:hint="eastAsia" w:ascii="宋体" w:hAnsi="宋体" w:eastAsia="宋体" w:cs="宋体"/>
                <w:color w:val="auto"/>
                <w:kern w:val="0"/>
                <w:sz w:val="24"/>
                <w:szCs w:val="24"/>
                <w:highlight w:val="none"/>
                <w:lang w:val="en-US" w:eastAsia="zh-CN" w:bidi="ar"/>
              </w:rPr>
              <w:t>的废水</w:t>
            </w:r>
            <w:r>
              <w:rPr>
                <w:rFonts w:hint="eastAsia"/>
                <w:color w:val="auto"/>
                <w:highlight w:val="none"/>
                <w:lang w:val="en-US" w:eastAsia="zh-CN"/>
              </w:rPr>
              <w:t>采用物理化学方法、化学混凝法对COD的处理效率在40%以上，对石油类去除率在50%以上，另外，本项目悬浮物主要来源于金属表面切割、除尘，悬浮物自重较重，采用沉淀法处理效率可达70%以上，磷酸盐采用化学沉淀等方法去除率约在80%—90%，根据表4.2.2的计算结果，本改建项目单位产品生产废水排放量为1.99t/t靶材，小于</w:t>
            </w:r>
            <w:r>
              <w:rPr>
                <w:rFonts w:hint="eastAsia"/>
                <w:color w:val="auto"/>
                <w:highlight w:val="none"/>
              </w:rPr>
              <w:t>《</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w:t>
            </w:r>
            <w:r>
              <w:rPr>
                <w:rFonts w:hint="eastAsia"/>
                <w:color w:val="auto"/>
                <w:highlight w:val="none"/>
                <w:lang w:val="en-US" w:eastAsia="zh-CN"/>
              </w:rPr>
              <w:t>要求的基准排放量，采用化学沉淀法处理后的本项目生产废水可达到</w:t>
            </w:r>
            <w:r>
              <w:rPr>
                <w:rFonts w:hint="eastAsia"/>
                <w:color w:val="auto"/>
                <w:highlight w:val="none"/>
              </w:rPr>
              <w:t>《</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）表</w:t>
            </w:r>
            <w:r>
              <w:rPr>
                <w:rFonts w:hint="eastAsia"/>
                <w:color w:val="auto"/>
                <w:highlight w:val="none"/>
                <w:lang w:val="en-US" w:eastAsia="zh-CN"/>
              </w:rPr>
              <w:t>1</w:t>
            </w:r>
            <w:r>
              <w:rPr>
                <w:rFonts w:hint="eastAsia"/>
                <w:color w:val="auto"/>
                <w:highlight w:val="none"/>
              </w:rPr>
              <w:t>中的</w:t>
            </w:r>
            <w:r>
              <w:rPr>
                <w:rFonts w:hint="eastAsia"/>
                <w:color w:val="auto"/>
                <w:highlight w:val="none"/>
                <w:lang w:val="en-US" w:eastAsia="zh-CN"/>
              </w:rPr>
              <w:t>间接</w:t>
            </w:r>
            <w:r>
              <w:rPr>
                <w:rFonts w:hint="eastAsia"/>
                <w:color w:val="auto"/>
                <w:highlight w:val="none"/>
              </w:rPr>
              <w:t>排放</w:t>
            </w:r>
            <w:r>
              <w:rPr>
                <w:rFonts w:hint="eastAsia"/>
                <w:color w:val="auto"/>
                <w:highlight w:val="none"/>
                <w:lang w:val="en-US" w:eastAsia="zh-CN"/>
              </w:rPr>
              <w:t>限值要求。</w:t>
            </w:r>
          </w:p>
          <w:p>
            <w:pPr>
              <w:pStyle w:val="72"/>
              <w:ind w:firstLine="480"/>
              <w:rPr>
                <w:rFonts w:hint="default"/>
                <w:color w:val="auto"/>
                <w:highlight w:val="none"/>
                <w:vertAlign w:val="baseline"/>
                <w:lang w:val="en-US" w:eastAsia="zh-CN"/>
              </w:rPr>
            </w:pPr>
            <w:r>
              <w:rPr>
                <w:rFonts w:hint="eastAsia"/>
                <w:color w:val="auto"/>
                <w:highlight w:val="none"/>
                <w:lang w:val="en-US" w:eastAsia="zh-CN"/>
              </w:rPr>
              <w:t>此外，由于本项目废水是间歇排放，为确保各类废水能够较好的匀质匀量，要求污水处理站调节池至少考虑同时接纳两种或两种以上的间歇排放废水，设计调节池容积不小于40m</w:t>
            </w:r>
            <w:r>
              <w:rPr>
                <w:rFonts w:hint="eastAsia"/>
                <w:color w:val="auto"/>
                <w:highlight w:val="none"/>
                <w:vertAlign w:val="superscript"/>
                <w:lang w:val="en-US" w:eastAsia="zh-CN"/>
              </w:rPr>
              <w:t>3</w:t>
            </w:r>
            <w:r>
              <w:rPr>
                <w:rFonts w:hint="eastAsia"/>
                <w:color w:val="auto"/>
                <w:highlight w:val="none"/>
                <w:vertAlign w:val="baseline"/>
                <w:lang w:val="en-US" w:eastAsia="zh-CN"/>
              </w:rPr>
              <w:t>。</w:t>
            </w:r>
          </w:p>
          <w:p>
            <w:pPr>
              <w:pStyle w:val="72"/>
              <w:ind w:firstLine="480"/>
              <w:rPr>
                <w:rFonts w:hint="default"/>
                <w:color w:val="auto"/>
                <w:highlight w:val="none"/>
                <w:lang w:val="en-US" w:eastAsia="zh-CN"/>
              </w:rPr>
            </w:pPr>
            <w:r>
              <w:rPr>
                <w:rFonts w:hint="eastAsia"/>
                <w:color w:val="auto"/>
                <w:highlight w:val="none"/>
                <w:lang w:val="en-US" w:eastAsia="zh-CN"/>
              </w:rPr>
              <w:t>由上述分析可见，本项目废水采用化学混凝处理的工艺可行。</w:t>
            </w:r>
          </w:p>
          <w:p>
            <w:pPr>
              <w:pStyle w:val="72"/>
              <w:ind w:firstLine="48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②三期地块生产废水进入新建污水处理站可行性分析</w:t>
            </w:r>
          </w:p>
          <w:p>
            <w:pPr>
              <w:pStyle w:val="72"/>
              <w:ind w:firstLine="480"/>
              <w:rPr>
                <w:rFonts w:hint="eastAsia"/>
                <w:color w:val="auto"/>
                <w:highlight w:val="none"/>
                <w:lang w:val="en-US" w:eastAsia="zh-CN"/>
              </w:rPr>
            </w:pPr>
            <w:r>
              <w:rPr>
                <w:rFonts w:hint="eastAsia"/>
                <w:color w:val="auto"/>
                <w:highlight w:val="none"/>
                <w:lang w:val="en-US" w:eastAsia="zh-CN"/>
              </w:rPr>
              <w:t>三期地块主要生产废水为车间清洗废水以及半导体用金属及合金靶材研发及产业化项目产生的超声探伤废水、有机废气水喷淋废水（含醇废水）等。根据已经批复的《半导体用金属及合金靶材研发及产业化项目环境影响报告表》，该项目原计划进入现有污水处理站处理。但因为本次工程实施后，拟对厂内污水管网进行重新规划，将该项目废水纳入新建污水处理站处理。</w:t>
            </w:r>
          </w:p>
          <w:p>
            <w:pPr>
              <w:pStyle w:val="72"/>
              <w:ind w:firstLine="480"/>
              <w:rPr>
                <w:rFonts w:hint="eastAsia"/>
                <w:color w:val="auto"/>
                <w:highlight w:val="none"/>
                <w:lang w:val="en-US" w:eastAsia="zh-CN"/>
              </w:rPr>
            </w:pPr>
            <w:r>
              <w:rPr>
                <w:rFonts w:hint="eastAsia"/>
                <w:color w:val="auto"/>
                <w:highlight w:val="none"/>
                <w:lang w:val="en-US" w:eastAsia="zh-CN"/>
              </w:rPr>
              <w:t>目前，半导体用金属及合金靶材研发及产业化项目尚在建设过程中。根据该项目环评，半导体用金属及合金靶材研发及产业化项目有机废气水喷淋废水（含醇废水）排放量小，仅约127.68t/a，COD浓度高达130000mg/L，该股废水拟先经厌氧消化预处理后，再通过加入其他生产废水混合稀释，降低后续处理负荷，通过采用缺氧、好氧、二沉池处理工艺进一步处理后确保达标排放，根据《半导体用金属及合金靶材研发及产业化项目环境影响报告表》，有机废气水喷淋废水（含醇废水）经厌氧预处理后，再与其他生产废水一起采用缺氧/好氧/二次沉淀的处理工艺，外排废水水质可以达到</w:t>
            </w:r>
            <w:r>
              <w:rPr>
                <w:rFonts w:hint="eastAsia"/>
                <w:color w:val="auto"/>
                <w:highlight w:val="none"/>
              </w:rPr>
              <w:t>《</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）表</w:t>
            </w:r>
            <w:r>
              <w:rPr>
                <w:rFonts w:hint="eastAsia"/>
                <w:color w:val="auto"/>
                <w:highlight w:val="none"/>
                <w:lang w:val="en-US" w:eastAsia="zh-CN"/>
              </w:rPr>
              <w:t>1间接排放标准。该工艺属于《电子工业水污染防治可行技术》（HJ1298-2023）有机废水处理技术推荐的可行技术。</w:t>
            </w:r>
          </w:p>
          <w:p>
            <w:pPr>
              <w:pStyle w:val="72"/>
              <w:ind w:firstLine="480"/>
              <w:rPr>
                <w:rFonts w:hint="eastAsia"/>
                <w:color w:val="auto"/>
                <w:highlight w:val="none"/>
                <w:lang w:val="en-US" w:eastAsia="zh-CN"/>
              </w:rPr>
            </w:pPr>
            <w:r>
              <w:rPr>
                <w:rFonts w:hint="eastAsia"/>
                <w:color w:val="auto"/>
                <w:highlight w:val="none"/>
                <w:lang w:val="en-US" w:eastAsia="zh-CN"/>
              </w:rPr>
              <w:t>为此，半导体用金属及合金靶材研发及产业化项目实施后，新建污水处理站将考虑半导体用金属及合金靶材研发及产业化项目有机废气水喷淋废水（含醇废水）的处理需求，沿用原环评论的处理工艺，废水处理站增加厌氧/缺氧/好氧生化处理工艺，具体工艺流程见图4.2-2。而三期地块半导体用金属及合金靶材研发及产业化项目未投产前，本迁改扩建项目及其他生产废水经混凝沉淀处理后直接排放。</w:t>
            </w:r>
          </w:p>
          <w:p>
            <w:pPr>
              <w:pStyle w:val="72"/>
              <w:ind w:left="0" w:leftChars="0" w:firstLine="0" w:firstLineChars="0"/>
              <w:rPr>
                <w:rFonts w:hint="eastAsia"/>
                <w:color w:val="auto"/>
                <w:highlight w:val="none"/>
                <w:lang w:val="en-US" w:eastAsia="zh-CN"/>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3241040</wp:posOffset>
                      </wp:positionH>
                      <wp:positionV relativeFrom="paragraph">
                        <wp:posOffset>1784350</wp:posOffset>
                      </wp:positionV>
                      <wp:extent cx="600075" cy="276225"/>
                      <wp:effectExtent l="6350" t="6350" r="22225" b="22225"/>
                      <wp:wrapNone/>
                      <wp:docPr id="58" name="流程图: 过程 58"/>
                      <wp:cNvGraphicFramePr/>
                      <a:graphic xmlns:a="http://schemas.openxmlformats.org/drawingml/2006/main">
                        <a:graphicData uri="http://schemas.microsoft.com/office/word/2010/wordprocessingShape">
                          <wps:wsp>
                            <wps:cNvSpPr/>
                            <wps:spPr>
                              <a:xfrm>
                                <a:off x="4424680" y="5860415"/>
                                <a:ext cx="600075" cy="276225"/>
                              </a:xfrm>
                              <a:prstGeom prst="flowChartProcess">
                                <a:avLst/>
                              </a:prstGeom>
                              <a:solidFill>
                                <a:schemeClr val="bg1"/>
                              </a:solidFill>
                              <a:ln w="12700" cmpd="sng">
                                <a:solidFill>
                                  <a:schemeClr val="tx1"/>
                                </a:solidFill>
                                <a:prstDash val="solid"/>
                              </a:ln>
                            </wps:spPr>
                            <wps:style>
                              <a:lnRef idx="3">
                                <a:schemeClr val="accent1"/>
                              </a:lnRef>
                              <a:fillRef idx="0">
                                <a:srgbClr val="FFFFFF"/>
                              </a:fillRef>
                              <a:effectRef idx="0">
                                <a:srgbClr val="FFFFFF"/>
                              </a:effectRef>
                              <a:fontRef idx="minor">
                                <a:schemeClr val="tx1"/>
                              </a:fontRef>
                            </wps:style>
                            <wps:txbx>
                              <w:txbxContent>
                                <w:p>
                                  <w:pPr>
                                    <w:jc w:val="center"/>
                                    <w:rPr>
                                      <w:rFonts w:hint="default" w:eastAsia="宋体"/>
                                      <w:lang w:val="en-US" w:eastAsia="zh-CN"/>
                                    </w:rPr>
                                  </w:pPr>
                                  <w:r>
                                    <w:rPr>
                                      <w:rFonts w:hint="eastAsia"/>
                                      <w:lang w:val="en-US" w:eastAsia="zh-CN"/>
                                    </w:rPr>
                                    <w:t>好氧池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5.2pt;margin-top:140.5pt;height:21.75pt;width:47.25pt;z-index:251664384;v-text-anchor:middle;mso-width-relative:page;mso-height-relative:page;" fillcolor="#FFFFFF [3212]" filled="t" stroked="t" coordsize="21600,21600" o:gfxdata="UEsDBAoAAAAAAIdO4kAAAAAAAAAAAAAAAAAEAAAAZHJzL1BLAwQUAAAACACHTuJAw/tOKNcAAAAL&#10;AQAADwAAAGRycy9kb3ducmV2LnhtbE2PwU6DQBCG7ya+w2ZMvBi7C1KsyNADSR/AtnqewghEdpaw&#10;21Lf3vWkx8l8+f/vL7dXO6oLz35wgpCsDCiWxrWDdAjHw+5xA8oHkpZGJ4zwzR621e1NSUXrFnnj&#10;yz50KoaILwihD2EqtPZNz5b8yk0s8ffpZkshnnOn25mWGG5HnRqTa0uDxIaeJq57br72Z4vwkHum&#10;zD8vtn5vds51djrUH4j3d4l5BRX4Gv5g+NWP6lBFp5M7S+vViLBOTBZRhHSTxFGRyE32AuqE8JRm&#10;a9BVqf9vqH4AUEsDBBQAAAAIAIdO4kAquxsxmgIAACMFAAAOAAAAZHJzL2Uyb0RvYy54bWytVEtu&#10;2zAQ3RfoHQjuG8mCP6kROTBsuCgQtAbSomuaoiwBFMmStOV011UXPUIv0At0256mn2P0kVISJ80i&#10;i2ohzWiGb2bezPDs/NBIshfW1VrldHCSUiIU10Wttjl9+2b17JQS55kqmNRK5PRKOHo+e/rkrDVT&#10;kelKy0JYAhDlpq3JaeW9mSaJ45VomDvRRigYS20b5qHabVJY1gK9kUmWpuOk1bYwVnPhHP4uOyPt&#10;Ee1jAHVZ1lwsNd81QvkO1QrJPEpyVW0cncVsy1Jw/7osnfBE5hSV+vhGEMib8E5mZ2y6tcxUNe9T&#10;YI9J4V5NDasVgt5ALZlnZGfrf6CamlvtdOlPuG6SrpDICKoYpPe4uayYEbEWUO3MDenu/8HyV/u1&#10;JXWR0xH6rliDjv/69vH3188/v3yfkj8/PkEksIGo1rgp/C/N2vaagxiqPpS2CV/UQw45HQ6z4fgU&#10;FF8F2HE6HIw6osXBEw6HcZqmkxElHA7ZZJxl0Z7cAhnr/AuhGxKEnJZSt4uKWb/u5iZSzfYXziMR&#10;HLt2Dzk4LetiVUsZFbvdLKQle4b+r+ITMsGRO25SkRa7kE1SJM0ZprrENEFsDJhxaksJk1usC/c2&#10;xr5z2h0HQWV4HgoSklwyV3XJRISOlab22ChZNzk9PT4tFTINpHc0B8kfNoee+40urtA6q7uZdoav&#10;akS4YM6vmcUQoxSsuX+NV+Avp7qXKKm0/fDQ/+CP2YKVkhZLgdrf75gVlMiXClP3fDAcAtZHZTia&#10;ZFDssWVzbFG7ZqHB+wAXiuFRDP5eXoul1c073AbzEBUmpjhidyz3ysJ3y4r7hIv5PLphcwzzF+rS&#10;8AAe+qz0fOd1Wcd5CER17PT8YXdiz/s9D8t5rEev27tt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D+04o1wAAAAsBAAAPAAAAAAAAAAEAIAAAACIAAABkcnMvZG93bnJldi54bWxQSwECFAAUAAAA&#10;CACHTuJAKrsbMZoCAAAjBQAADgAAAAAAAAABACAAAAAmAQAAZHJzL2Uyb0RvYy54bWxQSwUGAAAA&#10;AAYABgBZAQAAMgYAAAAA&#10;">
                      <v:fill on="t"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好氧池</w:t>
                            </w:r>
                          </w:p>
                        </w:txbxContent>
                      </v:textbox>
                    </v:shape>
                  </w:pict>
                </mc:Fallback>
              </mc:AlternateContent>
            </w:r>
            <w:r>
              <w:rPr>
                <w:color w:val="auto"/>
                <w:highlight w:val="none"/>
              </w:rPr>
              <w:drawing>
                <wp:inline distT="0" distB="0" distL="114300" distR="114300">
                  <wp:extent cx="5430520" cy="2250440"/>
                  <wp:effectExtent l="0" t="0" r="10160" b="508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9"/>
                          <a:stretch>
                            <a:fillRect/>
                          </a:stretch>
                        </pic:blipFill>
                        <pic:spPr>
                          <a:xfrm>
                            <a:off x="0" y="0"/>
                            <a:ext cx="5430520" cy="2250440"/>
                          </a:xfrm>
                          <a:prstGeom prst="rect">
                            <a:avLst/>
                          </a:prstGeom>
                          <a:noFill/>
                          <a:ln>
                            <a:noFill/>
                          </a:ln>
                        </pic:spPr>
                      </pic:pic>
                    </a:graphicData>
                  </a:graphic>
                </wp:inline>
              </w:drawing>
            </w:r>
          </w:p>
          <w:p>
            <w:pPr>
              <w:pStyle w:val="72"/>
              <w:ind w:firstLine="480"/>
              <w:rPr>
                <w:rFonts w:hint="eastAsia"/>
                <w:color w:val="auto"/>
                <w:highlight w:val="none"/>
                <w:lang w:val="en-US" w:eastAsia="zh-CN"/>
              </w:rPr>
            </w:pPr>
            <w:r>
              <w:rPr>
                <w:rFonts w:hint="eastAsia"/>
                <w:color w:val="auto"/>
                <w:highlight w:val="none"/>
              </w:rPr>
              <w:t>本项目外排</w:t>
            </w:r>
            <w:r>
              <w:rPr>
                <w:rFonts w:hint="eastAsia"/>
                <w:color w:val="auto"/>
                <w:highlight w:val="none"/>
                <w:lang w:val="en-US" w:eastAsia="zh-CN"/>
              </w:rPr>
              <w:t>生活污水</w:t>
            </w:r>
            <w:r>
              <w:rPr>
                <w:rFonts w:hint="eastAsia"/>
                <w:color w:val="auto"/>
                <w:highlight w:val="none"/>
              </w:rPr>
              <w:t>经</w:t>
            </w:r>
            <w:r>
              <w:rPr>
                <w:rFonts w:hint="eastAsia"/>
                <w:color w:val="auto"/>
                <w:highlight w:val="none"/>
                <w:lang w:val="en-US" w:eastAsia="zh-CN"/>
              </w:rPr>
              <w:t>隔油/</w:t>
            </w:r>
            <w:r>
              <w:rPr>
                <w:rFonts w:hint="eastAsia"/>
                <w:color w:val="auto"/>
                <w:highlight w:val="none"/>
              </w:rPr>
              <w:t>化粪池处理后可达到《污水综合排放标准》（GB8978-1996）表4中的三级排放标准，氨氮参照执行《污水排入城镇下水道水质标准》（GB/T31962-2015）表1中的B级标准</w:t>
            </w:r>
            <w:r>
              <w:rPr>
                <w:rFonts w:hint="eastAsia"/>
                <w:color w:val="auto"/>
                <w:highlight w:val="none"/>
                <w:lang w:val="en-US" w:eastAsia="zh-CN"/>
              </w:rPr>
              <w:t>要求。</w:t>
            </w:r>
          </w:p>
          <w:p>
            <w:pPr>
              <w:pStyle w:val="72"/>
              <w:ind w:firstLine="480"/>
              <w:rPr>
                <w:color w:val="auto"/>
                <w:highlight w:val="none"/>
              </w:rPr>
            </w:pPr>
            <w:r>
              <w:rPr>
                <w:rFonts w:hint="eastAsia"/>
                <w:color w:val="auto"/>
                <w:highlight w:val="none"/>
                <w:lang w:val="en-US" w:eastAsia="zh-CN"/>
              </w:rPr>
              <w:t>总体而言，本项目采用的废水处理措施</w:t>
            </w:r>
            <w:r>
              <w:rPr>
                <w:rFonts w:hint="eastAsia"/>
                <w:color w:val="auto"/>
                <w:highlight w:val="none"/>
              </w:rPr>
              <w:t>可行。</w:t>
            </w:r>
          </w:p>
          <w:p>
            <w:pPr>
              <w:pStyle w:val="72"/>
              <w:ind w:firstLine="482"/>
              <w:rPr>
                <w:b/>
                <w:bCs/>
                <w:color w:val="auto"/>
                <w:highlight w:val="none"/>
              </w:rPr>
            </w:pPr>
            <w:r>
              <w:rPr>
                <w:rFonts w:hint="eastAsia"/>
                <w:b/>
                <w:bCs/>
                <w:color w:val="auto"/>
                <w:highlight w:val="none"/>
              </w:rPr>
              <w:t>（3）水环境影响分析</w:t>
            </w:r>
          </w:p>
          <w:p>
            <w:pPr>
              <w:pStyle w:val="72"/>
              <w:ind w:firstLine="480"/>
              <w:rPr>
                <w:color w:val="auto"/>
                <w:highlight w:val="none"/>
              </w:rPr>
            </w:pPr>
            <w:r>
              <w:rPr>
                <w:rFonts w:hint="eastAsia"/>
                <w:color w:val="auto"/>
                <w:highlight w:val="none"/>
              </w:rPr>
              <w:t>对照《环境影响评价技术导则地表水环境》（HJ2.3-2018）中水污染型建设项目评价等级判定依据，确定本项目地表水评价等级为三级B。评价范围主要是项目纳入长乐区滨海工业集中区污水处理厂的可行性分析。</w:t>
            </w:r>
          </w:p>
          <w:p>
            <w:pPr>
              <w:pStyle w:val="72"/>
              <w:ind w:firstLine="480"/>
              <w:rPr>
                <w:color w:val="auto"/>
                <w:highlight w:val="none"/>
              </w:rPr>
            </w:pPr>
            <w:r>
              <w:rPr>
                <w:rFonts w:hint="eastAsia"/>
                <w:color w:val="auto"/>
                <w:highlight w:val="none"/>
              </w:rPr>
              <w:t>①废水水质、水量可行性分析</w:t>
            </w:r>
          </w:p>
          <w:p>
            <w:pPr>
              <w:pStyle w:val="72"/>
              <w:ind w:firstLine="480"/>
              <w:rPr>
                <w:color w:val="auto"/>
                <w:highlight w:val="none"/>
              </w:rPr>
            </w:pPr>
            <w:r>
              <w:rPr>
                <w:rFonts w:hint="eastAsia"/>
                <w:color w:val="auto"/>
                <w:highlight w:val="none"/>
              </w:rPr>
              <w:t>福州市长乐区滨海工业集中区污水处理厂</w:t>
            </w:r>
            <w:r>
              <w:rPr>
                <w:rFonts w:hint="eastAsia"/>
                <w:color w:val="auto"/>
                <w:highlight w:val="none"/>
                <w:lang w:val="en-US" w:eastAsia="zh-CN"/>
              </w:rPr>
              <w:t>已建处理</w:t>
            </w:r>
            <w:r>
              <w:rPr>
                <w:rFonts w:hint="eastAsia"/>
                <w:color w:val="auto"/>
                <w:highlight w:val="none"/>
              </w:rPr>
              <w:t>规模为</w:t>
            </w:r>
            <w:r>
              <w:rPr>
                <w:rFonts w:hint="eastAsia"/>
                <w:color w:val="auto"/>
                <w:highlight w:val="none"/>
                <w:lang w:val="en-US" w:eastAsia="zh-CN"/>
              </w:rPr>
              <w:t>9</w:t>
            </w:r>
            <w:r>
              <w:rPr>
                <w:rFonts w:hint="eastAsia"/>
                <w:color w:val="auto"/>
                <w:highlight w:val="none"/>
              </w:rPr>
              <w:t>万m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由于入厂污水量不足，</w:t>
            </w:r>
            <w:r>
              <w:rPr>
                <w:rFonts w:hint="eastAsia"/>
                <w:color w:val="auto"/>
                <w:highlight w:val="none"/>
              </w:rPr>
              <w:t>现状处理规模</w:t>
            </w:r>
            <w:r>
              <w:rPr>
                <w:rFonts w:hint="eastAsia"/>
                <w:color w:val="auto"/>
                <w:highlight w:val="none"/>
                <w:lang w:val="en-US" w:eastAsia="zh-CN"/>
              </w:rPr>
              <w:t>约</w:t>
            </w:r>
            <w:r>
              <w:rPr>
                <w:rFonts w:hint="eastAsia"/>
                <w:color w:val="auto"/>
                <w:highlight w:val="none"/>
              </w:rPr>
              <w:t>为</w:t>
            </w:r>
            <w:r>
              <w:rPr>
                <w:rFonts w:hint="eastAsia"/>
                <w:color w:val="auto"/>
                <w:highlight w:val="none"/>
                <w:lang w:val="en-US" w:eastAsia="zh-CN"/>
              </w:rPr>
              <w:t>6万</w:t>
            </w:r>
            <w:r>
              <w:rPr>
                <w:rFonts w:hint="eastAsia"/>
                <w:color w:val="auto"/>
                <w:highlight w:val="none"/>
              </w:rPr>
              <w:t>m</w:t>
            </w:r>
            <w:r>
              <w:rPr>
                <w:rFonts w:hint="eastAsia"/>
                <w:color w:val="auto"/>
                <w:highlight w:val="none"/>
                <w:vertAlign w:val="superscript"/>
              </w:rPr>
              <w:t>3</w:t>
            </w:r>
            <w:r>
              <w:rPr>
                <w:rFonts w:hint="eastAsia"/>
                <w:color w:val="auto"/>
                <w:highlight w:val="none"/>
              </w:rPr>
              <w:t>/d，剩余处理能力</w:t>
            </w:r>
            <w:r>
              <w:rPr>
                <w:rFonts w:hint="eastAsia"/>
                <w:color w:val="auto"/>
                <w:highlight w:val="none"/>
                <w:lang w:val="en-US" w:eastAsia="zh-CN"/>
              </w:rPr>
              <w:t>3万</w:t>
            </w:r>
            <w:r>
              <w:rPr>
                <w:rFonts w:hint="eastAsia"/>
                <w:color w:val="auto"/>
                <w:highlight w:val="none"/>
              </w:rPr>
              <w:t>m</w:t>
            </w:r>
            <w:r>
              <w:rPr>
                <w:rFonts w:hint="eastAsia"/>
                <w:color w:val="auto"/>
                <w:highlight w:val="none"/>
                <w:vertAlign w:val="superscript"/>
              </w:rPr>
              <w:t>3</w:t>
            </w:r>
            <w:r>
              <w:rPr>
                <w:rFonts w:hint="eastAsia"/>
                <w:color w:val="auto"/>
                <w:highlight w:val="none"/>
              </w:rPr>
              <w:t>/d。本项目</w:t>
            </w:r>
            <w:r>
              <w:rPr>
                <w:rFonts w:hint="eastAsia"/>
                <w:color w:val="auto"/>
                <w:highlight w:val="none"/>
                <w:lang w:val="en-US" w:eastAsia="zh-CN"/>
              </w:rPr>
              <w:t>投产后</w:t>
            </w:r>
            <w:r>
              <w:rPr>
                <w:rFonts w:hint="eastAsia"/>
                <w:color w:val="auto"/>
                <w:highlight w:val="none"/>
              </w:rPr>
              <w:t>新增</w:t>
            </w:r>
            <w:r>
              <w:rPr>
                <w:rFonts w:hint="eastAsia"/>
                <w:color w:val="auto"/>
                <w:highlight w:val="none"/>
                <w:lang w:val="en-US" w:eastAsia="zh-CN"/>
              </w:rPr>
              <w:t>生产废水、生活污水</w:t>
            </w:r>
            <w:r>
              <w:rPr>
                <w:rFonts w:hint="eastAsia"/>
                <w:color w:val="auto"/>
                <w:highlight w:val="none"/>
              </w:rPr>
              <w:t>排放量</w:t>
            </w:r>
            <w:r>
              <w:rPr>
                <w:rFonts w:hint="eastAsia"/>
                <w:color w:val="auto"/>
                <w:highlight w:val="none"/>
                <w:lang w:val="en-US" w:eastAsia="zh-CN"/>
              </w:rPr>
              <w:t>3684</w:t>
            </w:r>
            <w:r>
              <w:rPr>
                <w:rFonts w:hint="eastAsia"/>
                <w:color w:val="auto"/>
                <w:highlight w:val="none"/>
              </w:rPr>
              <w:t>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a，即12.28</w:t>
            </w:r>
            <w:r>
              <w:rPr>
                <w:rFonts w:hint="eastAsia"/>
                <w:color w:val="auto"/>
                <w:highlight w:val="none"/>
              </w:rPr>
              <w:t>m</w:t>
            </w:r>
            <w:r>
              <w:rPr>
                <w:rFonts w:hint="eastAsia"/>
                <w:color w:val="auto"/>
                <w:highlight w:val="none"/>
                <w:vertAlign w:val="superscript"/>
              </w:rPr>
              <w:t>3</w:t>
            </w:r>
            <w:r>
              <w:rPr>
                <w:rFonts w:hint="eastAsia"/>
                <w:color w:val="auto"/>
                <w:highlight w:val="none"/>
              </w:rPr>
              <w:t>/d，占</w:t>
            </w:r>
            <w:r>
              <w:rPr>
                <w:rFonts w:hint="eastAsia"/>
                <w:color w:val="auto"/>
                <w:highlight w:val="none"/>
                <w:lang w:eastAsia="zh-CN"/>
              </w:rPr>
              <w:t>污水处理厂</w:t>
            </w:r>
            <w:r>
              <w:rPr>
                <w:rFonts w:hint="eastAsia"/>
                <w:color w:val="auto"/>
                <w:highlight w:val="none"/>
              </w:rPr>
              <w:t>处理剩余规模的</w:t>
            </w:r>
            <w:r>
              <w:rPr>
                <w:rFonts w:hint="eastAsia"/>
                <w:color w:val="auto"/>
                <w:highlight w:val="none"/>
                <w:lang w:val="en-US" w:eastAsia="zh-CN"/>
              </w:rPr>
              <w:t>0.041%</w:t>
            </w:r>
            <w:r>
              <w:rPr>
                <w:rFonts w:hint="eastAsia"/>
                <w:color w:val="auto"/>
                <w:highlight w:val="none"/>
              </w:rPr>
              <w:t>。本项目外排的污水为生活污水和生产废水，生活污水中所含的污染因子浓度低，污染物成分简单，不含有腐蚀成分</w:t>
            </w:r>
            <w:r>
              <w:rPr>
                <w:rStyle w:val="73"/>
                <w:rFonts w:hint="eastAsia" w:ascii="Calibri" w:hAnsi="Calibri"/>
                <w:color w:val="auto"/>
                <w:kern w:val="0"/>
                <w:szCs w:val="20"/>
                <w:highlight w:val="none"/>
              </w:rPr>
              <w:t>，满足</w:t>
            </w:r>
            <w:r>
              <w:rPr>
                <w:rFonts w:hint="eastAsia"/>
                <w:color w:val="auto"/>
                <w:highlight w:val="none"/>
              </w:rPr>
              <w:t>《污水综合排放标准》（GB8978-1996）表4中的三级排放标准，氨氮参照执行《污水排入城镇下水道水质标准》（GB/T31962-2015）表1中的B级标准</w:t>
            </w:r>
            <w:r>
              <w:rPr>
                <w:rStyle w:val="73"/>
                <w:rFonts w:hint="eastAsia" w:ascii="Calibri" w:hAnsi="Calibri"/>
                <w:color w:val="auto"/>
                <w:kern w:val="0"/>
                <w:szCs w:val="20"/>
                <w:highlight w:val="none"/>
              </w:rPr>
              <w:t>。生产废水中所</w:t>
            </w:r>
            <w:r>
              <w:rPr>
                <w:rStyle w:val="73"/>
                <w:rFonts w:hint="eastAsia"/>
                <w:color w:val="auto"/>
                <w:highlight w:val="none"/>
              </w:rPr>
              <w:t>含的污染因子为COD、SS</w:t>
            </w:r>
            <w:r>
              <w:rPr>
                <w:rStyle w:val="73"/>
                <w:rFonts w:hint="eastAsia"/>
                <w:color w:val="auto"/>
                <w:highlight w:val="none"/>
                <w:lang w:eastAsia="zh-CN"/>
              </w:rPr>
              <w:t>、</w:t>
            </w:r>
            <w:r>
              <w:rPr>
                <w:rStyle w:val="73"/>
                <w:rFonts w:hint="eastAsia"/>
                <w:color w:val="auto"/>
                <w:highlight w:val="none"/>
                <w:lang w:val="en-US" w:eastAsia="zh-CN"/>
              </w:rPr>
              <w:t>氨氮、总磷</w:t>
            </w:r>
            <w:r>
              <w:rPr>
                <w:rStyle w:val="73"/>
                <w:rFonts w:hint="eastAsia"/>
                <w:color w:val="auto"/>
                <w:highlight w:val="none"/>
              </w:rPr>
              <w:t>和石油类，</w:t>
            </w:r>
            <w:r>
              <w:rPr>
                <w:rStyle w:val="73"/>
                <w:rFonts w:hint="eastAsia"/>
                <w:color w:val="auto"/>
                <w:highlight w:val="none"/>
                <w:lang w:val="en-US" w:eastAsia="zh-CN"/>
              </w:rPr>
              <w:t>经厂内预处理后可</w:t>
            </w:r>
            <w:r>
              <w:rPr>
                <w:rFonts w:hint="eastAsia"/>
                <w:color w:val="auto"/>
                <w:highlight w:val="none"/>
              </w:rPr>
              <w:t>满足《</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）表</w:t>
            </w:r>
            <w:r>
              <w:rPr>
                <w:rFonts w:hint="eastAsia"/>
                <w:color w:val="auto"/>
                <w:highlight w:val="none"/>
                <w:lang w:val="en-US" w:eastAsia="zh-CN"/>
              </w:rPr>
              <w:t>1</w:t>
            </w:r>
            <w:r>
              <w:rPr>
                <w:rFonts w:hint="eastAsia"/>
                <w:color w:val="auto"/>
                <w:highlight w:val="none"/>
              </w:rPr>
              <w:t>中的</w:t>
            </w:r>
            <w:r>
              <w:rPr>
                <w:rFonts w:hint="eastAsia"/>
                <w:color w:val="auto"/>
                <w:highlight w:val="none"/>
                <w:lang w:val="en-US" w:eastAsia="zh-CN"/>
              </w:rPr>
              <w:t>间接</w:t>
            </w:r>
            <w:r>
              <w:rPr>
                <w:rFonts w:hint="eastAsia"/>
                <w:color w:val="auto"/>
                <w:highlight w:val="none"/>
              </w:rPr>
              <w:t>排放</w:t>
            </w:r>
            <w:r>
              <w:rPr>
                <w:rFonts w:hint="eastAsia"/>
                <w:color w:val="auto"/>
                <w:highlight w:val="none"/>
                <w:lang w:val="en-US" w:eastAsia="zh-CN"/>
              </w:rPr>
              <w:t>限值</w:t>
            </w:r>
            <w:r>
              <w:rPr>
                <w:rFonts w:hint="eastAsia"/>
                <w:color w:val="auto"/>
                <w:highlight w:val="none"/>
              </w:rPr>
              <w:t>。项目新增外排的污水量较少，滨海工业集中区污水处理厂有足够的余量处理本项目外排生活污水和生产废水。因此，从水质、水量分析，本项目排放的废水不会对滨海工业集中区污水处理厂造成明显的负荷冲击。</w:t>
            </w:r>
          </w:p>
          <w:p>
            <w:pPr>
              <w:pStyle w:val="72"/>
              <w:ind w:firstLine="480"/>
              <w:rPr>
                <w:color w:val="auto"/>
                <w:highlight w:val="none"/>
              </w:rPr>
            </w:pPr>
            <w:r>
              <w:rPr>
                <w:rFonts w:hint="eastAsia"/>
                <w:color w:val="auto"/>
                <w:highlight w:val="none"/>
              </w:rPr>
              <w:t>②项目污水接管的可行性分析</w:t>
            </w:r>
          </w:p>
          <w:p>
            <w:pPr>
              <w:pStyle w:val="72"/>
              <w:ind w:firstLine="480"/>
              <w:rPr>
                <w:color w:val="auto"/>
                <w:highlight w:val="none"/>
              </w:rPr>
            </w:pPr>
            <w:r>
              <w:rPr>
                <w:rFonts w:hint="eastAsia"/>
                <w:color w:val="auto"/>
                <w:highlight w:val="none"/>
              </w:rPr>
              <w:t>根据调查，本项目南侧漳湖路的市政污水管网已经建设并投入使用，因此，本项目的污水可以顺利接入市政污水管网纳入长乐区滨海工业集中区污水处理厂统一处理后达标排放，基本不会对周边环境造成影响。因此，本项目新增废水处理后接入市政污水管网排入滨海工业集中区污水处理厂处理是可行的。</w:t>
            </w:r>
          </w:p>
          <w:p>
            <w:pPr>
              <w:pStyle w:val="72"/>
              <w:ind w:firstLine="480"/>
              <w:rPr>
                <w:color w:val="auto"/>
                <w:highlight w:val="none"/>
              </w:rPr>
            </w:pPr>
            <w:r>
              <w:rPr>
                <w:rFonts w:hint="eastAsia"/>
                <w:color w:val="auto"/>
                <w:highlight w:val="none"/>
              </w:rPr>
              <w:t>③监测计划</w:t>
            </w:r>
          </w:p>
          <w:p>
            <w:pPr>
              <w:pStyle w:val="72"/>
              <w:ind w:firstLine="480"/>
              <w:rPr>
                <w:rFonts w:hint="eastAsia"/>
                <w:color w:val="auto"/>
                <w:highlight w:val="none"/>
              </w:rPr>
            </w:pPr>
            <w:r>
              <w:rPr>
                <w:rFonts w:hint="eastAsia"/>
                <w:color w:val="auto"/>
                <w:highlight w:val="none"/>
              </w:rPr>
              <w:t>根据《排污单位自行监测技术指南电子工业》（HJ1253-2022），废水监测计划见表4.</w:t>
            </w:r>
            <w:r>
              <w:rPr>
                <w:rFonts w:hint="eastAsia"/>
                <w:color w:val="auto"/>
                <w:highlight w:val="none"/>
                <w:lang w:val="en-US" w:eastAsia="zh-CN"/>
              </w:rPr>
              <w:t>2</w:t>
            </w:r>
            <w:r>
              <w:rPr>
                <w:rFonts w:hint="eastAsia"/>
                <w:color w:val="auto"/>
                <w:highlight w:val="none"/>
              </w:rPr>
              <w:t>.5。</w:t>
            </w:r>
          </w:p>
          <w:p>
            <w:pPr>
              <w:pStyle w:val="68"/>
              <w:rPr>
                <w:color w:val="auto"/>
                <w:highlight w:val="none"/>
              </w:rPr>
            </w:pPr>
            <w:r>
              <w:rPr>
                <w:rFonts w:hint="eastAsia"/>
                <w:color w:val="auto"/>
                <w:highlight w:val="none"/>
              </w:rPr>
              <w:t>表4.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5</w:t>
            </w:r>
            <w:r>
              <w:rPr>
                <w:rFonts w:hint="eastAsia"/>
                <w:color w:val="auto"/>
                <w:highlight w:val="none"/>
              </w:rPr>
              <w:t>废水监测计划内容一览表</w:t>
            </w:r>
          </w:p>
          <w:tbl>
            <w:tblPr>
              <w:tblStyle w:val="29"/>
              <w:tblW w:w="8518"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621"/>
              <w:gridCol w:w="1125"/>
              <w:gridCol w:w="4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4" w:hRule="atLeast"/>
              </w:trPr>
              <w:tc>
                <w:tcPr>
                  <w:tcW w:w="117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监测点位</w:t>
                  </w:r>
                </w:p>
              </w:tc>
              <w:tc>
                <w:tcPr>
                  <w:tcW w:w="162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监测指标</w:t>
                  </w:r>
                </w:p>
              </w:tc>
              <w:tc>
                <w:tcPr>
                  <w:tcW w:w="112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监测频次</w:t>
                  </w:r>
                </w:p>
              </w:tc>
              <w:tc>
                <w:tcPr>
                  <w:tcW w:w="459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7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生产废水排放口DW002</w:t>
                  </w:r>
                </w:p>
              </w:tc>
              <w:tc>
                <w:tcPr>
                  <w:tcW w:w="162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rPr>
                    <w:t>流量、pH、COD、SS、</w:t>
                  </w:r>
                  <w:r>
                    <w:rPr>
                      <w:rFonts w:hint="eastAsia"/>
                      <w:b w:val="0"/>
                      <w:color w:val="auto"/>
                      <w:highlight w:val="none"/>
                      <w:lang w:val="en-US" w:eastAsia="zh-CN"/>
                    </w:rPr>
                    <w:t>石油类、总氮、总磷、氨氮</w:t>
                  </w:r>
                </w:p>
              </w:tc>
              <w:tc>
                <w:tcPr>
                  <w:tcW w:w="112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1次/年</w:t>
                  </w:r>
                </w:p>
              </w:tc>
              <w:tc>
                <w:tcPr>
                  <w:tcW w:w="459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highlight w:val="none"/>
                    </w:rPr>
                    <w:t>《</w:t>
                  </w:r>
                  <w:r>
                    <w:rPr>
                      <w:rFonts w:hint="eastAsia"/>
                      <w:b w:val="0"/>
                      <w:color w:val="auto"/>
                      <w:highlight w:val="none"/>
                      <w:lang w:val="en-US" w:eastAsia="zh-CN"/>
                    </w:rPr>
                    <w:t>电子工业水污染物排放标准</w:t>
                  </w:r>
                  <w:r>
                    <w:rPr>
                      <w:rFonts w:hint="eastAsia"/>
                      <w:b w:val="0"/>
                      <w:color w:val="auto"/>
                      <w:highlight w:val="none"/>
                    </w:rPr>
                    <w:t>》（GB</w:t>
                  </w:r>
                  <w:r>
                    <w:rPr>
                      <w:rFonts w:hint="eastAsia"/>
                      <w:b w:val="0"/>
                      <w:color w:val="auto"/>
                      <w:highlight w:val="none"/>
                      <w:lang w:val="en-US" w:eastAsia="zh-CN"/>
                    </w:rPr>
                    <w:t>39731</w:t>
                  </w:r>
                  <w:r>
                    <w:rPr>
                      <w:rFonts w:hint="eastAsia"/>
                      <w:b w:val="0"/>
                      <w:color w:val="auto"/>
                      <w:highlight w:val="none"/>
                    </w:rPr>
                    <w:t>-</w:t>
                  </w:r>
                  <w:r>
                    <w:rPr>
                      <w:rFonts w:hint="eastAsia"/>
                      <w:b w:val="0"/>
                      <w:color w:val="auto"/>
                      <w:highlight w:val="none"/>
                      <w:lang w:val="en-US" w:eastAsia="zh-CN"/>
                    </w:rPr>
                    <w:t>2020</w:t>
                  </w:r>
                  <w:r>
                    <w:rPr>
                      <w:rFonts w:hint="eastAsia"/>
                      <w:b w:val="0"/>
                      <w:color w:val="auto"/>
                      <w:highlight w:val="none"/>
                    </w:rPr>
                    <w:t>）表</w:t>
                  </w:r>
                  <w:r>
                    <w:rPr>
                      <w:rFonts w:hint="eastAsia"/>
                      <w:b w:val="0"/>
                      <w:color w:val="auto"/>
                      <w:highlight w:val="none"/>
                      <w:lang w:val="en-US" w:eastAsia="zh-CN"/>
                    </w:rPr>
                    <w:t>1</w:t>
                  </w:r>
                  <w:r>
                    <w:rPr>
                      <w:rFonts w:hint="eastAsia"/>
                      <w:b w:val="0"/>
                      <w:color w:val="auto"/>
                      <w:highlight w:val="none"/>
                    </w:rPr>
                    <w:t>中的</w:t>
                  </w:r>
                  <w:r>
                    <w:rPr>
                      <w:rFonts w:hint="eastAsia"/>
                      <w:b w:val="0"/>
                      <w:color w:val="auto"/>
                      <w:highlight w:val="none"/>
                      <w:lang w:val="en-US" w:eastAsia="zh-CN"/>
                    </w:rPr>
                    <w:t>间接</w:t>
                  </w:r>
                  <w:r>
                    <w:rPr>
                      <w:rFonts w:hint="eastAsia"/>
                      <w:b w:val="0"/>
                      <w:color w:val="auto"/>
                      <w:highlight w:val="none"/>
                    </w:rPr>
                    <w:t>排放</w:t>
                  </w:r>
                  <w:r>
                    <w:rPr>
                      <w:rFonts w:hint="eastAsia"/>
                      <w:b w:val="0"/>
                      <w:color w:val="auto"/>
                      <w:highlight w:val="none"/>
                      <w:lang w:val="en-US" w:eastAsia="zh-CN"/>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7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生产废水排放口DW001</w:t>
                  </w:r>
                </w:p>
              </w:tc>
              <w:tc>
                <w:tcPr>
                  <w:tcW w:w="162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流量、pH、COD、SS、</w:t>
                  </w:r>
                  <w:r>
                    <w:rPr>
                      <w:rFonts w:hint="eastAsia"/>
                      <w:b w:val="0"/>
                      <w:color w:val="auto"/>
                      <w:highlight w:val="none"/>
                      <w:lang w:val="en-US" w:eastAsia="zh-CN"/>
                    </w:rPr>
                    <w:t>石油类</w:t>
                  </w:r>
                </w:p>
              </w:tc>
              <w:tc>
                <w:tcPr>
                  <w:tcW w:w="112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1次/年</w:t>
                  </w:r>
                </w:p>
              </w:tc>
              <w:tc>
                <w:tcPr>
                  <w:tcW w:w="459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w:t>
                  </w:r>
                  <w:r>
                    <w:rPr>
                      <w:rFonts w:hint="eastAsia"/>
                      <w:b w:val="0"/>
                      <w:color w:val="auto"/>
                      <w:highlight w:val="none"/>
                      <w:lang w:val="en-US" w:eastAsia="zh-CN"/>
                    </w:rPr>
                    <w:t>电子工业水污染物排放标准</w:t>
                  </w:r>
                  <w:r>
                    <w:rPr>
                      <w:rFonts w:hint="eastAsia"/>
                      <w:b w:val="0"/>
                      <w:color w:val="auto"/>
                      <w:highlight w:val="none"/>
                    </w:rPr>
                    <w:t>》（GB</w:t>
                  </w:r>
                  <w:r>
                    <w:rPr>
                      <w:rFonts w:hint="eastAsia"/>
                      <w:b w:val="0"/>
                      <w:color w:val="auto"/>
                      <w:highlight w:val="none"/>
                      <w:lang w:val="en-US" w:eastAsia="zh-CN"/>
                    </w:rPr>
                    <w:t>39731</w:t>
                  </w:r>
                  <w:r>
                    <w:rPr>
                      <w:rFonts w:hint="eastAsia"/>
                      <w:b w:val="0"/>
                      <w:color w:val="auto"/>
                      <w:highlight w:val="none"/>
                    </w:rPr>
                    <w:t>-</w:t>
                  </w:r>
                  <w:r>
                    <w:rPr>
                      <w:rFonts w:hint="eastAsia"/>
                      <w:b w:val="0"/>
                      <w:color w:val="auto"/>
                      <w:highlight w:val="none"/>
                      <w:lang w:val="en-US" w:eastAsia="zh-CN"/>
                    </w:rPr>
                    <w:t>2020</w:t>
                  </w:r>
                  <w:r>
                    <w:rPr>
                      <w:rFonts w:hint="eastAsia"/>
                      <w:b w:val="0"/>
                      <w:color w:val="auto"/>
                      <w:highlight w:val="none"/>
                    </w:rPr>
                    <w:t>）表</w:t>
                  </w:r>
                  <w:r>
                    <w:rPr>
                      <w:rFonts w:hint="eastAsia"/>
                      <w:b w:val="0"/>
                      <w:color w:val="auto"/>
                      <w:highlight w:val="none"/>
                      <w:lang w:val="en-US" w:eastAsia="zh-CN"/>
                    </w:rPr>
                    <w:t>1</w:t>
                  </w:r>
                  <w:r>
                    <w:rPr>
                      <w:rFonts w:hint="eastAsia"/>
                      <w:b w:val="0"/>
                      <w:color w:val="auto"/>
                      <w:highlight w:val="none"/>
                    </w:rPr>
                    <w:t>中的</w:t>
                  </w:r>
                  <w:r>
                    <w:rPr>
                      <w:rFonts w:hint="eastAsia"/>
                      <w:b w:val="0"/>
                      <w:color w:val="auto"/>
                      <w:highlight w:val="none"/>
                      <w:lang w:val="en-US" w:eastAsia="zh-CN"/>
                    </w:rPr>
                    <w:t>间接</w:t>
                  </w:r>
                  <w:r>
                    <w:rPr>
                      <w:rFonts w:hint="eastAsia"/>
                      <w:b w:val="0"/>
                      <w:color w:val="auto"/>
                      <w:highlight w:val="none"/>
                    </w:rPr>
                    <w:t>排放</w:t>
                  </w:r>
                  <w:r>
                    <w:rPr>
                      <w:rFonts w:hint="eastAsia"/>
                      <w:b w:val="0"/>
                      <w:color w:val="auto"/>
                      <w:highlight w:val="none"/>
                      <w:lang w:val="en-US" w:eastAsia="zh-CN"/>
                    </w:rPr>
                    <w:t>限值</w:t>
                  </w:r>
                </w:p>
              </w:tc>
            </w:tr>
          </w:tbl>
          <w:p>
            <w:pPr>
              <w:pStyle w:val="68"/>
              <w:rPr>
                <w:color w:val="auto"/>
                <w:highlight w:val="none"/>
              </w:rPr>
            </w:pPr>
          </w:p>
          <w:p>
            <w:pPr>
              <w:pStyle w:val="72"/>
              <w:ind w:firstLine="0" w:firstLineChars="0"/>
              <w:rPr>
                <w:b/>
                <w:bCs/>
                <w:color w:val="auto"/>
                <w:highlight w:val="none"/>
              </w:rPr>
            </w:pPr>
            <w:r>
              <w:rPr>
                <w:rFonts w:hint="eastAsia"/>
                <w:b/>
                <w:bCs/>
                <w:color w:val="auto"/>
                <w:highlight w:val="none"/>
                <w:lang w:val="en-US" w:eastAsia="zh-CN"/>
              </w:rPr>
              <w:t>4.3</w:t>
            </w:r>
            <w:r>
              <w:rPr>
                <w:rFonts w:hint="eastAsia"/>
                <w:b/>
                <w:bCs/>
                <w:color w:val="auto"/>
                <w:highlight w:val="none"/>
              </w:rPr>
              <w:t>废气</w:t>
            </w:r>
          </w:p>
          <w:p>
            <w:pPr>
              <w:pStyle w:val="72"/>
              <w:ind w:firstLine="482"/>
              <w:rPr>
                <w:b/>
                <w:bCs/>
                <w:color w:val="auto"/>
                <w:highlight w:val="none"/>
              </w:rPr>
            </w:pPr>
            <w:r>
              <w:rPr>
                <w:rFonts w:hint="eastAsia"/>
                <w:b/>
                <w:bCs/>
                <w:color w:val="auto"/>
                <w:highlight w:val="none"/>
              </w:rPr>
              <w:t>（1）废气源强及环保措施</w:t>
            </w:r>
          </w:p>
          <w:p>
            <w:pPr>
              <w:pStyle w:val="72"/>
              <w:ind w:firstLine="480"/>
              <w:rPr>
                <w:rFonts w:hint="eastAsia" w:ascii="Times New Roman" w:hAnsi="Times New Roman" w:eastAsia="宋体" w:cs="Times New Roman"/>
                <w:color w:val="auto"/>
                <w:szCs w:val="22"/>
                <w:highlight w:val="none"/>
              </w:rPr>
            </w:pPr>
            <w:r>
              <w:rPr>
                <w:rFonts w:hint="eastAsia" w:ascii="Times New Roman" w:hAnsi="Times New Roman" w:eastAsia="宋体" w:cs="Times New Roman"/>
                <w:color w:val="auto"/>
                <w:szCs w:val="22"/>
                <w:highlight w:val="none"/>
                <w:lang w:val="en-US" w:eastAsia="zh-CN"/>
              </w:rPr>
              <w:t>项目切割采用水刀切割，机加工过程加入切削液，金属粉尘</w:t>
            </w:r>
            <w:r>
              <w:rPr>
                <w:rFonts w:hint="eastAsia" w:cs="Times New Roman"/>
                <w:color w:val="auto"/>
                <w:szCs w:val="22"/>
                <w:highlight w:val="none"/>
                <w:lang w:val="en-US" w:eastAsia="zh-CN"/>
              </w:rPr>
              <w:t>基本</w:t>
            </w:r>
            <w:r>
              <w:rPr>
                <w:rFonts w:hint="eastAsia" w:ascii="Times New Roman" w:hAnsi="Times New Roman" w:eastAsia="宋体" w:cs="Times New Roman"/>
                <w:color w:val="auto"/>
                <w:szCs w:val="22"/>
                <w:highlight w:val="none"/>
                <w:lang w:val="en-US" w:eastAsia="zh-CN"/>
              </w:rPr>
              <w:t>截留在切削液或水中，切割、机加工过程基本不产生粉尘。</w:t>
            </w:r>
          </w:p>
          <w:p>
            <w:pPr>
              <w:pStyle w:val="72"/>
              <w:ind w:firstLine="480"/>
              <w:rPr>
                <w:color w:val="auto"/>
                <w:szCs w:val="22"/>
                <w:highlight w:val="none"/>
              </w:rPr>
            </w:pPr>
            <w:r>
              <w:rPr>
                <w:rFonts w:hint="eastAsia" w:ascii="Times New Roman" w:hAnsi="Times New Roman" w:eastAsia="宋体" w:cs="Times New Roman"/>
                <w:color w:val="auto"/>
                <w:szCs w:val="22"/>
                <w:highlight w:val="none"/>
              </w:rPr>
              <w:t>项目产生的废气主要有</w:t>
            </w:r>
            <w:r>
              <w:rPr>
                <w:rFonts w:hint="eastAsia"/>
                <w:color w:val="auto"/>
                <w:szCs w:val="22"/>
                <w:highlight w:val="none"/>
                <w:lang w:val="en-US" w:eastAsia="zh-CN"/>
              </w:rPr>
              <w:t>喷砂废气、抛光废气，主要污染物为粉尘（颗粒物），另外，靶材清洁过程采用酒精擦拭，过程会有少量</w:t>
            </w:r>
            <w:r>
              <w:rPr>
                <w:rFonts w:hint="eastAsia"/>
                <w:color w:val="auto"/>
                <w:szCs w:val="22"/>
                <w:highlight w:val="none"/>
              </w:rPr>
              <w:t>有机废气</w:t>
            </w:r>
            <w:r>
              <w:rPr>
                <w:rFonts w:hint="eastAsia"/>
                <w:color w:val="auto"/>
                <w:szCs w:val="22"/>
                <w:highlight w:val="none"/>
                <w:lang w:val="en-US" w:eastAsia="zh-CN"/>
              </w:rPr>
              <w:t>无组织挥发</w:t>
            </w:r>
            <w:r>
              <w:rPr>
                <w:color w:val="auto"/>
                <w:szCs w:val="22"/>
                <w:highlight w:val="none"/>
              </w:rPr>
              <w:t>。</w:t>
            </w:r>
          </w:p>
          <w:p>
            <w:pPr>
              <w:pStyle w:val="72"/>
              <w:ind w:firstLine="480"/>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color w:val="auto"/>
                <w:szCs w:val="22"/>
                <w:highlight w:val="none"/>
                <w:lang w:val="en-US" w:eastAsia="zh-CN"/>
              </w:rPr>
              <w:t>①喷砂废气</w:t>
            </w:r>
          </w:p>
          <w:p>
            <w:pPr>
              <w:pStyle w:val="72"/>
              <w:ind w:firstLine="480"/>
              <w:rPr>
                <w:rFonts w:hint="eastAsia" w:ascii="宋体" w:hAnsi="宋体" w:eastAsia="宋体" w:cs="宋体"/>
                <w:color w:val="auto"/>
                <w:kern w:val="0"/>
                <w:sz w:val="24"/>
                <w:szCs w:val="24"/>
                <w:highlight w:val="none"/>
                <w:lang w:val="en-US" w:eastAsia="zh-CN" w:bidi="ar"/>
              </w:rPr>
            </w:pPr>
            <w:r>
              <w:rPr>
                <w:rFonts w:hint="eastAsia" w:ascii="Times New Roman" w:hAnsi="Times New Roman" w:eastAsia="宋体" w:cs="Times New Roman"/>
                <w:color w:val="auto"/>
                <w:szCs w:val="22"/>
                <w:highlight w:val="none"/>
                <w:lang w:val="en-US" w:eastAsia="zh-CN"/>
              </w:rPr>
              <w:t>靶材及其背板表面处理采用喷砂工艺，利用高速砂流（刚玉砂）的冲击作用清理和粗化工件表面，去除产品表面的毛刺、毛边及表面杂物等，使产品颜色均匀一致，外形美观。刚玉砂在喷砂机中循环使用，由于高速冲击工件而有部分刚玉砂被粉碎成微粒，因此需定期补充刚玉砂。由于项目靶材为高纯原料，表面氧化层及杂质较少，因此，喷砂过程主要是粗化处理，废气主要产生于喷砂过程粉碎的刚玉砂，</w:t>
            </w:r>
            <w:r>
              <w:rPr>
                <w:rFonts w:hint="eastAsia" w:ascii="宋体" w:hAnsi="宋体" w:eastAsia="宋体" w:cs="宋体"/>
                <w:color w:val="auto"/>
                <w:kern w:val="0"/>
                <w:sz w:val="24"/>
                <w:szCs w:val="24"/>
                <w:highlight w:val="none"/>
                <w:lang w:val="en-US" w:eastAsia="zh-CN" w:bidi="ar"/>
              </w:rPr>
              <w:t>项目</w:t>
            </w:r>
            <w:r>
              <w:rPr>
                <w:rFonts w:hint="eastAsia" w:ascii="宋体" w:hAnsi="宋体" w:cs="宋体"/>
                <w:color w:val="auto"/>
                <w:kern w:val="0"/>
                <w:sz w:val="24"/>
                <w:szCs w:val="24"/>
                <w:highlight w:val="none"/>
                <w:lang w:val="en-US" w:eastAsia="zh-CN" w:bidi="ar"/>
              </w:rPr>
              <w:t>刚玉</w:t>
            </w:r>
            <w:r>
              <w:rPr>
                <w:rFonts w:hint="eastAsia" w:ascii="宋体" w:hAnsi="宋体" w:eastAsia="宋体" w:cs="宋体"/>
                <w:color w:val="auto"/>
                <w:kern w:val="0"/>
                <w:sz w:val="24"/>
                <w:szCs w:val="24"/>
                <w:highlight w:val="none"/>
                <w:lang w:val="en-US" w:eastAsia="zh-CN" w:bidi="ar"/>
              </w:rPr>
              <w:t xml:space="preserve">砂使用量约为 </w:t>
            </w:r>
            <w:r>
              <w:rPr>
                <w:rFonts w:hint="eastAsia" w:ascii="Times New Roman" w:hAnsi="Times New Roman" w:eastAsia="宋体" w:cs="Times New Roman"/>
                <w:color w:val="auto"/>
                <w:kern w:val="0"/>
                <w:sz w:val="24"/>
                <w:szCs w:val="24"/>
                <w:highlight w:val="none"/>
                <w:lang w:val="en-US" w:eastAsia="zh-CN" w:bidi="ar"/>
              </w:rPr>
              <w:t>20</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 xml:space="preserve">。根据企业生产经验及平面溅射靶材验收监测数据分析，在喷砂过程中约 </w:t>
            </w:r>
            <w:r>
              <w:rPr>
                <w:rFonts w:hint="eastAsia" w:ascii="Times New Roman" w:hAnsi="Times New Roman" w:eastAsia="宋体"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的刚玉砂破碎变成废砂</w:t>
            </w:r>
            <w:r>
              <w:rPr>
                <w:rFonts w:hint="eastAsia" w:ascii="宋体" w:hAnsi="宋体" w:cs="宋体"/>
                <w:color w:val="auto"/>
                <w:kern w:val="0"/>
                <w:sz w:val="24"/>
                <w:szCs w:val="24"/>
                <w:highlight w:val="none"/>
                <w:lang w:val="en-US" w:eastAsia="zh-CN" w:bidi="ar"/>
              </w:rPr>
              <w:t>或</w:t>
            </w:r>
            <w:r>
              <w:rPr>
                <w:rFonts w:hint="eastAsia" w:ascii="宋体" w:hAnsi="宋体" w:eastAsia="宋体" w:cs="宋体"/>
                <w:color w:val="auto"/>
                <w:kern w:val="0"/>
                <w:sz w:val="24"/>
                <w:szCs w:val="24"/>
                <w:highlight w:val="none"/>
                <w:lang w:val="en-US" w:eastAsia="zh-CN" w:bidi="ar"/>
              </w:rPr>
              <w:t xml:space="preserve">以无组织粉尘逸散，约 </w:t>
            </w:r>
            <w:r>
              <w:rPr>
                <w:rFonts w:hint="eastAsia" w:ascii="Times New Roman" w:hAnsi="Times New Roman" w:eastAsia="宋体"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被集气罩收集处理，</w:t>
            </w:r>
            <w:r>
              <w:rPr>
                <w:rFonts w:hint="eastAsia" w:ascii="宋体" w:hAnsi="宋体" w:eastAsia="宋体" w:cs="宋体"/>
                <w:color w:val="auto"/>
                <w:kern w:val="0"/>
                <w:sz w:val="24"/>
                <w:szCs w:val="24"/>
                <w:highlight w:val="none"/>
                <w:lang w:val="en-US" w:eastAsia="zh-CN" w:bidi="ar"/>
              </w:rPr>
              <w:t>则</w:t>
            </w:r>
            <w:r>
              <w:rPr>
                <w:rFonts w:hint="eastAsia" w:ascii="宋体" w:hAnsi="宋体" w:cs="宋体"/>
                <w:color w:val="auto"/>
                <w:kern w:val="0"/>
                <w:sz w:val="24"/>
                <w:szCs w:val="24"/>
                <w:highlight w:val="none"/>
                <w:lang w:val="en-US" w:eastAsia="zh-CN" w:bidi="ar"/>
              </w:rPr>
              <w:t>有组织</w:t>
            </w:r>
            <w:r>
              <w:rPr>
                <w:rFonts w:hint="eastAsia" w:ascii="宋体" w:hAnsi="宋体" w:eastAsia="宋体" w:cs="宋体"/>
                <w:color w:val="auto"/>
                <w:kern w:val="0"/>
                <w:sz w:val="24"/>
                <w:szCs w:val="24"/>
                <w:highlight w:val="none"/>
                <w:lang w:val="en-US" w:eastAsia="zh-CN" w:bidi="ar"/>
              </w:rPr>
              <w:t>粉尘产生量为12</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w:t>
            </w:r>
          </w:p>
          <w:p>
            <w:pPr>
              <w:pStyle w:val="72"/>
              <w:ind w:firstLine="480"/>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A</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有组织排放</w:t>
            </w:r>
          </w:p>
          <w:p>
            <w:pPr>
              <w:pStyle w:val="72"/>
              <w:ind w:firstLine="480"/>
              <w:rPr>
                <w:rFonts w:hint="default"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本次改扩建项目共配套9间密闭喷砂房，每3间共用1套布袋除尘器，共配套3套布袋除尘器，设计最大风量为30000m</w:t>
            </w:r>
            <w:r>
              <w:rPr>
                <w:rFonts w:hint="eastAsia"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vertAlign w:val="baseline"/>
                <w:lang w:val="en-US" w:eastAsia="zh-CN" w:bidi="ar"/>
              </w:rPr>
              <w:t>/h。正常运行时基本</w:t>
            </w:r>
            <w:r>
              <w:rPr>
                <w:rFonts w:hint="eastAsia" w:ascii="宋体" w:hAnsi="宋体" w:cs="宋体"/>
                <w:color w:val="auto"/>
                <w:kern w:val="0"/>
                <w:sz w:val="24"/>
                <w:szCs w:val="24"/>
                <w:highlight w:val="none"/>
                <w:vertAlign w:val="baseline"/>
                <w:lang w:val="en-US" w:eastAsia="zh-CN" w:bidi="ar"/>
              </w:rPr>
              <w:t>只有2</w:t>
            </w:r>
            <w:r>
              <w:rPr>
                <w:rFonts w:hint="eastAsia" w:ascii="宋体" w:hAnsi="宋体" w:eastAsia="宋体" w:cs="宋体"/>
                <w:color w:val="auto"/>
                <w:kern w:val="0"/>
                <w:sz w:val="24"/>
                <w:szCs w:val="24"/>
                <w:highlight w:val="none"/>
                <w:vertAlign w:val="baseline"/>
                <w:lang w:val="en-US" w:eastAsia="zh-CN" w:bidi="ar"/>
              </w:rPr>
              <w:t>间喷砂房</w:t>
            </w:r>
            <w:r>
              <w:rPr>
                <w:rFonts w:hint="eastAsia" w:ascii="宋体" w:hAnsi="宋体" w:cs="宋体"/>
                <w:color w:val="auto"/>
                <w:kern w:val="0"/>
                <w:sz w:val="24"/>
                <w:szCs w:val="24"/>
                <w:highlight w:val="none"/>
                <w:vertAlign w:val="baseline"/>
                <w:lang w:val="en-US" w:eastAsia="zh-CN" w:bidi="ar"/>
              </w:rPr>
              <w:t>会</w:t>
            </w:r>
            <w:r>
              <w:rPr>
                <w:rFonts w:hint="eastAsia" w:ascii="宋体" w:hAnsi="宋体" w:eastAsia="宋体" w:cs="宋体"/>
                <w:color w:val="auto"/>
                <w:kern w:val="0"/>
                <w:sz w:val="24"/>
                <w:szCs w:val="24"/>
                <w:highlight w:val="none"/>
                <w:vertAlign w:val="baseline"/>
                <w:lang w:val="en-US" w:eastAsia="zh-CN" w:bidi="ar"/>
              </w:rPr>
              <w:t>同时工作，除尘系统</w:t>
            </w:r>
            <w:r>
              <w:rPr>
                <w:rFonts w:hint="eastAsia" w:ascii="宋体" w:hAnsi="宋体" w:eastAsia="宋体" w:cs="宋体"/>
                <w:color w:val="auto"/>
                <w:kern w:val="0"/>
                <w:sz w:val="24"/>
                <w:szCs w:val="24"/>
                <w:highlight w:val="none"/>
                <w:lang w:val="en-US" w:eastAsia="zh-CN" w:bidi="ar"/>
              </w:rPr>
              <w:t>平均排风量约为20000m</w:t>
            </w:r>
            <w:r>
              <w:rPr>
                <w:rFonts w:hint="eastAsia"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vertAlign w:val="baseline"/>
                <w:lang w:val="en-US" w:eastAsia="zh-CN" w:bidi="ar"/>
              </w:rPr>
              <w:t>/h。</w:t>
            </w:r>
            <w:r>
              <w:rPr>
                <w:rFonts w:hint="eastAsia" w:ascii="宋体" w:hAnsi="宋体" w:eastAsia="宋体" w:cs="宋体"/>
                <w:color w:val="auto"/>
                <w:kern w:val="0"/>
                <w:sz w:val="24"/>
                <w:szCs w:val="24"/>
                <w:highlight w:val="none"/>
                <w:lang w:val="en-US" w:eastAsia="zh-CN" w:bidi="ar"/>
              </w:rPr>
              <w:t xml:space="preserve">喷砂房内负压设计，上方设置集气罩，喷砂过程中细质粉尘经上方集气罩收集后经布袋除尘器处理，重质的颗粒自然沉降至喷砂房地面，经清扫收集后回用。根据企业生产经验及平面溅射靶材验收监测数据分析，约 </w:t>
            </w:r>
            <w:r>
              <w:rPr>
                <w:rFonts w:hint="eastAsia" w:ascii="Times New Roman" w:hAnsi="Times New Roman" w:eastAsia="宋体"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被集气罩收集处理，</w:t>
            </w:r>
            <w:r>
              <w:rPr>
                <w:rFonts w:hint="eastAsia" w:ascii="宋体" w:hAnsi="宋体" w:eastAsia="宋体" w:cs="宋体"/>
                <w:color w:val="auto"/>
                <w:kern w:val="0"/>
                <w:sz w:val="24"/>
                <w:szCs w:val="24"/>
                <w:highlight w:val="none"/>
                <w:lang w:val="en-US" w:eastAsia="zh-CN" w:bidi="ar"/>
              </w:rPr>
              <w:t>则</w:t>
            </w:r>
            <w:r>
              <w:rPr>
                <w:rFonts w:hint="eastAsia" w:ascii="宋体" w:hAnsi="宋体" w:cs="宋体"/>
                <w:color w:val="auto"/>
                <w:kern w:val="0"/>
                <w:sz w:val="24"/>
                <w:szCs w:val="24"/>
                <w:highlight w:val="none"/>
                <w:lang w:val="en-US" w:eastAsia="zh-CN" w:bidi="ar"/>
              </w:rPr>
              <w:t>有组织</w:t>
            </w:r>
            <w:r>
              <w:rPr>
                <w:rFonts w:hint="eastAsia" w:ascii="宋体" w:hAnsi="宋体" w:eastAsia="宋体" w:cs="宋体"/>
                <w:color w:val="auto"/>
                <w:kern w:val="0"/>
                <w:sz w:val="24"/>
                <w:szCs w:val="24"/>
                <w:highlight w:val="none"/>
                <w:lang w:val="en-US" w:eastAsia="zh-CN" w:bidi="ar"/>
              </w:rPr>
              <w:t>粉尘产生量为12</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本次改扩建项目年使用喷砂房时间约为1200h</w:t>
            </w:r>
            <w:r>
              <w:rPr>
                <w:rFonts w:hint="eastAsia" w:ascii="宋体" w:hAnsi="宋体" w:cs="宋体"/>
                <w:color w:val="auto"/>
                <w:kern w:val="0"/>
                <w:sz w:val="24"/>
                <w:szCs w:val="24"/>
                <w:highlight w:val="none"/>
                <w:lang w:val="en-US" w:eastAsia="zh-CN" w:bidi="ar"/>
              </w:rPr>
              <w:t>，则3台除尘器，每台除尘器产生速率约为3.33kg/h</w:t>
            </w:r>
            <w:r>
              <w:rPr>
                <w:rFonts w:hint="eastAsia" w:ascii="宋体" w:hAnsi="宋体" w:eastAsia="宋体" w:cs="宋体"/>
                <w:color w:val="auto"/>
                <w:kern w:val="0"/>
                <w:sz w:val="24"/>
                <w:szCs w:val="24"/>
                <w:highlight w:val="none"/>
                <w:lang w:val="en-US" w:eastAsia="zh-CN" w:bidi="ar"/>
              </w:rPr>
              <w:t>。</w:t>
            </w:r>
          </w:p>
          <w:p>
            <w:pPr>
              <w:pStyle w:val="72"/>
              <w:ind w:firstLine="48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参考《排放源统计调查产排污核算方法和系数手册》机械行业产排污系数，金属喷砂表面处理工序采用袋式除尘器，除尘效率约</w:t>
            </w:r>
            <w:r>
              <w:rPr>
                <w:rFonts w:hint="default" w:ascii="宋体" w:hAnsi="宋体" w:eastAsia="宋体" w:cs="宋体"/>
                <w:color w:val="auto"/>
                <w:kern w:val="0"/>
                <w:sz w:val="24"/>
                <w:szCs w:val="24"/>
                <w:highlight w:val="none"/>
                <w:lang w:val="en-US" w:eastAsia="zh-CN" w:bidi="ar"/>
              </w:rPr>
              <w:t>95%</w:t>
            </w:r>
            <w:r>
              <w:rPr>
                <w:rFonts w:hint="eastAsia" w:ascii="宋体" w:hAnsi="宋体" w:eastAsia="宋体" w:cs="宋体"/>
                <w:color w:val="auto"/>
                <w:kern w:val="0"/>
                <w:sz w:val="24"/>
                <w:szCs w:val="24"/>
                <w:highlight w:val="none"/>
                <w:lang w:val="en-US" w:eastAsia="zh-CN" w:bidi="ar"/>
              </w:rPr>
              <w:t>，则本项目喷砂工序粉尘排放速率为0.167kg/h</w:t>
            </w:r>
            <w:r>
              <w:rPr>
                <w:rFonts w:hint="eastAsia" w:ascii="宋体" w:hAnsi="宋体" w:cs="宋体"/>
                <w:color w:val="auto"/>
                <w:kern w:val="0"/>
                <w:sz w:val="24"/>
                <w:szCs w:val="24"/>
                <w:highlight w:val="none"/>
                <w:lang w:val="en-US" w:eastAsia="zh-CN" w:bidi="ar"/>
              </w:rPr>
              <w:t>。喷砂工序废气经各除尘器处理后，最后经1根高15m排气筒排放，经核算，最终排放速率为0.5kg/h，</w:t>
            </w:r>
            <w:r>
              <w:rPr>
                <w:rFonts w:hint="eastAsia" w:ascii="宋体" w:hAnsi="宋体" w:eastAsia="宋体" w:cs="宋体"/>
                <w:color w:val="auto"/>
                <w:kern w:val="0"/>
                <w:sz w:val="24"/>
                <w:szCs w:val="24"/>
                <w:highlight w:val="none"/>
                <w:lang w:val="en-US" w:eastAsia="zh-CN" w:bidi="ar"/>
              </w:rPr>
              <w:t>排放浓度为8.3</w:t>
            </w:r>
            <w:r>
              <w:rPr>
                <w:rFonts w:hint="default" w:ascii="宋体" w:hAnsi="宋体" w:eastAsia="宋体" w:cs="宋体"/>
                <w:color w:val="auto"/>
                <w:kern w:val="0"/>
                <w:sz w:val="24"/>
                <w:szCs w:val="24"/>
                <w:highlight w:val="none"/>
                <w:lang w:val="en-US" w:eastAsia="zh-CN" w:bidi="ar"/>
              </w:rPr>
              <w:t>mg/m</w:t>
            </w:r>
            <w:r>
              <w:rPr>
                <w:rFonts w:hint="default"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，可满足《大气污染物综合排放标准》（</w:t>
            </w:r>
            <w:r>
              <w:rPr>
                <w:rFonts w:hint="default" w:ascii="宋体" w:hAnsi="宋体" w:eastAsia="宋体" w:cs="宋体"/>
                <w:color w:val="auto"/>
                <w:kern w:val="0"/>
                <w:sz w:val="24"/>
                <w:szCs w:val="24"/>
                <w:highlight w:val="none"/>
                <w:lang w:val="en-US" w:eastAsia="zh-CN" w:bidi="ar"/>
              </w:rPr>
              <w:t>GB16297-1996</w:t>
            </w:r>
            <w:r>
              <w:rPr>
                <w:rFonts w:hint="eastAsia" w:ascii="宋体" w:hAnsi="宋体" w:eastAsia="宋体" w:cs="宋体"/>
                <w:color w:val="auto"/>
                <w:kern w:val="0"/>
                <w:sz w:val="24"/>
                <w:szCs w:val="24"/>
                <w:highlight w:val="none"/>
                <w:lang w:val="en-US" w:eastAsia="zh-CN" w:bidi="ar"/>
              </w:rPr>
              <w:t xml:space="preserve">）表 </w:t>
            </w:r>
            <w:r>
              <w:rPr>
                <w:rFonts w:hint="default" w:ascii="宋体" w:hAnsi="宋体" w:eastAsia="宋体" w:cs="宋体"/>
                <w:color w:val="auto"/>
                <w:kern w:val="0"/>
                <w:sz w:val="24"/>
                <w:szCs w:val="24"/>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 xml:space="preserve">中的颗粒物二级排放标准，即颗粒物最高允许排放浓度为 </w:t>
            </w:r>
            <w:r>
              <w:rPr>
                <w:rFonts w:hint="default" w:ascii="宋体" w:hAnsi="宋体" w:eastAsia="宋体" w:cs="宋体"/>
                <w:color w:val="auto"/>
                <w:kern w:val="0"/>
                <w:sz w:val="24"/>
                <w:szCs w:val="24"/>
                <w:highlight w:val="none"/>
                <w:lang w:val="en-US" w:eastAsia="zh-CN" w:bidi="ar"/>
              </w:rPr>
              <w:t>120mg/m</w:t>
            </w:r>
            <w:r>
              <w:rPr>
                <w:rFonts w:hint="default"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、其排放速率为 3.5</w:t>
            </w:r>
            <w:r>
              <w:rPr>
                <w:rFonts w:hint="default" w:ascii="宋体" w:hAnsi="宋体" w:eastAsia="宋体" w:cs="宋体"/>
                <w:color w:val="auto"/>
                <w:kern w:val="0"/>
                <w:sz w:val="24"/>
                <w:szCs w:val="24"/>
                <w:highlight w:val="none"/>
                <w:lang w:val="en-US" w:eastAsia="zh-CN" w:bidi="ar"/>
              </w:rPr>
              <w:t>kg/h</w:t>
            </w:r>
            <w:r>
              <w:rPr>
                <w:rFonts w:hint="eastAsia" w:ascii="宋体" w:hAnsi="宋体" w:eastAsia="宋体" w:cs="宋体"/>
                <w:color w:val="auto"/>
                <w:kern w:val="0"/>
                <w:sz w:val="24"/>
                <w:szCs w:val="24"/>
                <w:highlight w:val="none"/>
                <w:lang w:val="en-US" w:eastAsia="zh-CN" w:bidi="ar"/>
              </w:rPr>
              <w:t>（排气筒高度15m）及严格50%执行的排放速率1.75kg/h的要求。</w:t>
            </w:r>
          </w:p>
          <w:p>
            <w:pPr>
              <w:pStyle w:val="72"/>
              <w:numPr>
                <w:ilvl w:val="0"/>
                <w:numId w:val="11"/>
              </w:numPr>
              <w:ind w:firstLine="48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无组织排放</w:t>
            </w:r>
          </w:p>
          <w:p>
            <w:pPr>
              <w:pStyle w:val="72"/>
              <w:numPr>
                <w:ilvl w:val="0"/>
                <w:numId w:val="0"/>
              </w:numP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本项目喷砂工序</w:t>
            </w:r>
            <w:r>
              <w:rPr>
                <w:rFonts w:hint="eastAsia" w:ascii="Times New Roman" w:hAnsi="Times New Roman" w:eastAsia="宋体" w:cs="Times New Roman"/>
                <w:color w:val="auto"/>
                <w:szCs w:val="22"/>
                <w:highlight w:val="none"/>
                <w:lang w:val="en-US" w:eastAsia="zh-CN"/>
              </w:rPr>
              <w:t>由于高速冲击而有部分刚玉砂被粉碎成微粒，约60%被集气收集至布袋除尘器处理，40%则在喷砂房内沉降或扩散，即8t/a。由于喷砂房为密闭负压设计</w:t>
            </w:r>
            <w:r>
              <w:rPr>
                <w:rFonts w:hint="eastAsia" w:cs="Times New Roman"/>
                <w:color w:val="auto"/>
                <w:szCs w:val="22"/>
                <w:highlight w:val="none"/>
                <w:lang w:val="en-US" w:eastAsia="zh-CN"/>
              </w:rPr>
              <w:t>，</w:t>
            </w:r>
            <w:r>
              <w:rPr>
                <w:rFonts w:hint="eastAsia" w:ascii="Times New Roman" w:hAnsi="Times New Roman" w:eastAsia="宋体" w:cs="Times New Roman"/>
                <w:color w:val="auto"/>
                <w:szCs w:val="22"/>
                <w:highlight w:val="none"/>
                <w:lang w:val="en-US" w:eastAsia="zh-CN"/>
              </w:rPr>
              <w:t>刚玉砂大部分自重较重可直接在室内沉降，极少部分可能通过门缝扩散至外环境中，按收集率95%计，则</w:t>
            </w:r>
            <w:r>
              <w:rPr>
                <w:rFonts w:hint="eastAsia" w:cs="Times New Roman"/>
                <w:color w:val="auto"/>
                <w:szCs w:val="22"/>
                <w:highlight w:val="none"/>
                <w:lang w:val="en-US" w:eastAsia="zh-CN"/>
              </w:rPr>
              <w:t>喷砂区</w:t>
            </w:r>
            <w:r>
              <w:rPr>
                <w:rFonts w:hint="eastAsia" w:ascii="Times New Roman" w:hAnsi="Times New Roman" w:eastAsia="宋体" w:cs="Times New Roman"/>
                <w:color w:val="auto"/>
                <w:szCs w:val="22"/>
                <w:highlight w:val="none"/>
                <w:lang w:val="en-US" w:eastAsia="zh-CN"/>
              </w:rPr>
              <w:t>无组织排放量为</w:t>
            </w:r>
            <w:r>
              <w:rPr>
                <w:rFonts w:hint="eastAsia" w:cs="Times New Roman"/>
                <w:color w:val="auto"/>
                <w:szCs w:val="22"/>
                <w:highlight w:val="none"/>
                <w:lang w:val="en-US" w:eastAsia="zh-CN"/>
              </w:rPr>
              <w:t>0.333</w:t>
            </w:r>
            <w:r>
              <w:rPr>
                <w:rFonts w:hint="eastAsia" w:ascii="Times New Roman" w:hAnsi="Times New Roman" w:eastAsia="宋体" w:cs="Times New Roman"/>
                <w:color w:val="auto"/>
                <w:szCs w:val="22"/>
                <w:highlight w:val="none"/>
                <w:lang w:val="en-US" w:eastAsia="zh-CN"/>
              </w:rPr>
              <w:t>kg/h。</w:t>
            </w:r>
          </w:p>
          <w:p>
            <w:pPr>
              <w:pStyle w:val="72"/>
              <w:ind w:firstLine="480"/>
              <w:rPr>
                <w:rFonts w:hint="default" w:eastAsia="宋体"/>
                <w:color w:val="auto"/>
                <w:szCs w:val="22"/>
                <w:highlight w:val="none"/>
                <w:lang w:val="en-US" w:eastAsia="zh-CN"/>
              </w:rPr>
            </w:pPr>
            <w:r>
              <w:rPr>
                <w:rFonts w:hint="eastAsia"/>
                <w:color w:val="auto"/>
                <w:szCs w:val="22"/>
                <w:highlight w:val="none"/>
              </w:rPr>
              <w:t>②</w:t>
            </w:r>
            <w:r>
              <w:rPr>
                <w:rFonts w:hint="eastAsia"/>
                <w:color w:val="auto"/>
                <w:szCs w:val="22"/>
                <w:highlight w:val="none"/>
                <w:lang w:val="en-US" w:eastAsia="zh-CN"/>
              </w:rPr>
              <w:t>抛光废气</w:t>
            </w:r>
          </w:p>
          <w:p>
            <w:pPr>
              <w:pStyle w:val="72"/>
              <w:ind w:firstLine="480"/>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根据企业运行的数据，抛光粉尘产生量不超过物料量</w:t>
            </w:r>
            <w:r>
              <w:rPr>
                <w:rFonts w:hint="default"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，本次改扩建项目抛光粉尘产生量按背板及靶材原料投入量共计</w:t>
            </w:r>
            <w:r>
              <w:rPr>
                <w:rFonts w:hint="eastAsia" w:ascii="宋体" w:hAnsi="宋体" w:cs="宋体"/>
                <w:color w:val="auto"/>
                <w:kern w:val="0"/>
                <w:sz w:val="24"/>
                <w:szCs w:val="24"/>
                <w:highlight w:val="none"/>
                <w:lang w:val="en-US" w:eastAsia="zh-CN" w:bidi="ar"/>
              </w:rPr>
              <w:t>40</w:t>
            </w:r>
            <w:r>
              <w:rPr>
                <w:rFonts w:hint="eastAsia" w:ascii="宋体" w:hAnsi="宋体" w:eastAsia="宋体" w:cs="宋体"/>
                <w:color w:val="auto"/>
                <w:kern w:val="0"/>
                <w:sz w:val="24"/>
                <w:szCs w:val="24"/>
                <w:highlight w:val="none"/>
                <w:lang w:val="en-US" w:eastAsia="zh-CN" w:bidi="ar"/>
              </w:rPr>
              <w:t>32</w:t>
            </w:r>
            <w:r>
              <w:rPr>
                <w:rFonts w:hint="default" w:ascii="宋体" w:hAnsi="宋体" w:eastAsia="宋体" w:cs="宋体"/>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（其中背板2000t/a，产品</w:t>
            </w:r>
            <w:r>
              <w:rPr>
                <w:rFonts w:hint="eastAsia" w:ascii="宋体" w:hAnsi="宋体" w:cs="宋体"/>
                <w:color w:val="auto"/>
                <w:kern w:val="0"/>
                <w:sz w:val="24"/>
                <w:szCs w:val="24"/>
                <w:highlight w:val="none"/>
                <w:lang w:val="en-US" w:eastAsia="zh-CN" w:bidi="ar"/>
              </w:rPr>
              <w:t>20</w:t>
            </w:r>
            <w:r>
              <w:rPr>
                <w:rFonts w:hint="eastAsia" w:ascii="宋体" w:hAnsi="宋体" w:eastAsia="宋体" w:cs="宋体"/>
                <w:color w:val="auto"/>
                <w:kern w:val="0"/>
                <w:sz w:val="24"/>
                <w:szCs w:val="24"/>
                <w:highlight w:val="none"/>
                <w:lang w:val="en-US" w:eastAsia="zh-CN" w:bidi="ar"/>
              </w:rPr>
              <w:t>32t/a），则粉尘产生量</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32t/a。抛光房为负压密闭抛光房，抛光工作台附近安装采用侧吸集气罩，因此，粉尘大部分可通过集尘系统收集，收集效率约为95%，极少量通过门缝</w:t>
            </w:r>
            <w:r>
              <w:rPr>
                <w:rFonts w:hint="eastAsia" w:ascii="宋体" w:hAnsi="宋体" w:cs="宋体"/>
                <w:color w:val="auto"/>
                <w:kern w:val="0"/>
                <w:sz w:val="24"/>
                <w:szCs w:val="24"/>
                <w:highlight w:val="none"/>
                <w:lang w:val="en-US" w:eastAsia="zh-CN" w:bidi="ar"/>
              </w:rPr>
              <w:t>等</w:t>
            </w:r>
            <w:r>
              <w:rPr>
                <w:rFonts w:hint="eastAsia" w:ascii="宋体" w:hAnsi="宋体" w:eastAsia="宋体" w:cs="宋体"/>
                <w:color w:val="auto"/>
                <w:kern w:val="0"/>
                <w:sz w:val="24"/>
                <w:szCs w:val="24"/>
                <w:highlight w:val="none"/>
                <w:lang w:val="en-US" w:eastAsia="zh-CN" w:bidi="ar"/>
              </w:rPr>
              <w:t>区域无组织扩散或沉降至地面。因此，抛光工序粉尘有组织收集量为3.</w:t>
            </w:r>
            <w:r>
              <w:rPr>
                <w:rFonts w:hint="eastAsia" w:ascii="宋体" w:hAnsi="宋体" w:cs="宋体"/>
                <w:color w:val="auto"/>
                <w:kern w:val="0"/>
                <w:sz w:val="24"/>
                <w:szCs w:val="24"/>
                <w:highlight w:val="none"/>
                <w:lang w:val="en-US" w:eastAsia="zh-CN" w:bidi="ar"/>
              </w:rPr>
              <w:t>830</w:t>
            </w:r>
            <w:r>
              <w:rPr>
                <w:rFonts w:hint="eastAsia" w:ascii="宋体" w:hAnsi="宋体" w:eastAsia="宋体" w:cs="宋体"/>
                <w:color w:val="auto"/>
                <w:kern w:val="0"/>
                <w:sz w:val="24"/>
                <w:szCs w:val="24"/>
                <w:highlight w:val="none"/>
                <w:lang w:val="en-US" w:eastAsia="zh-CN" w:bidi="ar"/>
              </w:rPr>
              <w:t>t/a，无组织排放量约为0.</w:t>
            </w:r>
            <w:r>
              <w:rPr>
                <w:rFonts w:hint="eastAsia" w:ascii="宋体" w:hAnsi="宋体" w:cs="宋体"/>
                <w:color w:val="auto"/>
                <w:kern w:val="0"/>
                <w:sz w:val="24"/>
                <w:szCs w:val="24"/>
                <w:highlight w:val="none"/>
                <w:lang w:val="en-US" w:eastAsia="zh-CN" w:bidi="ar"/>
              </w:rPr>
              <w:t>202</w:t>
            </w:r>
            <w:r>
              <w:rPr>
                <w:rFonts w:hint="eastAsia" w:ascii="宋体" w:hAnsi="宋体" w:eastAsia="宋体" w:cs="宋体"/>
                <w:color w:val="auto"/>
                <w:kern w:val="0"/>
                <w:sz w:val="24"/>
                <w:szCs w:val="24"/>
                <w:highlight w:val="none"/>
                <w:lang w:val="en-US" w:eastAsia="zh-CN" w:bidi="ar"/>
              </w:rPr>
              <w:t>t/a。</w:t>
            </w:r>
          </w:p>
          <w:p>
            <w:pPr>
              <w:pStyle w:val="72"/>
              <w:ind w:firstLine="480"/>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A</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有组织排放</w:t>
            </w:r>
          </w:p>
          <w:p>
            <w:pPr>
              <w:pStyle w:val="72"/>
              <w:ind w:firstLine="48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根据企业提供的资料，抛光工序年工作1200h，抛光工序拟配套2台湿法水喷淋除尘装置（因抛光粉尘涉及易燃易爆的铝粉，采用湿法工艺更安全），单台除尘器风量为</w:t>
            </w:r>
            <w:r>
              <w:rPr>
                <w:rFonts w:hint="default" w:ascii="宋体" w:hAnsi="宋体" w:eastAsia="宋体" w:cs="宋体"/>
                <w:color w:val="auto"/>
                <w:kern w:val="0"/>
                <w:sz w:val="24"/>
                <w:szCs w:val="24"/>
                <w:highlight w:val="none"/>
                <w:lang w:val="en-US" w:eastAsia="zh-CN" w:bidi="ar"/>
              </w:rPr>
              <w:t>300</w:t>
            </w:r>
            <w:r>
              <w:rPr>
                <w:rFonts w:hint="eastAsia" w:ascii="宋体" w:hAnsi="宋体" w:eastAsia="宋体" w:cs="宋体"/>
                <w:color w:val="auto"/>
                <w:kern w:val="0"/>
                <w:sz w:val="24"/>
                <w:szCs w:val="24"/>
                <w:highlight w:val="none"/>
                <w:lang w:val="en-US" w:eastAsia="zh-CN" w:bidi="ar"/>
              </w:rPr>
              <w:t>0</w:t>
            </w:r>
            <w:r>
              <w:rPr>
                <w:rFonts w:hint="default" w:ascii="宋体" w:hAnsi="宋体" w:eastAsia="宋体" w:cs="宋体"/>
                <w:color w:val="auto"/>
                <w:kern w:val="0"/>
                <w:sz w:val="24"/>
                <w:szCs w:val="24"/>
                <w:highlight w:val="none"/>
                <w:lang w:val="en-US" w:eastAsia="zh-CN" w:bidi="ar"/>
              </w:rPr>
              <w:t>0m</w:t>
            </w:r>
            <w:r>
              <w:rPr>
                <w:rFonts w:hint="default" w:ascii="宋体" w:hAnsi="宋体" w:eastAsia="宋体" w:cs="宋体"/>
                <w:color w:val="auto"/>
                <w:kern w:val="0"/>
                <w:sz w:val="24"/>
                <w:szCs w:val="24"/>
                <w:highlight w:val="none"/>
                <w:vertAlign w:val="superscript"/>
                <w:lang w:val="en-US" w:eastAsia="zh-CN" w:bidi="ar"/>
              </w:rPr>
              <w:t>3</w:t>
            </w:r>
            <w:r>
              <w:rPr>
                <w:rFonts w:hint="default" w:ascii="宋体" w:hAnsi="宋体" w:eastAsia="宋体" w:cs="宋体"/>
                <w:color w:val="auto"/>
                <w:kern w:val="0"/>
                <w:sz w:val="24"/>
                <w:szCs w:val="24"/>
                <w:highlight w:val="none"/>
                <w:lang w:val="en-US" w:eastAsia="zh-CN" w:bidi="ar"/>
              </w:rPr>
              <w:t>/h</w:t>
            </w:r>
            <w:r>
              <w:rPr>
                <w:rFonts w:hint="eastAsia" w:ascii="宋体" w:hAnsi="宋体" w:eastAsia="宋体" w:cs="宋体"/>
                <w:color w:val="auto"/>
                <w:kern w:val="0"/>
                <w:sz w:val="24"/>
                <w:szCs w:val="24"/>
                <w:highlight w:val="none"/>
                <w:lang w:val="en-US" w:eastAsia="zh-CN" w:bidi="ar"/>
              </w:rPr>
              <w:t>。参考《排放源统计调查产排污核算方法和系数手册》机械行业产排污系数，采用湿法喷淋除尘，除尘效率约为85%，除尘后分别经</w:t>
            </w:r>
            <w:r>
              <w:rPr>
                <w:rFonts w:hint="eastAsia" w:ascii="宋体" w:hAnsi="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根</w:t>
            </w:r>
            <w:r>
              <w:rPr>
                <w:rFonts w:hint="default" w:ascii="宋体" w:hAnsi="宋体" w:eastAsia="宋体" w:cs="宋体"/>
                <w:color w:val="auto"/>
                <w:kern w:val="0"/>
                <w:sz w:val="24"/>
                <w:szCs w:val="24"/>
                <w:highlight w:val="none"/>
                <w:lang w:val="en-US" w:eastAsia="zh-CN" w:bidi="ar"/>
              </w:rPr>
              <w:t>15m</w:t>
            </w:r>
            <w:r>
              <w:rPr>
                <w:rFonts w:hint="eastAsia" w:ascii="宋体" w:hAnsi="宋体" w:eastAsia="宋体" w:cs="宋体"/>
                <w:color w:val="auto"/>
                <w:kern w:val="0"/>
                <w:sz w:val="24"/>
                <w:szCs w:val="24"/>
                <w:highlight w:val="none"/>
                <w:lang w:val="en-US" w:eastAsia="zh-CN" w:bidi="ar"/>
              </w:rPr>
              <w:t>高排气筒排放。则经湿法除尘处理后，排放速率为0.</w:t>
            </w:r>
            <w:r>
              <w:rPr>
                <w:rFonts w:hint="eastAsia" w:ascii="宋体" w:hAnsi="宋体" w:cs="宋体"/>
                <w:color w:val="auto"/>
                <w:kern w:val="0"/>
                <w:sz w:val="24"/>
                <w:szCs w:val="24"/>
                <w:highlight w:val="none"/>
                <w:lang w:val="en-US" w:eastAsia="zh-CN" w:bidi="ar"/>
              </w:rPr>
              <w:t>478</w:t>
            </w:r>
            <w:r>
              <w:rPr>
                <w:rFonts w:hint="eastAsia" w:ascii="宋体" w:hAnsi="宋体" w:eastAsia="宋体" w:cs="宋体"/>
                <w:color w:val="auto"/>
                <w:kern w:val="0"/>
                <w:sz w:val="24"/>
                <w:szCs w:val="24"/>
                <w:highlight w:val="none"/>
                <w:lang w:val="en-US" w:eastAsia="zh-CN" w:bidi="ar"/>
              </w:rPr>
              <w:t>kg/h，排放浓度为7.</w:t>
            </w:r>
            <w:r>
              <w:rPr>
                <w:rFonts w:hint="eastAsia" w:ascii="宋体" w:hAnsi="宋体" w:cs="宋体"/>
                <w:color w:val="auto"/>
                <w:kern w:val="0"/>
                <w:sz w:val="24"/>
                <w:szCs w:val="24"/>
                <w:highlight w:val="none"/>
                <w:lang w:val="en-US" w:eastAsia="zh-CN" w:bidi="ar"/>
              </w:rPr>
              <w:t>979</w:t>
            </w:r>
            <w:r>
              <w:rPr>
                <w:rFonts w:hint="default" w:ascii="宋体" w:hAnsi="宋体" w:eastAsia="宋体" w:cs="宋体"/>
                <w:color w:val="auto"/>
                <w:kern w:val="0"/>
                <w:sz w:val="24"/>
                <w:szCs w:val="24"/>
                <w:highlight w:val="none"/>
                <w:lang w:val="en-US" w:eastAsia="zh-CN" w:bidi="ar"/>
              </w:rPr>
              <w:t>mg/m</w:t>
            </w:r>
            <w:r>
              <w:rPr>
                <w:rFonts w:hint="default"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，可满足《大气污染物综合排放标准》（</w:t>
            </w:r>
            <w:r>
              <w:rPr>
                <w:rFonts w:hint="default" w:ascii="宋体" w:hAnsi="宋体" w:eastAsia="宋体" w:cs="宋体"/>
                <w:color w:val="auto"/>
                <w:kern w:val="0"/>
                <w:sz w:val="24"/>
                <w:szCs w:val="24"/>
                <w:highlight w:val="none"/>
                <w:lang w:val="en-US" w:eastAsia="zh-CN" w:bidi="ar"/>
              </w:rPr>
              <w:t>GB16297-1996</w:t>
            </w:r>
            <w:r>
              <w:rPr>
                <w:rFonts w:hint="eastAsia" w:ascii="宋体" w:hAnsi="宋体" w:eastAsia="宋体" w:cs="宋体"/>
                <w:color w:val="auto"/>
                <w:kern w:val="0"/>
                <w:sz w:val="24"/>
                <w:szCs w:val="24"/>
                <w:highlight w:val="none"/>
                <w:lang w:val="en-US" w:eastAsia="zh-CN" w:bidi="ar"/>
              </w:rPr>
              <w:t xml:space="preserve">）表 </w:t>
            </w:r>
            <w:r>
              <w:rPr>
                <w:rFonts w:hint="default" w:ascii="宋体" w:hAnsi="宋体" w:eastAsia="宋体" w:cs="宋体"/>
                <w:color w:val="auto"/>
                <w:kern w:val="0"/>
                <w:sz w:val="24"/>
                <w:szCs w:val="24"/>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中的颗粒物二级排放标准即颗粒物最高允许排放浓度为</w:t>
            </w:r>
            <w:r>
              <w:rPr>
                <w:rFonts w:hint="default" w:ascii="宋体" w:hAnsi="宋体" w:eastAsia="宋体" w:cs="宋体"/>
                <w:color w:val="auto"/>
                <w:kern w:val="0"/>
                <w:sz w:val="24"/>
                <w:szCs w:val="24"/>
                <w:highlight w:val="none"/>
                <w:lang w:val="en-US" w:eastAsia="zh-CN" w:bidi="ar"/>
              </w:rPr>
              <w:t>120mg/m</w:t>
            </w:r>
            <w:r>
              <w:rPr>
                <w:rFonts w:hint="default"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、其排放速率为 3.5</w:t>
            </w:r>
            <w:r>
              <w:rPr>
                <w:rFonts w:hint="default" w:ascii="宋体" w:hAnsi="宋体" w:eastAsia="宋体" w:cs="宋体"/>
                <w:color w:val="auto"/>
                <w:kern w:val="0"/>
                <w:sz w:val="24"/>
                <w:szCs w:val="24"/>
                <w:highlight w:val="none"/>
                <w:lang w:val="en-US" w:eastAsia="zh-CN" w:bidi="ar"/>
              </w:rPr>
              <w:t>kg/h</w:t>
            </w:r>
            <w:r>
              <w:rPr>
                <w:rFonts w:hint="eastAsia" w:ascii="宋体" w:hAnsi="宋体" w:eastAsia="宋体" w:cs="宋体"/>
                <w:color w:val="auto"/>
                <w:kern w:val="0"/>
                <w:sz w:val="24"/>
                <w:szCs w:val="24"/>
                <w:highlight w:val="none"/>
                <w:lang w:val="en-US" w:eastAsia="zh-CN" w:bidi="ar"/>
              </w:rPr>
              <w:t>（排气筒高度15m）及严格50%执行的排放速率1.75kg/h的要求。</w:t>
            </w:r>
          </w:p>
          <w:p>
            <w:pPr>
              <w:pStyle w:val="72"/>
              <w:ind w:firstLine="480"/>
              <w:rPr>
                <w:color w:val="auto"/>
                <w:szCs w:val="22"/>
                <w:highlight w:val="none"/>
              </w:rPr>
            </w:pPr>
            <w:r>
              <w:rPr>
                <w:rFonts w:hint="eastAsia" w:ascii="Times New Roman" w:hAnsi="Times New Roman" w:eastAsia="宋体" w:cs="Times New Roman"/>
                <w:color w:val="auto"/>
                <w:szCs w:val="22"/>
                <w:highlight w:val="none"/>
              </w:rPr>
              <w:t>③</w:t>
            </w:r>
            <w:r>
              <w:rPr>
                <w:rFonts w:hint="eastAsia"/>
                <w:color w:val="auto"/>
                <w:szCs w:val="22"/>
                <w:highlight w:val="none"/>
              </w:rPr>
              <w:t>靶材</w:t>
            </w:r>
            <w:r>
              <w:rPr>
                <w:rFonts w:hint="eastAsia"/>
                <w:color w:val="auto"/>
                <w:szCs w:val="22"/>
                <w:highlight w:val="none"/>
                <w:lang w:val="en-US" w:eastAsia="zh-CN"/>
              </w:rPr>
              <w:t>清洁工序</w:t>
            </w:r>
            <w:r>
              <w:rPr>
                <w:rFonts w:hint="eastAsia"/>
                <w:color w:val="auto"/>
                <w:szCs w:val="22"/>
                <w:highlight w:val="none"/>
              </w:rPr>
              <w:t>有机废气</w:t>
            </w:r>
          </w:p>
          <w:p>
            <w:pPr>
              <w:pStyle w:val="72"/>
              <w:ind w:firstLine="480"/>
              <w:rPr>
                <w:rFonts w:hint="eastAsia"/>
                <w:color w:val="auto"/>
                <w:szCs w:val="22"/>
                <w:highlight w:val="none"/>
              </w:rPr>
            </w:pPr>
            <w:r>
              <w:rPr>
                <w:rFonts w:hint="eastAsia"/>
                <w:color w:val="auto"/>
                <w:szCs w:val="22"/>
                <w:highlight w:val="none"/>
                <w:lang w:val="en-US" w:eastAsia="zh-CN"/>
              </w:rPr>
              <w:t>靶材在喷砂、抛光处理后表面已较清洁，但不可避免在搬运等过程中会碰到油污等，因此，在产品包装前，会对靶材表面进行检查，发现脏污则通过无尘布及酒精擦拭。根据企业提供的资料，酒精年使用量约为400L，99%酒精密度为0.789kg/L，按完全挥发考虑，则有机废气（以NMHC计）挥发量为0.316t/a，年工作时间2400h，则NMHC挥发速率为0.132kg/h，由于酒精使用量少，使用点较分散，因此，未采取收集处理措施，有机废气在精修清洁室内自然挥发</w:t>
            </w:r>
            <w:r>
              <w:rPr>
                <w:rFonts w:hint="eastAsia"/>
                <w:color w:val="auto"/>
                <w:szCs w:val="22"/>
                <w:highlight w:val="none"/>
              </w:rPr>
              <w:t>。</w:t>
            </w:r>
          </w:p>
          <w:p>
            <w:pPr>
              <w:pStyle w:val="72"/>
              <w:ind w:firstLine="480"/>
              <w:rPr>
                <w:rFonts w:hint="eastAsia"/>
                <w:color w:val="auto"/>
                <w:szCs w:val="22"/>
                <w:highlight w:val="none"/>
              </w:rPr>
            </w:pPr>
          </w:p>
          <w:p>
            <w:pPr>
              <w:pStyle w:val="72"/>
              <w:ind w:firstLine="480"/>
              <w:rPr>
                <w:rFonts w:hint="eastAsia"/>
                <w:color w:val="auto"/>
                <w:szCs w:val="22"/>
                <w:highlight w:val="none"/>
              </w:rPr>
            </w:pPr>
          </w:p>
          <w:p>
            <w:pPr>
              <w:pStyle w:val="72"/>
              <w:ind w:firstLine="480"/>
              <w:rPr>
                <w:rFonts w:hint="eastAsia"/>
                <w:color w:val="auto"/>
                <w:szCs w:val="22"/>
                <w:highlight w:val="none"/>
              </w:rPr>
            </w:pPr>
          </w:p>
          <w:p>
            <w:pPr>
              <w:pStyle w:val="72"/>
              <w:ind w:firstLine="480"/>
              <w:rPr>
                <w:rFonts w:hint="eastAsia"/>
                <w:color w:val="auto"/>
                <w:szCs w:val="22"/>
                <w:highlight w:val="none"/>
              </w:rPr>
            </w:pPr>
          </w:p>
          <w:p>
            <w:pPr>
              <w:pStyle w:val="72"/>
              <w:ind w:firstLine="480"/>
              <w:rPr>
                <w:rFonts w:hint="eastAsia"/>
                <w:color w:val="auto"/>
                <w:szCs w:val="22"/>
                <w:highlight w:val="none"/>
              </w:rPr>
            </w:pPr>
          </w:p>
          <w:p>
            <w:pPr>
              <w:pStyle w:val="72"/>
              <w:ind w:firstLine="480"/>
              <w:rPr>
                <w:rFonts w:hint="eastAsia"/>
                <w:color w:val="auto"/>
                <w:szCs w:val="22"/>
                <w:highlight w:val="none"/>
              </w:rPr>
            </w:pPr>
          </w:p>
          <w:p>
            <w:pPr>
              <w:pStyle w:val="72"/>
              <w:ind w:firstLine="480"/>
              <w:rPr>
                <w:rFonts w:hint="eastAsia"/>
                <w:color w:val="auto"/>
                <w:szCs w:val="22"/>
                <w:highlight w:val="none"/>
              </w:rPr>
            </w:pPr>
          </w:p>
          <w:p>
            <w:pPr>
              <w:pStyle w:val="72"/>
              <w:ind w:firstLine="480"/>
              <w:rPr>
                <w:rFonts w:hint="eastAsia"/>
                <w:color w:val="auto"/>
                <w:szCs w:val="22"/>
                <w:highlight w:val="none"/>
              </w:rPr>
            </w:pPr>
          </w:p>
        </w:tc>
      </w:tr>
    </w:tbl>
    <w:p>
      <w:pPr>
        <w:rPr>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68"/>
        <w:rPr>
          <w:color w:val="auto"/>
          <w:highlight w:val="none"/>
        </w:rPr>
      </w:pPr>
      <w:r>
        <w:rPr>
          <w:rFonts w:hint="eastAsia"/>
          <w:color w:val="auto"/>
          <w:highlight w:val="none"/>
        </w:rPr>
        <w:t>表4.</w:t>
      </w:r>
      <w:r>
        <w:rPr>
          <w:rFonts w:hint="eastAsia"/>
          <w:color w:val="auto"/>
          <w:highlight w:val="none"/>
          <w:lang w:val="en-US" w:eastAsia="zh-CN"/>
        </w:rPr>
        <w:t>3</w:t>
      </w:r>
      <w:r>
        <w:rPr>
          <w:rFonts w:hint="eastAsia"/>
          <w:color w:val="auto"/>
          <w:highlight w:val="none"/>
        </w:rPr>
        <w:t>.1废气污染源源强核算结果及相关参数一览表</w:t>
      </w:r>
    </w:p>
    <w:tbl>
      <w:tblPr>
        <w:tblStyle w:val="2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6"/>
        <w:gridCol w:w="641"/>
        <w:gridCol w:w="862"/>
        <w:gridCol w:w="771"/>
        <w:gridCol w:w="467"/>
        <w:gridCol w:w="744"/>
        <w:gridCol w:w="774"/>
        <w:gridCol w:w="919"/>
        <w:gridCol w:w="1331"/>
        <w:gridCol w:w="807"/>
        <w:gridCol w:w="712"/>
        <w:gridCol w:w="806"/>
        <w:gridCol w:w="750"/>
        <w:gridCol w:w="432"/>
        <w:gridCol w:w="480"/>
        <w:gridCol w:w="465"/>
        <w:gridCol w:w="766"/>
        <w:gridCol w:w="6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26" w:type="dxa"/>
            <w:vMerge w:val="restart"/>
            <w:tcBorders>
              <w:tl2br w:val="nil"/>
              <w:tr2bl w:val="nil"/>
            </w:tcBorders>
            <w:vAlign w:val="center"/>
          </w:tcPr>
          <w:p>
            <w:pPr>
              <w:pStyle w:val="70"/>
              <w:rPr>
                <w:color w:val="auto"/>
                <w:sz w:val="18"/>
                <w:szCs w:val="18"/>
                <w:highlight w:val="none"/>
              </w:rPr>
            </w:pPr>
            <w:r>
              <w:rPr>
                <w:rFonts w:hint="eastAsia"/>
                <w:color w:val="auto"/>
                <w:sz w:val="18"/>
                <w:szCs w:val="18"/>
                <w:highlight w:val="none"/>
              </w:rPr>
              <w:t>排放形式</w:t>
            </w:r>
          </w:p>
        </w:tc>
        <w:tc>
          <w:tcPr>
            <w:tcW w:w="641" w:type="dxa"/>
            <w:vMerge w:val="restart"/>
            <w:tcBorders>
              <w:tl2br w:val="nil"/>
              <w:tr2bl w:val="nil"/>
            </w:tcBorders>
            <w:vAlign w:val="center"/>
          </w:tcPr>
          <w:p>
            <w:pPr>
              <w:pStyle w:val="70"/>
              <w:rPr>
                <w:color w:val="auto"/>
                <w:sz w:val="18"/>
                <w:szCs w:val="18"/>
                <w:highlight w:val="none"/>
              </w:rPr>
            </w:pPr>
            <w:r>
              <w:rPr>
                <w:rFonts w:hint="eastAsia"/>
                <w:color w:val="auto"/>
                <w:sz w:val="18"/>
                <w:szCs w:val="18"/>
                <w:highlight w:val="none"/>
              </w:rPr>
              <w:t>污染源</w:t>
            </w:r>
          </w:p>
        </w:tc>
        <w:tc>
          <w:tcPr>
            <w:tcW w:w="862" w:type="dxa"/>
            <w:vMerge w:val="restart"/>
            <w:tcBorders>
              <w:tl2br w:val="nil"/>
              <w:tr2bl w:val="nil"/>
            </w:tcBorders>
            <w:vAlign w:val="center"/>
          </w:tcPr>
          <w:p>
            <w:pPr>
              <w:pStyle w:val="70"/>
              <w:rPr>
                <w:color w:val="auto"/>
                <w:sz w:val="18"/>
                <w:szCs w:val="18"/>
                <w:highlight w:val="none"/>
              </w:rPr>
            </w:pPr>
            <w:r>
              <w:rPr>
                <w:rFonts w:hint="eastAsia"/>
                <w:color w:val="auto"/>
                <w:sz w:val="18"/>
                <w:szCs w:val="18"/>
                <w:highlight w:val="none"/>
              </w:rPr>
              <w:t>污染物</w:t>
            </w:r>
          </w:p>
        </w:tc>
        <w:tc>
          <w:tcPr>
            <w:tcW w:w="771" w:type="dxa"/>
            <w:vMerge w:val="restart"/>
            <w:tcBorders>
              <w:tl2br w:val="nil"/>
              <w:tr2bl w:val="nil"/>
            </w:tcBorders>
            <w:vAlign w:val="center"/>
          </w:tcPr>
          <w:p>
            <w:pPr>
              <w:pStyle w:val="70"/>
              <w:rPr>
                <w:color w:val="auto"/>
                <w:sz w:val="18"/>
                <w:szCs w:val="18"/>
                <w:highlight w:val="none"/>
              </w:rPr>
            </w:pPr>
            <w:r>
              <w:rPr>
                <w:rFonts w:hint="eastAsia"/>
                <w:color w:val="auto"/>
                <w:sz w:val="18"/>
                <w:szCs w:val="18"/>
                <w:highlight w:val="none"/>
              </w:rPr>
              <w:t>废气量</w:t>
            </w:r>
          </w:p>
          <w:p>
            <w:pPr>
              <w:pStyle w:val="70"/>
              <w:rPr>
                <w:color w:val="auto"/>
                <w:sz w:val="18"/>
                <w:szCs w:val="18"/>
                <w:highlight w:val="none"/>
              </w:rPr>
            </w:pPr>
            <w:r>
              <w:rPr>
                <w:rFonts w:hint="eastAsia"/>
                <w:color w:val="auto"/>
                <w:sz w:val="18"/>
                <w:szCs w:val="18"/>
                <w:highlight w:val="none"/>
              </w:rPr>
              <w:t>m</w:t>
            </w:r>
            <w:r>
              <w:rPr>
                <w:rFonts w:hint="eastAsia"/>
                <w:color w:val="auto"/>
                <w:sz w:val="18"/>
                <w:szCs w:val="18"/>
                <w:highlight w:val="none"/>
                <w:vertAlign w:val="superscript"/>
              </w:rPr>
              <w:t>3</w:t>
            </w:r>
            <w:r>
              <w:rPr>
                <w:rFonts w:hint="eastAsia"/>
                <w:color w:val="auto"/>
                <w:sz w:val="18"/>
                <w:szCs w:val="18"/>
                <w:highlight w:val="none"/>
              </w:rPr>
              <w:t>/h</w:t>
            </w:r>
          </w:p>
        </w:tc>
        <w:tc>
          <w:tcPr>
            <w:tcW w:w="467" w:type="dxa"/>
            <w:vMerge w:val="restart"/>
            <w:tcBorders>
              <w:tl2br w:val="nil"/>
              <w:tr2bl w:val="nil"/>
            </w:tcBorders>
            <w:vAlign w:val="center"/>
          </w:tcPr>
          <w:p>
            <w:pPr>
              <w:pStyle w:val="70"/>
              <w:rPr>
                <w:color w:val="auto"/>
                <w:sz w:val="18"/>
                <w:szCs w:val="18"/>
                <w:highlight w:val="none"/>
              </w:rPr>
            </w:pPr>
            <w:r>
              <w:rPr>
                <w:rFonts w:hint="eastAsia"/>
                <w:color w:val="auto"/>
                <w:sz w:val="18"/>
                <w:szCs w:val="18"/>
                <w:highlight w:val="none"/>
              </w:rPr>
              <w:t>核算方法</w:t>
            </w:r>
          </w:p>
          <w:p>
            <w:pPr>
              <w:pStyle w:val="70"/>
              <w:rPr>
                <w:color w:val="auto"/>
                <w:sz w:val="18"/>
                <w:szCs w:val="18"/>
                <w:highlight w:val="none"/>
              </w:rPr>
            </w:pPr>
          </w:p>
        </w:tc>
        <w:tc>
          <w:tcPr>
            <w:tcW w:w="744" w:type="dxa"/>
            <w:vMerge w:val="restart"/>
            <w:tcBorders>
              <w:tl2br w:val="nil"/>
              <w:tr2bl w:val="nil"/>
            </w:tcBorders>
            <w:vAlign w:val="center"/>
          </w:tcPr>
          <w:p>
            <w:pPr>
              <w:keepNext w:val="0"/>
              <w:keepLines w:val="0"/>
              <w:widowControl/>
              <w:suppressLineNumbers w:val="0"/>
              <w:jc w:val="center"/>
              <w:textAlignment w:val="center"/>
              <w:rPr>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产生量</w:t>
            </w:r>
            <w:r>
              <w:rPr>
                <w:rFonts w:hint="eastAsia" w:ascii="宋体" w:hAnsi="宋体" w:cs="宋体"/>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t/a</w:t>
            </w:r>
            <w:r>
              <w:rPr>
                <w:rFonts w:hint="eastAsia" w:ascii="Times New Roman" w:hAnsi="Times New Roman" w:cs="Times New Roman"/>
                <w:i w:val="0"/>
                <w:iCs w:val="0"/>
                <w:color w:val="auto"/>
                <w:kern w:val="0"/>
                <w:sz w:val="18"/>
                <w:szCs w:val="18"/>
                <w:highlight w:val="none"/>
                <w:u w:val="none"/>
                <w:lang w:val="en-US" w:eastAsia="zh-CN" w:bidi="ar"/>
              </w:rPr>
              <w:t>）</w:t>
            </w:r>
          </w:p>
        </w:tc>
        <w:tc>
          <w:tcPr>
            <w:tcW w:w="774" w:type="dxa"/>
            <w:vMerge w:val="restart"/>
            <w:tcBorders>
              <w:tl2br w:val="nil"/>
              <w:tr2bl w:val="nil"/>
            </w:tcBorders>
            <w:vAlign w:val="center"/>
          </w:tcPr>
          <w:p>
            <w:pPr>
              <w:keepNext w:val="0"/>
              <w:keepLines w:val="0"/>
              <w:widowControl/>
              <w:suppressLineNumbers w:val="0"/>
              <w:jc w:val="center"/>
              <w:textAlignment w:val="center"/>
              <w:rPr>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产生速率</w:t>
            </w:r>
            <w:r>
              <w:rPr>
                <w:rFonts w:hint="default" w:ascii="Times New Roman" w:hAnsi="Times New Roman" w:eastAsia="宋体" w:cs="Times New Roman"/>
                <w:i w:val="0"/>
                <w:iCs w:val="0"/>
                <w:color w:val="auto"/>
                <w:kern w:val="0"/>
                <w:sz w:val="18"/>
                <w:szCs w:val="18"/>
                <w:highlight w:val="none"/>
                <w:u w:val="none"/>
                <w:lang w:val="en-US" w:eastAsia="zh-CN" w:bidi="ar"/>
              </w:rPr>
              <w:t>kg/h</w:t>
            </w:r>
          </w:p>
        </w:tc>
        <w:tc>
          <w:tcPr>
            <w:tcW w:w="919" w:type="dxa"/>
            <w:vMerge w:val="restart"/>
            <w:tcBorders>
              <w:tl2br w:val="nil"/>
              <w:tr2bl w:val="nil"/>
            </w:tcBorders>
            <w:vAlign w:val="center"/>
          </w:tcPr>
          <w:p>
            <w:pPr>
              <w:keepNext w:val="0"/>
              <w:keepLines w:val="0"/>
              <w:widowControl/>
              <w:suppressLineNumbers w:val="0"/>
              <w:jc w:val="center"/>
              <w:textAlignment w:val="center"/>
              <w:rPr>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产生浓度</w:t>
            </w:r>
            <w:r>
              <w:rPr>
                <w:rFonts w:hint="default" w:ascii="Times New Roman" w:hAnsi="Times New Roman" w:eastAsia="宋体" w:cs="Times New Roman"/>
                <w:i w:val="0"/>
                <w:iCs w:val="0"/>
                <w:color w:val="auto"/>
                <w:kern w:val="0"/>
                <w:sz w:val="18"/>
                <w:szCs w:val="18"/>
                <w:highlight w:val="none"/>
                <w:u w:val="none"/>
                <w:lang w:val="en-US" w:eastAsia="zh-CN" w:bidi="ar"/>
              </w:rPr>
              <w:t>mg/m</w:t>
            </w:r>
            <w:r>
              <w:rPr>
                <w:rStyle w:val="95"/>
                <w:rFonts w:eastAsia="宋体"/>
                <w:color w:val="auto"/>
                <w:highlight w:val="none"/>
                <w:lang w:val="en-US" w:eastAsia="zh-CN" w:bidi="ar"/>
              </w:rPr>
              <w:t>3</w:t>
            </w:r>
          </w:p>
        </w:tc>
        <w:tc>
          <w:tcPr>
            <w:tcW w:w="1331" w:type="dxa"/>
            <w:vMerge w:val="restart"/>
            <w:tcBorders>
              <w:tl2br w:val="nil"/>
              <w:tr2bl w:val="nil"/>
            </w:tcBorders>
            <w:vAlign w:val="center"/>
          </w:tcPr>
          <w:p>
            <w:pPr>
              <w:keepNext w:val="0"/>
              <w:keepLines w:val="0"/>
              <w:widowControl/>
              <w:suppressLineNumbers w:val="0"/>
              <w:jc w:val="center"/>
              <w:textAlignment w:val="center"/>
              <w:rPr>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治理措施</w:t>
            </w:r>
          </w:p>
        </w:tc>
        <w:tc>
          <w:tcPr>
            <w:tcW w:w="807" w:type="dxa"/>
            <w:vMerge w:val="restart"/>
            <w:tcBorders>
              <w:tl2br w:val="nil"/>
              <w:tr2bl w:val="nil"/>
            </w:tcBorders>
            <w:vAlign w:val="center"/>
          </w:tcPr>
          <w:p>
            <w:pPr>
              <w:keepNext w:val="0"/>
              <w:keepLines w:val="0"/>
              <w:widowControl/>
              <w:suppressLineNumbers w:val="0"/>
              <w:jc w:val="both"/>
              <w:textAlignment w:val="center"/>
              <w:rPr>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去除率</w:t>
            </w:r>
            <w:r>
              <w:rPr>
                <w:rFonts w:hint="eastAsia" w:ascii="宋体" w:hAnsi="宋体" w:cs="宋体"/>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ascii="Times New Roman" w:hAnsi="Times New Roman" w:cs="Times New Roman"/>
                <w:i w:val="0"/>
                <w:iCs w:val="0"/>
                <w:color w:val="auto"/>
                <w:kern w:val="0"/>
                <w:sz w:val="18"/>
                <w:szCs w:val="18"/>
                <w:highlight w:val="none"/>
                <w:u w:val="none"/>
                <w:lang w:val="en-US" w:eastAsia="zh-CN" w:bidi="ar"/>
              </w:rPr>
              <w:t>）</w:t>
            </w:r>
          </w:p>
        </w:tc>
        <w:tc>
          <w:tcPr>
            <w:tcW w:w="712"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排放量</w:t>
            </w:r>
            <w:r>
              <w:rPr>
                <w:rFonts w:hint="eastAsia" w:ascii="宋体" w:hAnsi="宋体" w:cs="宋体"/>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t/a</w:t>
            </w:r>
            <w:r>
              <w:rPr>
                <w:rFonts w:hint="eastAsia" w:ascii="Times New Roman" w:hAnsi="Times New Roman" w:cs="Times New Roman"/>
                <w:i w:val="0"/>
                <w:iCs w:val="0"/>
                <w:color w:val="auto"/>
                <w:kern w:val="0"/>
                <w:sz w:val="18"/>
                <w:szCs w:val="18"/>
                <w:highlight w:val="none"/>
                <w:u w:val="none"/>
                <w:lang w:val="en-US" w:eastAsia="zh-CN" w:bidi="ar"/>
              </w:rPr>
              <w:t>）</w:t>
            </w:r>
          </w:p>
        </w:tc>
        <w:tc>
          <w:tcPr>
            <w:tcW w:w="806"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排放速率</w:t>
            </w:r>
            <w:r>
              <w:rPr>
                <w:rFonts w:hint="eastAsia" w:ascii="宋体" w:hAnsi="宋体" w:cs="宋体"/>
                <w:i w:val="0"/>
                <w:iCs w:val="0"/>
                <w:color w:val="auto"/>
                <w:kern w:val="0"/>
                <w:sz w:val="18"/>
                <w:szCs w:val="18"/>
                <w:highlight w:val="none"/>
                <w:u w:val="none"/>
                <w:lang w:val="en-US" w:eastAsia="zh-CN" w:bidi="ar"/>
              </w:rPr>
              <w:t>（</w:t>
            </w:r>
            <w:r>
              <w:rPr>
                <w:rFonts w:hint="default" w:ascii="Times New Roman" w:hAnsi="Times New Roman" w:eastAsia="宋体" w:cs="Times New Roman"/>
                <w:i w:val="0"/>
                <w:iCs w:val="0"/>
                <w:color w:val="auto"/>
                <w:kern w:val="0"/>
                <w:sz w:val="18"/>
                <w:szCs w:val="18"/>
                <w:highlight w:val="none"/>
                <w:u w:val="none"/>
                <w:lang w:val="en-US" w:eastAsia="zh-CN" w:bidi="ar"/>
              </w:rPr>
              <w:t>kg/h</w:t>
            </w:r>
            <w:r>
              <w:rPr>
                <w:rFonts w:hint="eastAsia" w:ascii="Times New Roman" w:hAnsi="Times New Roman" w:cs="Times New Roman"/>
                <w:i w:val="0"/>
                <w:iCs w:val="0"/>
                <w:color w:val="auto"/>
                <w:kern w:val="0"/>
                <w:sz w:val="18"/>
                <w:szCs w:val="18"/>
                <w:highlight w:val="none"/>
                <w:u w:val="none"/>
                <w:lang w:val="en-US" w:eastAsia="zh-CN" w:bidi="ar"/>
              </w:rPr>
              <w:t>）</w:t>
            </w:r>
          </w:p>
        </w:tc>
        <w:tc>
          <w:tcPr>
            <w:tcW w:w="750"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排放浓度</w:t>
            </w:r>
            <w:r>
              <w:rPr>
                <w:rFonts w:hint="default" w:ascii="Times New Roman" w:hAnsi="Times New Roman" w:eastAsia="宋体" w:cs="Times New Roman"/>
                <w:i w:val="0"/>
                <w:iCs w:val="0"/>
                <w:color w:val="auto"/>
                <w:kern w:val="0"/>
                <w:sz w:val="18"/>
                <w:szCs w:val="18"/>
                <w:highlight w:val="none"/>
                <w:u w:val="none"/>
                <w:lang w:val="en-US" w:eastAsia="zh-CN" w:bidi="ar"/>
              </w:rPr>
              <w:t>mg/m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p>
        </w:tc>
        <w:tc>
          <w:tcPr>
            <w:tcW w:w="2143" w:type="dxa"/>
            <w:gridSpan w:val="4"/>
            <w:tcBorders>
              <w:tl2br w:val="nil"/>
              <w:tr2bl w:val="nil"/>
            </w:tcBorders>
            <w:shd w:val="clear" w:color="auto" w:fill="auto"/>
            <w:vAlign w:val="center"/>
          </w:tcPr>
          <w:p>
            <w:pPr>
              <w:pStyle w:val="70"/>
              <w:rPr>
                <w:rFonts w:hint="eastAsia"/>
                <w:color w:val="auto"/>
                <w:sz w:val="18"/>
                <w:szCs w:val="18"/>
                <w:highlight w:val="none"/>
              </w:rPr>
            </w:pPr>
            <w:r>
              <w:rPr>
                <w:rFonts w:hint="eastAsia"/>
                <w:color w:val="auto"/>
                <w:sz w:val="18"/>
                <w:szCs w:val="18"/>
                <w:highlight w:val="none"/>
              </w:rPr>
              <w:t>排气筒概况</w:t>
            </w:r>
          </w:p>
        </w:tc>
        <w:tc>
          <w:tcPr>
            <w:tcW w:w="625" w:type="dxa"/>
            <w:vMerge w:val="restart"/>
            <w:tcBorders>
              <w:tl2br w:val="nil"/>
              <w:tr2bl w:val="nil"/>
            </w:tcBorders>
            <w:shd w:val="clear" w:color="auto" w:fill="auto"/>
            <w:vAlign w:val="center"/>
          </w:tcPr>
          <w:p>
            <w:pPr>
              <w:pStyle w:val="70"/>
              <w:rPr>
                <w:color w:val="auto"/>
                <w:sz w:val="18"/>
                <w:szCs w:val="18"/>
                <w:highlight w:val="none"/>
              </w:rPr>
            </w:pPr>
            <w:r>
              <w:rPr>
                <w:rFonts w:hint="eastAsia"/>
                <w:color w:val="auto"/>
                <w:sz w:val="18"/>
                <w:szCs w:val="18"/>
                <w:highlight w:val="none"/>
              </w:rPr>
              <w:t>排放时间</w:t>
            </w:r>
            <w:r>
              <w:rPr>
                <w:rFonts w:hint="eastAsia"/>
                <w:color w:val="auto"/>
                <w:sz w:val="18"/>
                <w:szCs w:val="18"/>
                <w:highlight w:val="none"/>
                <w:lang w:eastAsia="zh-CN"/>
              </w:rPr>
              <w:t>（</w:t>
            </w:r>
            <w:r>
              <w:rPr>
                <w:rFonts w:hint="eastAsia"/>
                <w:color w:val="auto"/>
                <w:sz w:val="18"/>
                <w:szCs w:val="18"/>
                <w:highlight w:val="none"/>
              </w:rPr>
              <w:t>h/a</w:t>
            </w:r>
            <w:r>
              <w:rPr>
                <w:rFonts w:hint="eastAsia"/>
                <w:color w:val="auto"/>
                <w:sz w:val="18"/>
                <w:szCs w:val="18"/>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7" w:hRule="atLeast"/>
        </w:trPr>
        <w:tc>
          <w:tcPr>
            <w:tcW w:w="426" w:type="dxa"/>
            <w:vMerge w:val="continue"/>
            <w:tcBorders>
              <w:tl2br w:val="nil"/>
              <w:tr2bl w:val="nil"/>
            </w:tcBorders>
            <w:vAlign w:val="center"/>
          </w:tcPr>
          <w:p>
            <w:pPr>
              <w:pStyle w:val="70"/>
              <w:rPr>
                <w:color w:val="auto"/>
                <w:sz w:val="18"/>
                <w:szCs w:val="18"/>
                <w:highlight w:val="none"/>
              </w:rPr>
            </w:pPr>
          </w:p>
        </w:tc>
        <w:tc>
          <w:tcPr>
            <w:tcW w:w="641" w:type="dxa"/>
            <w:vMerge w:val="continue"/>
            <w:tcBorders>
              <w:tl2br w:val="nil"/>
              <w:tr2bl w:val="nil"/>
            </w:tcBorders>
            <w:vAlign w:val="center"/>
          </w:tcPr>
          <w:p>
            <w:pPr>
              <w:pStyle w:val="70"/>
              <w:rPr>
                <w:color w:val="auto"/>
                <w:sz w:val="18"/>
                <w:szCs w:val="18"/>
                <w:highlight w:val="none"/>
              </w:rPr>
            </w:pPr>
          </w:p>
        </w:tc>
        <w:tc>
          <w:tcPr>
            <w:tcW w:w="862" w:type="dxa"/>
            <w:vMerge w:val="continue"/>
            <w:tcBorders>
              <w:tl2br w:val="nil"/>
              <w:tr2bl w:val="nil"/>
            </w:tcBorders>
            <w:vAlign w:val="center"/>
          </w:tcPr>
          <w:p>
            <w:pPr>
              <w:pStyle w:val="70"/>
              <w:rPr>
                <w:color w:val="auto"/>
                <w:sz w:val="18"/>
                <w:szCs w:val="18"/>
                <w:highlight w:val="none"/>
              </w:rPr>
            </w:pPr>
          </w:p>
        </w:tc>
        <w:tc>
          <w:tcPr>
            <w:tcW w:w="771" w:type="dxa"/>
            <w:vMerge w:val="continue"/>
            <w:tcBorders>
              <w:tl2br w:val="nil"/>
              <w:tr2bl w:val="nil"/>
            </w:tcBorders>
            <w:vAlign w:val="center"/>
          </w:tcPr>
          <w:p>
            <w:pPr>
              <w:pStyle w:val="70"/>
              <w:rPr>
                <w:color w:val="auto"/>
                <w:sz w:val="18"/>
                <w:szCs w:val="18"/>
                <w:highlight w:val="none"/>
              </w:rPr>
            </w:pPr>
          </w:p>
        </w:tc>
        <w:tc>
          <w:tcPr>
            <w:tcW w:w="467" w:type="dxa"/>
            <w:vMerge w:val="continue"/>
            <w:tcBorders>
              <w:tl2br w:val="nil"/>
              <w:tr2bl w:val="nil"/>
            </w:tcBorders>
            <w:vAlign w:val="center"/>
          </w:tcPr>
          <w:p>
            <w:pPr>
              <w:pStyle w:val="70"/>
              <w:rPr>
                <w:color w:val="auto"/>
                <w:sz w:val="18"/>
                <w:szCs w:val="18"/>
                <w:highlight w:val="none"/>
              </w:rPr>
            </w:pPr>
          </w:p>
        </w:tc>
        <w:tc>
          <w:tcPr>
            <w:tcW w:w="744" w:type="dxa"/>
            <w:vMerge w:val="continue"/>
            <w:tcBorders>
              <w:tl2br w:val="nil"/>
              <w:tr2bl w:val="nil"/>
            </w:tcBorders>
            <w:vAlign w:val="center"/>
          </w:tcPr>
          <w:p>
            <w:pPr>
              <w:pStyle w:val="70"/>
              <w:rPr>
                <w:color w:val="auto"/>
                <w:sz w:val="18"/>
                <w:szCs w:val="18"/>
                <w:highlight w:val="none"/>
              </w:rPr>
            </w:pPr>
          </w:p>
        </w:tc>
        <w:tc>
          <w:tcPr>
            <w:tcW w:w="774" w:type="dxa"/>
            <w:vMerge w:val="continue"/>
            <w:tcBorders>
              <w:tl2br w:val="nil"/>
              <w:tr2bl w:val="nil"/>
            </w:tcBorders>
            <w:vAlign w:val="center"/>
          </w:tcPr>
          <w:p>
            <w:pPr>
              <w:pStyle w:val="70"/>
              <w:rPr>
                <w:color w:val="auto"/>
                <w:sz w:val="18"/>
                <w:szCs w:val="18"/>
                <w:highlight w:val="none"/>
              </w:rPr>
            </w:pPr>
          </w:p>
        </w:tc>
        <w:tc>
          <w:tcPr>
            <w:tcW w:w="919" w:type="dxa"/>
            <w:vMerge w:val="continue"/>
            <w:tcBorders>
              <w:tl2br w:val="nil"/>
              <w:tr2bl w:val="nil"/>
            </w:tcBorders>
            <w:vAlign w:val="center"/>
          </w:tcPr>
          <w:p>
            <w:pPr>
              <w:pStyle w:val="70"/>
              <w:rPr>
                <w:color w:val="auto"/>
                <w:sz w:val="18"/>
                <w:szCs w:val="18"/>
                <w:highlight w:val="none"/>
              </w:rPr>
            </w:pPr>
          </w:p>
        </w:tc>
        <w:tc>
          <w:tcPr>
            <w:tcW w:w="1331" w:type="dxa"/>
            <w:vMerge w:val="continue"/>
            <w:tcBorders>
              <w:tl2br w:val="nil"/>
              <w:tr2bl w:val="nil"/>
            </w:tcBorders>
            <w:vAlign w:val="center"/>
          </w:tcPr>
          <w:p>
            <w:pPr>
              <w:pStyle w:val="70"/>
              <w:rPr>
                <w:color w:val="auto"/>
                <w:sz w:val="18"/>
                <w:szCs w:val="18"/>
                <w:highlight w:val="none"/>
              </w:rPr>
            </w:pPr>
          </w:p>
        </w:tc>
        <w:tc>
          <w:tcPr>
            <w:tcW w:w="807" w:type="dxa"/>
            <w:vMerge w:val="continue"/>
            <w:tcBorders>
              <w:tl2br w:val="nil"/>
              <w:tr2bl w:val="nil"/>
            </w:tcBorders>
            <w:vAlign w:val="center"/>
          </w:tcPr>
          <w:p>
            <w:pPr>
              <w:pStyle w:val="70"/>
              <w:rPr>
                <w:color w:val="auto"/>
                <w:sz w:val="18"/>
                <w:szCs w:val="18"/>
                <w:highlight w:val="none"/>
              </w:rPr>
            </w:pPr>
          </w:p>
        </w:tc>
        <w:tc>
          <w:tcPr>
            <w:tcW w:w="712" w:type="dxa"/>
            <w:vMerge w:val="continue"/>
            <w:tcBorders>
              <w:tl2br w:val="nil"/>
              <w:tr2bl w:val="nil"/>
            </w:tcBorders>
            <w:shd w:val="clear" w:color="auto" w:fill="auto"/>
            <w:vAlign w:val="center"/>
          </w:tcPr>
          <w:p>
            <w:pPr>
              <w:pStyle w:val="70"/>
              <w:rPr>
                <w:color w:val="auto"/>
                <w:sz w:val="18"/>
                <w:szCs w:val="18"/>
                <w:highlight w:val="none"/>
              </w:rPr>
            </w:pPr>
          </w:p>
        </w:tc>
        <w:tc>
          <w:tcPr>
            <w:tcW w:w="806" w:type="dxa"/>
            <w:vMerge w:val="continue"/>
            <w:tcBorders>
              <w:tl2br w:val="nil"/>
              <w:tr2bl w:val="nil"/>
            </w:tcBorders>
            <w:shd w:val="clear" w:color="auto" w:fill="auto"/>
            <w:vAlign w:val="center"/>
          </w:tcPr>
          <w:p>
            <w:pPr>
              <w:pStyle w:val="70"/>
              <w:rPr>
                <w:color w:val="auto"/>
                <w:sz w:val="18"/>
                <w:szCs w:val="18"/>
                <w:highlight w:val="none"/>
              </w:rPr>
            </w:pPr>
          </w:p>
        </w:tc>
        <w:tc>
          <w:tcPr>
            <w:tcW w:w="750" w:type="dxa"/>
            <w:vMerge w:val="continue"/>
            <w:tcBorders>
              <w:tl2br w:val="nil"/>
              <w:tr2bl w:val="nil"/>
            </w:tcBorders>
            <w:shd w:val="clear" w:color="auto" w:fill="auto"/>
            <w:vAlign w:val="center"/>
          </w:tcPr>
          <w:p>
            <w:pPr>
              <w:pStyle w:val="70"/>
              <w:rPr>
                <w:color w:val="auto"/>
                <w:sz w:val="18"/>
                <w:szCs w:val="18"/>
                <w:highlight w:val="none"/>
              </w:rPr>
            </w:pPr>
          </w:p>
        </w:tc>
        <w:tc>
          <w:tcPr>
            <w:tcW w:w="432" w:type="dxa"/>
            <w:tcBorders>
              <w:tl2br w:val="nil"/>
              <w:tr2bl w:val="nil"/>
            </w:tcBorders>
            <w:shd w:val="clear" w:color="auto" w:fill="auto"/>
            <w:vAlign w:val="center"/>
          </w:tcPr>
          <w:p>
            <w:pPr>
              <w:pStyle w:val="70"/>
              <w:rPr>
                <w:color w:val="auto"/>
                <w:sz w:val="18"/>
                <w:szCs w:val="18"/>
                <w:highlight w:val="none"/>
              </w:rPr>
            </w:pPr>
            <w:r>
              <w:rPr>
                <w:rFonts w:hint="eastAsia"/>
                <w:color w:val="auto"/>
                <w:sz w:val="18"/>
                <w:szCs w:val="18"/>
                <w:highlight w:val="none"/>
              </w:rPr>
              <w:t>高度</w:t>
            </w:r>
          </w:p>
          <w:p>
            <w:pPr>
              <w:pStyle w:val="70"/>
              <w:rPr>
                <w:color w:val="auto"/>
                <w:sz w:val="18"/>
                <w:szCs w:val="18"/>
                <w:highlight w:val="none"/>
              </w:rPr>
            </w:pPr>
            <w:r>
              <w:rPr>
                <w:rFonts w:hint="eastAsia"/>
                <w:color w:val="auto"/>
                <w:sz w:val="18"/>
                <w:szCs w:val="18"/>
                <w:highlight w:val="none"/>
              </w:rPr>
              <w:t>m</w:t>
            </w:r>
          </w:p>
        </w:tc>
        <w:tc>
          <w:tcPr>
            <w:tcW w:w="480" w:type="dxa"/>
            <w:tcBorders>
              <w:tl2br w:val="nil"/>
              <w:tr2bl w:val="nil"/>
            </w:tcBorders>
            <w:shd w:val="clear" w:color="auto" w:fill="auto"/>
            <w:vAlign w:val="center"/>
          </w:tcPr>
          <w:p>
            <w:pPr>
              <w:pStyle w:val="70"/>
              <w:rPr>
                <w:color w:val="auto"/>
                <w:sz w:val="18"/>
                <w:szCs w:val="18"/>
                <w:highlight w:val="none"/>
              </w:rPr>
            </w:pPr>
            <w:r>
              <w:rPr>
                <w:rFonts w:hint="eastAsia"/>
                <w:color w:val="auto"/>
                <w:sz w:val="18"/>
                <w:szCs w:val="18"/>
                <w:highlight w:val="none"/>
              </w:rPr>
              <w:t>内径</w:t>
            </w:r>
          </w:p>
          <w:p>
            <w:pPr>
              <w:pStyle w:val="70"/>
              <w:rPr>
                <w:color w:val="auto"/>
                <w:sz w:val="18"/>
                <w:szCs w:val="18"/>
                <w:highlight w:val="none"/>
              </w:rPr>
            </w:pPr>
            <w:r>
              <w:rPr>
                <w:rFonts w:hint="eastAsia"/>
                <w:color w:val="auto"/>
                <w:sz w:val="18"/>
                <w:szCs w:val="18"/>
                <w:highlight w:val="none"/>
              </w:rPr>
              <w:t>m</w:t>
            </w:r>
          </w:p>
        </w:tc>
        <w:tc>
          <w:tcPr>
            <w:tcW w:w="465" w:type="dxa"/>
            <w:tcBorders>
              <w:tl2br w:val="nil"/>
              <w:tr2bl w:val="nil"/>
            </w:tcBorders>
            <w:shd w:val="clear" w:color="auto" w:fill="auto"/>
            <w:vAlign w:val="center"/>
          </w:tcPr>
          <w:p>
            <w:pPr>
              <w:pStyle w:val="70"/>
              <w:rPr>
                <w:color w:val="auto"/>
                <w:sz w:val="18"/>
                <w:szCs w:val="18"/>
                <w:highlight w:val="none"/>
              </w:rPr>
            </w:pPr>
            <w:r>
              <w:rPr>
                <w:rFonts w:hint="eastAsia"/>
                <w:color w:val="auto"/>
                <w:sz w:val="18"/>
                <w:szCs w:val="18"/>
                <w:highlight w:val="none"/>
              </w:rPr>
              <w:t>温度</w:t>
            </w:r>
            <w:r>
              <w:rPr>
                <w:color w:val="auto"/>
                <w:sz w:val="18"/>
                <w:szCs w:val="18"/>
                <w:highlight w:val="none"/>
              </w:rPr>
              <w:t>℃</w:t>
            </w:r>
          </w:p>
        </w:tc>
        <w:tc>
          <w:tcPr>
            <w:tcW w:w="766" w:type="dxa"/>
            <w:tcBorders>
              <w:tl2br w:val="nil"/>
              <w:tr2bl w:val="nil"/>
            </w:tcBorders>
            <w:shd w:val="clear" w:color="auto" w:fill="auto"/>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排气筒编号</w:t>
            </w:r>
          </w:p>
        </w:tc>
        <w:tc>
          <w:tcPr>
            <w:tcW w:w="625" w:type="dxa"/>
            <w:vMerge w:val="continue"/>
            <w:tcBorders>
              <w:tl2br w:val="nil"/>
              <w:tr2bl w:val="nil"/>
            </w:tcBorders>
            <w:shd w:val="clear" w:color="auto" w:fill="auto"/>
            <w:vAlign w:val="center"/>
          </w:tcPr>
          <w:p>
            <w:pPr>
              <w:pStyle w:val="70"/>
              <w:rPr>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26" w:type="dxa"/>
            <w:vMerge w:val="restart"/>
            <w:tcBorders>
              <w:tl2br w:val="nil"/>
              <w:tr2bl w:val="nil"/>
            </w:tcBorders>
            <w:shd w:val="clear" w:color="auto" w:fill="auto"/>
            <w:vAlign w:val="center"/>
          </w:tcPr>
          <w:p>
            <w:pPr>
              <w:pStyle w:val="70"/>
              <w:rPr>
                <w:color w:val="auto"/>
                <w:sz w:val="18"/>
                <w:szCs w:val="18"/>
                <w:highlight w:val="none"/>
              </w:rPr>
            </w:pPr>
            <w:r>
              <w:rPr>
                <w:rFonts w:hint="eastAsia"/>
                <w:color w:val="auto"/>
                <w:sz w:val="18"/>
                <w:szCs w:val="18"/>
                <w:highlight w:val="none"/>
              </w:rPr>
              <w:t>有组织</w:t>
            </w:r>
          </w:p>
        </w:tc>
        <w:tc>
          <w:tcPr>
            <w:tcW w:w="641" w:type="dxa"/>
            <w:vMerge w:val="restart"/>
            <w:tcBorders>
              <w:tl2br w:val="nil"/>
              <w:tr2bl w:val="nil"/>
            </w:tcBorders>
            <w:shd w:val="clear" w:color="auto" w:fill="auto"/>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喷砂</w:t>
            </w:r>
          </w:p>
        </w:tc>
        <w:tc>
          <w:tcPr>
            <w:tcW w:w="862" w:type="dxa"/>
            <w:tcBorders>
              <w:tl2br w:val="nil"/>
              <w:tr2bl w:val="nil"/>
            </w:tcBorders>
            <w:shd w:val="clear" w:color="auto" w:fill="auto"/>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颗粒物</w:t>
            </w:r>
          </w:p>
        </w:tc>
        <w:tc>
          <w:tcPr>
            <w:tcW w:w="771" w:type="dxa"/>
            <w:tcBorders>
              <w:tl2br w:val="nil"/>
              <w:tr2bl w:val="nil"/>
            </w:tcBorders>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20000</w:t>
            </w:r>
          </w:p>
        </w:tc>
        <w:tc>
          <w:tcPr>
            <w:tcW w:w="467" w:type="dxa"/>
            <w:vMerge w:val="restart"/>
            <w:tcBorders>
              <w:tl2br w:val="nil"/>
              <w:tr2bl w:val="nil"/>
            </w:tcBorders>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类比法</w:t>
            </w:r>
          </w:p>
        </w:tc>
        <w:tc>
          <w:tcPr>
            <w:tcW w:w="744" w:type="dxa"/>
            <w:tcBorders>
              <w:tl2br w:val="nil"/>
              <w:tr2bl w:val="nil"/>
            </w:tcBorders>
            <w:vAlign w:val="center"/>
          </w:tcPr>
          <w:p>
            <w:pPr>
              <w:keepNext w:val="0"/>
              <w:keepLines w:val="0"/>
              <w:widowControl/>
              <w:suppressLineNumbers w:val="0"/>
              <w:jc w:val="center"/>
              <w:textAlignment w:val="center"/>
              <w:rPr>
                <w:rFonts w:hint="eastAsia"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774"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3.33</w:t>
            </w:r>
          </w:p>
        </w:tc>
        <w:tc>
          <w:tcPr>
            <w:tcW w:w="919"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166.67</w:t>
            </w:r>
          </w:p>
        </w:tc>
        <w:tc>
          <w:tcPr>
            <w:tcW w:w="1331" w:type="dxa"/>
            <w:vMerge w:val="restar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负压密闭喷砂房，集气罩</w:t>
            </w: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布袋除尘</w:t>
            </w:r>
          </w:p>
        </w:tc>
        <w:tc>
          <w:tcPr>
            <w:tcW w:w="807"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95</w:t>
            </w:r>
          </w:p>
        </w:tc>
        <w:tc>
          <w:tcPr>
            <w:tcW w:w="71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color w:val="auto"/>
                <w:highlight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6</w:t>
            </w:r>
          </w:p>
        </w:tc>
        <w:tc>
          <w:tcPr>
            <w:tcW w:w="80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18"/>
                <w:szCs w:val="18"/>
                <w:highlight w:val="none"/>
                <w:lang w:val="en-US" w:eastAsia="zh-CN" w:bidi="ar-SA"/>
              </w:rPr>
            </w:pPr>
            <w:r>
              <w:rPr>
                <w:rFonts w:hint="eastAsia" w:ascii="Times New Roman" w:hAnsi="Times New Roman" w:cs="Times New Roman"/>
                <w:i w:val="0"/>
                <w:iCs w:val="0"/>
                <w:color w:val="auto"/>
                <w:kern w:val="0"/>
                <w:sz w:val="18"/>
                <w:szCs w:val="18"/>
                <w:highlight w:val="none"/>
                <w:u w:val="none"/>
                <w:lang w:val="en-US" w:eastAsia="zh-CN" w:bidi="ar"/>
              </w:rPr>
              <w:t>0.5</w:t>
            </w:r>
          </w:p>
        </w:tc>
        <w:tc>
          <w:tcPr>
            <w:tcW w:w="7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8.333</w:t>
            </w:r>
          </w:p>
        </w:tc>
        <w:tc>
          <w:tcPr>
            <w:tcW w:w="432" w:type="dxa"/>
            <w:vMerge w:val="restart"/>
            <w:tcBorders>
              <w:tl2br w:val="nil"/>
              <w:tr2bl w:val="nil"/>
            </w:tcBorders>
            <w:shd w:val="clear" w:color="auto" w:fill="auto"/>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15</w:t>
            </w:r>
          </w:p>
        </w:tc>
        <w:tc>
          <w:tcPr>
            <w:tcW w:w="480" w:type="dxa"/>
            <w:vMerge w:val="restart"/>
            <w:tcBorders>
              <w:tl2br w:val="nil"/>
              <w:tr2bl w:val="nil"/>
            </w:tcBorders>
            <w:shd w:val="clear" w:color="auto" w:fill="auto"/>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465" w:type="dxa"/>
            <w:vMerge w:val="restart"/>
            <w:tcBorders>
              <w:tl2br w:val="nil"/>
              <w:tr2bl w:val="nil"/>
            </w:tcBorders>
            <w:shd w:val="clear" w:color="auto" w:fill="auto"/>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25</w:t>
            </w:r>
          </w:p>
        </w:tc>
        <w:tc>
          <w:tcPr>
            <w:tcW w:w="766" w:type="dxa"/>
            <w:vMerge w:val="restart"/>
            <w:tcBorders>
              <w:tl2br w:val="nil"/>
              <w:tr2bl w:val="nil"/>
            </w:tcBorders>
            <w:shd w:val="clear" w:color="auto" w:fill="auto"/>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DA001</w:t>
            </w:r>
          </w:p>
        </w:tc>
        <w:tc>
          <w:tcPr>
            <w:tcW w:w="625" w:type="dxa"/>
            <w:vMerge w:val="restart"/>
            <w:tcBorders>
              <w:tl2br w:val="nil"/>
              <w:tr2bl w:val="nil"/>
            </w:tcBorders>
            <w:shd w:val="clear" w:color="auto" w:fill="auto"/>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1200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426" w:type="dxa"/>
            <w:vMerge w:val="continue"/>
            <w:tcBorders>
              <w:tl2br w:val="nil"/>
              <w:tr2bl w:val="nil"/>
            </w:tcBorders>
            <w:vAlign w:val="center"/>
          </w:tcPr>
          <w:p>
            <w:pPr>
              <w:pStyle w:val="70"/>
              <w:rPr>
                <w:color w:val="auto"/>
                <w:highlight w:val="none"/>
              </w:rPr>
            </w:pPr>
          </w:p>
        </w:tc>
        <w:tc>
          <w:tcPr>
            <w:tcW w:w="641" w:type="dxa"/>
            <w:vMerge w:val="continue"/>
            <w:tcBorders>
              <w:tl2br w:val="nil"/>
              <w:tr2bl w:val="nil"/>
            </w:tcBorders>
            <w:vAlign w:val="center"/>
          </w:tcPr>
          <w:p>
            <w:pPr>
              <w:pStyle w:val="70"/>
              <w:rPr>
                <w:color w:val="auto"/>
                <w:highlight w:val="none"/>
              </w:rPr>
            </w:pPr>
          </w:p>
        </w:tc>
        <w:tc>
          <w:tcPr>
            <w:tcW w:w="862" w:type="dxa"/>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颗粒物</w:t>
            </w:r>
          </w:p>
        </w:tc>
        <w:tc>
          <w:tcPr>
            <w:tcW w:w="771" w:type="dxa"/>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20000</w:t>
            </w:r>
          </w:p>
        </w:tc>
        <w:tc>
          <w:tcPr>
            <w:tcW w:w="467" w:type="dxa"/>
            <w:vMerge w:val="continue"/>
            <w:tcBorders>
              <w:tl2br w:val="nil"/>
              <w:tr2bl w:val="nil"/>
            </w:tcBorders>
            <w:vAlign w:val="center"/>
          </w:tcPr>
          <w:p>
            <w:pPr>
              <w:pStyle w:val="70"/>
              <w:rPr>
                <w:color w:val="auto"/>
                <w:highlight w:val="none"/>
              </w:rPr>
            </w:pPr>
          </w:p>
        </w:tc>
        <w:tc>
          <w:tcPr>
            <w:tcW w:w="744" w:type="dxa"/>
            <w:tcBorders>
              <w:tl2br w:val="nil"/>
              <w:tr2bl w:val="nil"/>
            </w:tcBorders>
            <w:vAlign w:val="center"/>
          </w:tcPr>
          <w:p>
            <w:pPr>
              <w:keepNext w:val="0"/>
              <w:keepLines w:val="0"/>
              <w:widowControl/>
              <w:suppressLineNumbers w:val="0"/>
              <w:jc w:val="center"/>
              <w:textAlignment w:val="center"/>
              <w:rPr>
                <w:rFonts w:hint="eastAsia"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74"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3.33</w:t>
            </w:r>
          </w:p>
        </w:tc>
        <w:tc>
          <w:tcPr>
            <w:tcW w:w="919"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166.67</w:t>
            </w:r>
          </w:p>
        </w:tc>
        <w:tc>
          <w:tcPr>
            <w:tcW w:w="1331" w:type="dxa"/>
            <w:vMerge w:val="continue"/>
            <w:tcBorders>
              <w:tl2br w:val="nil"/>
              <w:tr2bl w:val="nil"/>
            </w:tcBorders>
            <w:vAlign w:val="center"/>
          </w:tcPr>
          <w:p>
            <w:pPr>
              <w:jc w:val="center"/>
              <w:rPr>
                <w:rFonts w:hint="eastAsia" w:ascii="Times New Roman" w:hAnsi="Times New Roman" w:eastAsia="宋体" w:cs="Times New Roman"/>
                <w:color w:val="auto"/>
                <w:sz w:val="18"/>
                <w:szCs w:val="18"/>
                <w:highlight w:val="none"/>
                <w:lang w:val="en-US" w:eastAsia="zh-CN"/>
              </w:rPr>
            </w:pPr>
          </w:p>
        </w:tc>
        <w:tc>
          <w:tcPr>
            <w:tcW w:w="807"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712" w:type="dxa"/>
            <w:vMerge w:val="continue"/>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p>
        </w:tc>
        <w:tc>
          <w:tcPr>
            <w:tcW w:w="806"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18"/>
                <w:szCs w:val="18"/>
                <w:highlight w:val="none"/>
                <w:lang w:val="en-US" w:eastAsia="zh-CN" w:bidi="ar-SA"/>
              </w:rPr>
            </w:pPr>
          </w:p>
        </w:tc>
        <w:tc>
          <w:tcPr>
            <w:tcW w:w="750"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18"/>
                <w:szCs w:val="18"/>
                <w:highlight w:val="none"/>
                <w:lang w:val="en-US" w:eastAsia="zh-CN" w:bidi="ar-SA"/>
              </w:rPr>
            </w:pPr>
          </w:p>
        </w:tc>
        <w:tc>
          <w:tcPr>
            <w:tcW w:w="432" w:type="dxa"/>
            <w:vMerge w:val="continue"/>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p>
        </w:tc>
        <w:tc>
          <w:tcPr>
            <w:tcW w:w="480" w:type="dxa"/>
            <w:vMerge w:val="continue"/>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p>
        </w:tc>
        <w:tc>
          <w:tcPr>
            <w:tcW w:w="465" w:type="dxa"/>
            <w:vMerge w:val="continue"/>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p>
        </w:tc>
        <w:tc>
          <w:tcPr>
            <w:tcW w:w="766" w:type="dxa"/>
            <w:vMerge w:val="continue"/>
            <w:tcBorders>
              <w:tl2br w:val="nil"/>
              <w:tr2bl w:val="nil"/>
            </w:tcBorders>
            <w:shd w:val="clear" w:color="auto" w:fill="auto"/>
            <w:vAlign w:val="center"/>
          </w:tcPr>
          <w:p>
            <w:pPr>
              <w:pStyle w:val="70"/>
              <w:rPr>
                <w:color w:val="auto"/>
                <w:highlight w:val="none"/>
              </w:rPr>
            </w:pPr>
          </w:p>
        </w:tc>
        <w:tc>
          <w:tcPr>
            <w:tcW w:w="625" w:type="dxa"/>
            <w:vMerge w:val="continue"/>
            <w:tcBorders>
              <w:tl2br w:val="nil"/>
              <w:tr2bl w:val="nil"/>
            </w:tcBorders>
            <w:shd w:val="clear" w:color="auto" w:fill="auto"/>
            <w:vAlign w:val="center"/>
          </w:tcPr>
          <w:p>
            <w:pPr>
              <w:pStyle w:val="70"/>
              <w:rPr>
                <w:rFonts w:hint="default" w:eastAsia="宋体"/>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426" w:type="dxa"/>
            <w:vMerge w:val="continue"/>
            <w:tcBorders>
              <w:tl2br w:val="nil"/>
              <w:tr2bl w:val="nil"/>
            </w:tcBorders>
            <w:vAlign w:val="center"/>
          </w:tcPr>
          <w:p>
            <w:pPr>
              <w:pStyle w:val="70"/>
              <w:rPr>
                <w:color w:val="auto"/>
                <w:highlight w:val="none"/>
              </w:rPr>
            </w:pPr>
          </w:p>
        </w:tc>
        <w:tc>
          <w:tcPr>
            <w:tcW w:w="641" w:type="dxa"/>
            <w:vMerge w:val="continue"/>
            <w:tcBorders>
              <w:tl2br w:val="nil"/>
              <w:tr2bl w:val="nil"/>
            </w:tcBorders>
            <w:vAlign w:val="center"/>
          </w:tcPr>
          <w:p>
            <w:pPr>
              <w:pStyle w:val="70"/>
              <w:rPr>
                <w:color w:val="auto"/>
                <w:highlight w:val="none"/>
              </w:rPr>
            </w:pPr>
          </w:p>
        </w:tc>
        <w:tc>
          <w:tcPr>
            <w:tcW w:w="862" w:type="dxa"/>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颗粒物</w:t>
            </w:r>
          </w:p>
        </w:tc>
        <w:tc>
          <w:tcPr>
            <w:tcW w:w="771" w:type="dxa"/>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20000</w:t>
            </w:r>
          </w:p>
        </w:tc>
        <w:tc>
          <w:tcPr>
            <w:tcW w:w="467" w:type="dxa"/>
            <w:vMerge w:val="continue"/>
            <w:tcBorders>
              <w:tl2br w:val="nil"/>
              <w:tr2bl w:val="nil"/>
            </w:tcBorders>
            <w:vAlign w:val="center"/>
          </w:tcPr>
          <w:p>
            <w:pPr>
              <w:pStyle w:val="70"/>
              <w:rPr>
                <w:color w:val="auto"/>
                <w:highlight w:val="none"/>
              </w:rPr>
            </w:pPr>
          </w:p>
        </w:tc>
        <w:tc>
          <w:tcPr>
            <w:tcW w:w="744" w:type="dxa"/>
            <w:tcBorders>
              <w:tl2br w:val="nil"/>
              <w:tr2bl w:val="nil"/>
            </w:tcBorders>
            <w:vAlign w:val="center"/>
          </w:tcPr>
          <w:p>
            <w:pPr>
              <w:keepNext w:val="0"/>
              <w:keepLines w:val="0"/>
              <w:widowControl/>
              <w:suppressLineNumbers w:val="0"/>
              <w:jc w:val="center"/>
              <w:textAlignment w:val="center"/>
              <w:rPr>
                <w:rFonts w:hint="eastAsia"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74"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3.33</w:t>
            </w:r>
          </w:p>
        </w:tc>
        <w:tc>
          <w:tcPr>
            <w:tcW w:w="919"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166.67</w:t>
            </w:r>
          </w:p>
        </w:tc>
        <w:tc>
          <w:tcPr>
            <w:tcW w:w="1331" w:type="dxa"/>
            <w:vMerge w:val="continue"/>
            <w:tcBorders>
              <w:tl2br w:val="nil"/>
              <w:tr2bl w:val="nil"/>
            </w:tcBorders>
            <w:vAlign w:val="center"/>
          </w:tcPr>
          <w:p>
            <w:pPr>
              <w:jc w:val="center"/>
              <w:rPr>
                <w:rFonts w:hint="eastAsia" w:ascii="Times New Roman" w:hAnsi="Times New Roman" w:eastAsia="宋体" w:cs="Times New Roman"/>
                <w:color w:val="auto"/>
                <w:sz w:val="18"/>
                <w:szCs w:val="18"/>
                <w:highlight w:val="none"/>
                <w:lang w:val="en-US" w:eastAsia="zh-CN"/>
              </w:rPr>
            </w:pPr>
          </w:p>
        </w:tc>
        <w:tc>
          <w:tcPr>
            <w:tcW w:w="807"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712" w:type="dxa"/>
            <w:vMerge w:val="continue"/>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p>
        </w:tc>
        <w:tc>
          <w:tcPr>
            <w:tcW w:w="806"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18"/>
                <w:szCs w:val="18"/>
                <w:highlight w:val="none"/>
                <w:lang w:val="en-US" w:eastAsia="zh-CN" w:bidi="ar-SA"/>
              </w:rPr>
            </w:pPr>
          </w:p>
        </w:tc>
        <w:tc>
          <w:tcPr>
            <w:tcW w:w="750"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18"/>
                <w:szCs w:val="18"/>
                <w:highlight w:val="none"/>
                <w:lang w:val="en-US" w:eastAsia="zh-CN" w:bidi="ar-SA"/>
              </w:rPr>
            </w:pPr>
          </w:p>
        </w:tc>
        <w:tc>
          <w:tcPr>
            <w:tcW w:w="432" w:type="dxa"/>
            <w:vMerge w:val="continue"/>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p>
        </w:tc>
        <w:tc>
          <w:tcPr>
            <w:tcW w:w="480" w:type="dxa"/>
            <w:vMerge w:val="continue"/>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p>
        </w:tc>
        <w:tc>
          <w:tcPr>
            <w:tcW w:w="465" w:type="dxa"/>
            <w:vMerge w:val="continue"/>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p>
        </w:tc>
        <w:tc>
          <w:tcPr>
            <w:tcW w:w="766" w:type="dxa"/>
            <w:vMerge w:val="continue"/>
            <w:tcBorders>
              <w:tl2br w:val="nil"/>
              <w:tr2bl w:val="nil"/>
            </w:tcBorders>
            <w:shd w:val="clear" w:color="auto" w:fill="auto"/>
            <w:vAlign w:val="center"/>
          </w:tcPr>
          <w:p>
            <w:pPr>
              <w:pStyle w:val="70"/>
              <w:rPr>
                <w:color w:val="auto"/>
                <w:highlight w:val="none"/>
              </w:rPr>
            </w:pPr>
          </w:p>
        </w:tc>
        <w:tc>
          <w:tcPr>
            <w:tcW w:w="625" w:type="dxa"/>
            <w:vMerge w:val="continue"/>
            <w:tcBorders>
              <w:tl2br w:val="nil"/>
              <w:tr2bl w:val="nil"/>
            </w:tcBorders>
            <w:shd w:val="clear" w:color="auto" w:fill="auto"/>
            <w:vAlign w:val="center"/>
          </w:tcPr>
          <w:p>
            <w:pPr>
              <w:pStyle w:val="70"/>
              <w:rPr>
                <w:rFonts w:hint="eastAsia"/>
                <w:color w:val="auto"/>
                <w:sz w:val="18"/>
                <w:szCs w:val="18"/>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426" w:type="dxa"/>
            <w:vMerge w:val="continue"/>
            <w:tcBorders>
              <w:tl2br w:val="nil"/>
              <w:tr2bl w:val="nil"/>
            </w:tcBorders>
            <w:vAlign w:val="center"/>
          </w:tcPr>
          <w:p>
            <w:pPr>
              <w:pStyle w:val="70"/>
              <w:rPr>
                <w:color w:val="auto"/>
                <w:sz w:val="18"/>
                <w:szCs w:val="18"/>
                <w:highlight w:val="none"/>
              </w:rPr>
            </w:pPr>
          </w:p>
        </w:tc>
        <w:tc>
          <w:tcPr>
            <w:tcW w:w="641" w:type="dxa"/>
            <w:vMerge w:val="restart"/>
            <w:tcBorders>
              <w:tl2br w:val="nil"/>
              <w:tr2bl w:val="nil"/>
            </w:tcBorders>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抛光工序</w:t>
            </w:r>
          </w:p>
        </w:tc>
        <w:tc>
          <w:tcPr>
            <w:tcW w:w="862" w:type="dxa"/>
            <w:tcBorders>
              <w:tl2br w:val="nil"/>
              <w:tr2bl w:val="nil"/>
            </w:tcBorders>
            <w:shd w:val="clear" w:color="auto" w:fill="auto"/>
            <w:vAlign w:val="center"/>
          </w:tcPr>
          <w:p>
            <w:pPr>
              <w:pStyle w:val="70"/>
              <w:rPr>
                <w:rFonts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颗粒物</w:t>
            </w:r>
          </w:p>
        </w:tc>
        <w:tc>
          <w:tcPr>
            <w:tcW w:w="771" w:type="dxa"/>
            <w:tcBorders>
              <w:tl2br w:val="nil"/>
              <w:tr2bl w:val="nil"/>
            </w:tcBorders>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eastAsia="zh-CN"/>
              </w:rPr>
              <w:t>3</w:t>
            </w:r>
            <w:r>
              <w:rPr>
                <w:rFonts w:hint="eastAsia"/>
                <w:color w:val="auto"/>
                <w:sz w:val="18"/>
                <w:szCs w:val="18"/>
                <w:highlight w:val="none"/>
                <w:lang w:val="en-US" w:eastAsia="zh-CN"/>
              </w:rPr>
              <w:t>0000</w:t>
            </w:r>
          </w:p>
        </w:tc>
        <w:tc>
          <w:tcPr>
            <w:tcW w:w="467" w:type="dxa"/>
            <w:vMerge w:val="continue"/>
            <w:tcBorders>
              <w:tl2br w:val="nil"/>
              <w:tr2bl w:val="nil"/>
            </w:tcBorders>
            <w:vAlign w:val="center"/>
          </w:tcPr>
          <w:p>
            <w:pPr>
              <w:pStyle w:val="70"/>
              <w:rPr>
                <w:color w:val="auto"/>
                <w:sz w:val="18"/>
                <w:szCs w:val="18"/>
                <w:highlight w:val="none"/>
              </w:rPr>
            </w:pPr>
          </w:p>
        </w:tc>
        <w:tc>
          <w:tcPr>
            <w:tcW w:w="744"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1.915</w:t>
            </w:r>
          </w:p>
        </w:tc>
        <w:tc>
          <w:tcPr>
            <w:tcW w:w="774"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1.60 </w:t>
            </w:r>
          </w:p>
        </w:tc>
        <w:tc>
          <w:tcPr>
            <w:tcW w:w="919"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53.19 </w:t>
            </w:r>
          </w:p>
        </w:tc>
        <w:tc>
          <w:tcPr>
            <w:tcW w:w="1331" w:type="dxa"/>
            <w:vMerge w:val="restar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负压密闭抛光房，侧吸集气罩</w:t>
            </w: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ascii="宋体" w:hAnsi="宋体" w:eastAsia="宋体" w:cs="宋体"/>
                <w:i w:val="0"/>
                <w:iCs w:val="0"/>
                <w:color w:val="auto"/>
                <w:kern w:val="0"/>
                <w:sz w:val="18"/>
                <w:szCs w:val="18"/>
                <w:highlight w:val="none"/>
                <w:u w:val="none"/>
                <w:lang w:val="en-US" w:eastAsia="zh-CN" w:bidi="ar"/>
              </w:rPr>
              <w:t>水喷淋除尘</w:t>
            </w:r>
          </w:p>
        </w:tc>
        <w:tc>
          <w:tcPr>
            <w:tcW w:w="807"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712"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0.574</w:t>
            </w:r>
          </w:p>
        </w:tc>
        <w:tc>
          <w:tcPr>
            <w:tcW w:w="806"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0.478</w:t>
            </w:r>
          </w:p>
        </w:tc>
        <w:tc>
          <w:tcPr>
            <w:tcW w:w="750"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7.979</w:t>
            </w:r>
          </w:p>
        </w:tc>
        <w:tc>
          <w:tcPr>
            <w:tcW w:w="432" w:type="dxa"/>
            <w:vMerge w:val="restar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r>
              <w:rPr>
                <w:rFonts w:hint="eastAsia" w:cs="Times New Roman"/>
                <w:snapToGrid w:val="0"/>
                <w:color w:val="auto"/>
                <w:kern w:val="2"/>
                <w:sz w:val="18"/>
                <w:szCs w:val="18"/>
                <w:highlight w:val="none"/>
                <w:lang w:val="en-US" w:eastAsia="zh-CN" w:bidi="ar-SA"/>
              </w:rPr>
              <w:t>15</w:t>
            </w:r>
          </w:p>
        </w:tc>
        <w:tc>
          <w:tcPr>
            <w:tcW w:w="480" w:type="dxa"/>
            <w:vMerge w:val="restar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r>
              <w:rPr>
                <w:rFonts w:hint="eastAsia" w:cs="Times New Roman"/>
                <w:snapToGrid w:val="0"/>
                <w:color w:val="auto"/>
                <w:kern w:val="2"/>
                <w:sz w:val="18"/>
                <w:szCs w:val="18"/>
                <w:highlight w:val="none"/>
                <w:lang w:val="en-US" w:eastAsia="zh-CN" w:bidi="ar-SA"/>
              </w:rPr>
              <w:t>1.0</w:t>
            </w:r>
          </w:p>
        </w:tc>
        <w:tc>
          <w:tcPr>
            <w:tcW w:w="465" w:type="dxa"/>
            <w:vMerge w:val="restar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r>
              <w:rPr>
                <w:rFonts w:hint="eastAsia" w:cs="Times New Roman"/>
                <w:snapToGrid w:val="0"/>
                <w:color w:val="auto"/>
                <w:kern w:val="2"/>
                <w:sz w:val="18"/>
                <w:szCs w:val="18"/>
                <w:highlight w:val="none"/>
                <w:lang w:val="en-US" w:eastAsia="zh-CN" w:bidi="ar-SA"/>
              </w:rPr>
              <w:t>25</w:t>
            </w:r>
          </w:p>
        </w:tc>
        <w:tc>
          <w:tcPr>
            <w:tcW w:w="766" w:type="dxa"/>
            <w:vMerge w:val="restart"/>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DA002</w:t>
            </w:r>
          </w:p>
        </w:tc>
        <w:tc>
          <w:tcPr>
            <w:tcW w:w="625" w:type="dxa"/>
            <w:vMerge w:val="restart"/>
            <w:tcBorders>
              <w:tl2br w:val="nil"/>
              <w:tr2bl w:val="nil"/>
            </w:tcBorders>
            <w:shd w:val="clear" w:color="auto" w:fill="auto"/>
            <w:vAlign w:val="center"/>
          </w:tcPr>
          <w:p>
            <w:pPr>
              <w:pStyle w:val="70"/>
              <w:rPr>
                <w:color w:val="auto"/>
                <w:sz w:val="18"/>
                <w:szCs w:val="18"/>
                <w:highlight w:val="none"/>
              </w:rPr>
            </w:pPr>
            <w:r>
              <w:rPr>
                <w:rFonts w:hint="eastAsia"/>
                <w:color w:val="auto"/>
                <w:sz w:val="18"/>
                <w:szCs w:val="18"/>
                <w:highlight w:val="none"/>
              </w:rPr>
              <w:t>1</w:t>
            </w:r>
            <w:r>
              <w:rPr>
                <w:rFonts w:hint="eastAsia"/>
                <w:color w:val="auto"/>
                <w:sz w:val="18"/>
                <w:szCs w:val="18"/>
                <w:highlight w:val="none"/>
                <w:lang w:val="en-US" w:eastAsia="zh-CN"/>
              </w:rPr>
              <w:t>2</w:t>
            </w:r>
            <w:r>
              <w:rPr>
                <w:rFonts w:hint="eastAsia"/>
                <w:color w:val="auto"/>
                <w:sz w:val="18"/>
                <w:szCs w:val="18"/>
                <w:highlight w:val="none"/>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426" w:type="dxa"/>
            <w:vMerge w:val="continue"/>
            <w:tcBorders>
              <w:tl2br w:val="nil"/>
              <w:tr2bl w:val="nil"/>
            </w:tcBorders>
            <w:vAlign w:val="center"/>
          </w:tcPr>
          <w:p>
            <w:pPr>
              <w:pStyle w:val="70"/>
              <w:rPr>
                <w:color w:val="auto"/>
                <w:sz w:val="18"/>
                <w:szCs w:val="18"/>
                <w:highlight w:val="none"/>
              </w:rPr>
            </w:pPr>
          </w:p>
        </w:tc>
        <w:tc>
          <w:tcPr>
            <w:tcW w:w="641" w:type="dxa"/>
            <w:vMerge w:val="continue"/>
            <w:tcBorders>
              <w:tl2br w:val="nil"/>
              <w:tr2bl w:val="nil"/>
            </w:tcBorders>
            <w:vAlign w:val="center"/>
          </w:tcPr>
          <w:p>
            <w:pPr>
              <w:pStyle w:val="70"/>
              <w:rPr>
                <w:rFonts w:hint="eastAsia" w:eastAsia="宋体"/>
                <w:color w:val="auto"/>
                <w:sz w:val="18"/>
                <w:szCs w:val="18"/>
                <w:highlight w:val="none"/>
                <w:lang w:val="en-US" w:eastAsia="zh-CN"/>
              </w:rPr>
            </w:pPr>
          </w:p>
        </w:tc>
        <w:tc>
          <w:tcPr>
            <w:tcW w:w="862"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颗粒物</w:t>
            </w:r>
          </w:p>
        </w:tc>
        <w:tc>
          <w:tcPr>
            <w:tcW w:w="771" w:type="dxa"/>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eastAsia="zh-CN"/>
              </w:rPr>
              <w:t>3</w:t>
            </w:r>
            <w:r>
              <w:rPr>
                <w:rFonts w:hint="eastAsia"/>
                <w:color w:val="auto"/>
                <w:sz w:val="18"/>
                <w:szCs w:val="18"/>
                <w:highlight w:val="none"/>
                <w:lang w:val="en-US" w:eastAsia="zh-CN"/>
              </w:rPr>
              <w:t>0000</w:t>
            </w:r>
          </w:p>
        </w:tc>
        <w:tc>
          <w:tcPr>
            <w:tcW w:w="467" w:type="dxa"/>
            <w:vMerge w:val="continue"/>
            <w:tcBorders>
              <w:tl2br w:val="nil"/>
              <w:tr2bl w:val="nil"/>
            </w:tcBorders>
            <w:vAlign w:val="center"/>
          </w:tcPr>
          <w:p>
            <w:pPr>
              <w:pStyle w:val="70"/>
              <w:rPr>
                <w:color w:val="auto"/>
                <w:sz w:val="18"/>
                <w:szCs w:val="18"/>
                <w:highlight w:val="none"/>
              </w:rPr>
            </w:pPr>
          </w:p>
        </w:tc>
        <w:tc>
          <w:tcPr>
            <w:tcW w:w="744" w:type="dxa"/>
            <w:tcBorders>
              <w:tl2br w:val="nil"/>
              <w:tr2bl w:val="nil"/>
            </w:tcBorders>
            <w:vAlign w:val="center"/>
          </w:tcPr>
          <w:p>
            <w:pPr>
              <w:keepNext w:val="0"/>
              <w:keepLines w:val="0"/>
              <w:widowControl/>
              <w:suppressLineNumbers w:val="0"/>
              <w:jc w:val="center"/>
              <w:textAlignment w:val="center"/>
              <w:rPr>
                <w:rFonts w:hint="default"/>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1.915</w:t>
            </w:r>
          </w:p>
        </w:tc>
        <w:tc>
          <w:tcPr>
            <w:tcW w:w="774" w:type="dxa"/>
            <w:tcBorders>
              <w:tl2br w:val="nil"/>
              <w:tr2bl w:val="nil"/>
            </w:tcBorders>
            <w:vAlign w:val="center"/>
          </w:tcPr>
          <w:p>
            <w:pPr>
              <w:keepNext w:val="0"/>
              <w:keepLines w:val="0"/>
              <w:widowControl/>
              <w:suppressLineNumbers w:val="0"/>
              <w:jc w:val="center"/>
              <w:textAlignment w:val="center"/>
              <w:rPr>
                <w:rFonts w:hint="default"/>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1.60 </w:t>
            </w:r>
          </w:p>
        </w:tc>
        <w:tc>
          <w:tcPr>
            <w:tcW w:w="919" w:type="dxa"/>
            <w:tcBorders>
              <w:tl2br w:val="nil"/>
              <w:tr2bl w:val="nil"/>
            </w:tcBorders>
            <w:vAlign w:val="center"/>
          </w:tcPr>
          <w:p>
            <w:pPr>
              <w:keepNext w:val="0"/>
              <w:keepLines w:val="0"/>
              <w:widowControl/>
              <w:suppressLineNumbers w:val="0"/>
              <w:jc w:val="center"/>
              <w:textAlignment w:val="center"/>
              <w:rPr>
                <w:rFonts w:hint="default"/>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53.19 </w:t>
            </w:r>
          </w:p>
        </w:tc>
        <w:tc>
          <w:tcPr>
            <w:tcW w:w="1331" w:type="dxa"/>
            <w:vMerge w:val="continue"/>
            <w:tcBorders>
              <w:tl2br w:val="nil"/>
              <w:tr2bl w:val="nil"/>
            </w:tcBorders>
            <w:vAlign w:val="center"/>
          </w:tcPr>
          <w:p>
            <w:pPr>
              <w:jc w:val="center"/>
              <w:rPr>
                <w:rFonts w:hint="eastAsia"/>
                <w:color w:val="auto"/>
                <w:sz w:val="18"/>
                <w:szCs w:val="18"/>
                <w:highlight w:val="none"/>
              </w:rPr>
            </w:pPr>
          </w:p>
        </w:tc>
        <w:tc>
          <w:tcPr>
            <w:tcW w:w="807"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712"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color w:val="auto"/>
                <w:sz w:val="18"/>
                <w:szCs w:val="18"/>
                <w:highlight w:val="none"/>
                <w:lang w:val="en-US" w:eastAsia="zh-CN"/>
              </w:rPr>
            </w:pPr>
          </w:p>
        </w:tc>
        <w:tc>
          <w:tcPr>
            <w:tcW w:w="806"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color w:val="auto"/>
                <w:sz w:val="18"/>
                <w:szCs w:val="18"/>
                <w:highlight w:val="none"/>
                <w:lang w:val="en-US" w:eastAsia="zh-CN"/>
              </w:rPr>
            </w:pPr>
          </w:p>
        </w:tc>
        <w:tc>
          <w:tcPr>
            <w:tcW w:w="750" w:type="dxa"/>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color w:val="auto"/>
                <w:sz w:val="18"/>
                <w:szCs w:val="18"/>
                <w:highlight w:val="none"/>
                <w:lang w:val="en-US" w:eastAsia="zh-CN"/>
              </w:rPr>
            </w:pPr>
          </w:p>
        </w:tc>
        <w:tc>
          <w:tcPr>
            <w:tcW w:w="432" w:type="dxa"/>
            <w:vMerge w:val="continue"/>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p>
        </w:tc>
        <w:tc>
          <w:tcPr>
            <w:tcW w:w="480" w:type="dxa"/>
            <w:vMerge w:val="continue"/>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p>
        </w:tc>
        <w:tc>
          <w:tcPr>
            <w:tcW w:w="465" w:type="dxa"/>
            <w:vMerge w:val="continue"/>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p>
        </w:tc>
        <w:tc>
          <w:tcPr>
            <w:tcW w:w="766" w:type="dxa"/>
            <w:vMerge w:val="continue"/>
            <w:tcBorders>
              <w:tl2br w:val="nil"/>
              <w:tr2bl w:val="nil"/>
            </w:tcBorders>
            <w:shd w:val="clear" w:color="auto" w:fill="auto"/>
            <w:vAlign w:val="center"/>
          </w:tcPr>
          <w:p>
            <w:pPr>
              <w:pStyle w:val="70"/>
              <w:rPr>
                <w:rFonts w:hint="default"/>
                <w:color w:val="auto"/>
                <w:sz w:val="18"/>
                <w:szCs w:val="18"/>
                <w:highlight w:val="none"/>
                <w:lang w:val="en-US" w:eastAsia="zh-CN"/>
              </w:rPr>
            </w:pPr>
          </w:p>
        </w:tc>
        <w:tc>
          <w:tcPr>
            <w:tcW w:w="625" w:type="dxa"/>
            <w:vMerge w:val="continue"/>
            <w:tcBorders>
              <w:tl2br w:val="nil"/>
              <w:tr2bl w:val="nil"/>
            </w:tcBorders>
            <w:shd w:val="clear" w:color="auto" w:fill="auto"/>
            <w:vAlign w:val="center"/>
          </w:tcPr>
          <w:p>
            <w:pPr>
              <w:pStyle w:val="70"/>
              <w:rPr>
                <w:rFonts w:hint="eastAsia"/>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26" w:type="dxa"/>
            <w:vMerge w:val="restart"/>
            <w:tcBorders>
              <w:tl2br w:val="nil"/>
              <w:tr2bl w:val="nil"/>
            </w:tcBorders>
            <w:vAlign w:val="center"/>
          </w:tcPr>
          <w:p>
            <w:pPr>
              <w:pStyle w:val="70"/>
              <w:rPr>
                <w:color w:val="auto"/>
                <w:sz w:val="18"/>
                <w:szCs w:val="18"/>
                <w:highlight w:val="none"/>
              </w:rPr>
            </w:pPr>
            <w:r>
              <w:rPr>
                <w:rFonts w:hint="eastAsia"/>
                <w:color w:val="auto"/>
                <w:sz w:val="18"/>
                <w:szCs w:val="18"/>
                <w:highlight w:val="none"/>
              </w:rPr>
              <w:t>无组织</w:t>
            </w:r>
          </w:p>
        </w:tc>
        <w:tc>
          <w:tcPr>
            <w:tcW w:w="641" w:type="dxa"/>
            <w:tcBorders>
              <w:tl2br w:val="nil"/>
              <w:tr2bl w:val="nil"/>
            </w:tcBorders>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喷砂</w:t>
            </w:r>
          </w:p>
        </w:tc>
        <w:tc>
          <w:tcPr>
            <w:tcW w:w="862" w:type="dxa"/>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颗粒物</w:t>
            </w:r>
          </w:p>
        </w:tc>
        <w:tc>
          <w:tcPr>
            <w:tcW w:w="771" w:type="dxa"/>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r>
              <w:rPr>
                <w:rFonts w:hint="eastAsia" w:eastAsia="宋体" w:cs="Times New Roman"/>
                <w:snapToGrid w:val="0"/>
                <w:color w:val="auto"/>
                <w:kern w:val="2"/>
                <w:sz w:val="18"/>
                <w:szCs w:val="18"/>
                <w:highlight w:val="none"/>
                <w:lang w:val="en-US" w:eastAsia="zh-CN" w:bidi="ar-SA"/>
              </w:rPr>
              <w:t>/</w:t>
            </w:r>
          </w:p>
        </w:tc>
        <w:tc>
          <w:tcPr>
            <w:tcW w:w="467" w:type="dxa"/>
            <w:vMerge w:val="restart"/>
            <w:tcBorders>
              <w:tl2br w:val="nil"/>
              <w:tr2bl w:val="nil"/>
            </w:tcBorders>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类比法</w:t>
            </w:r>
          </w:p>
        </w:tc>
        <w:tc>
          <w:tcPr>
            <w:tcW w:w="74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4</w:t>
            </w:r>
          </w:p>
        </w:tc>
        <w:tc>
          <w:tcPr>
            <w:tcW w:w="77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333</w:t>
            </w:r>
          </w:p>
        </w:tc>
        <w:tc>
          <w:tcPr>
            <w:tcW w:w="919"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331" w:type="dxa"/>
            <w:vMerge w:val="restart"/>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负压密闭喷砂房、抛光房，局部集气收集</w:t>
            </w:r>
          </w:p>
        </w:tc>
        <w:tc>
          <w:tcPr>
            <w:tcW w:w="807"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w:t>
            </w:r>
          </w:p>
        </w:tc>
        <w:tc>
          <w:tcPr>
            <w:tcW w:w="71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4</w:t>
            </w:r>
          </w:p>
        </w:tc>
        <w:tc>
          <w:tcPr>
            <w:tcW w:w="80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333</w:t>
            </w:r>
          </w:p>
        </w:tc>
        <w:tc>
          <w:tcPr>
            <w:tcW w:w="750"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143" w:type="dxa"/>
            <w:gridSpan w:val="4"/>
            <w:tcBorders>
              <w:tl2br w:val="nil"/>
              <w:tr2bl w:val="nil"/>
            </w:tcBorders>
            <w:vAlign w:val="center"/>
          </w:tcPr>
          <w:p>
            <w:pPr>
              <w:pStyle w:val="70"/>
              <w:rPr>
                <w:rFonts w:hint="eastAsia"/>
                <w:color w:val="auto"/>
                <w:sz w:val="18"/>
                <w:szCs w:val="18"/>
                <w:highlight w:val="none"/>
              </w:rPr>
            </w:pPr>
            <w:r>
              <w:rPr>
                <w:rFonts w:hint="eastAsia"/>
                <w:color w:val="auto"/>
                <w:sz w:val="18"/>
                <w:szCs w:val="18"/>
                <w:highlight w:val="none"/>
                <w:lang w:val="en-US" w:eastAsia="zh-CN"/>
              </w:rPr>
              <w:t>26</w:t>
            </w:r>
            <w:r>
              <w:rPr>
                <w:color w:val="auto"/>
                <w:sz w:val="18"/>
                <w:szCs w:val="18"/>
                <w:highlight w:val="none"/>
              </w:rPr>
              <w:t>×</w:t>
            </w:r>
            <w:r>
              <w:rPr>
                <w:rFonts w:hint="eastAsia"/>
                <w:color w:val="auto"/>
                <w:sz w:val="18"/>
                <w:szCs w:val="18"/>
                <w:highlight w:val="none"/>
                <w:lang w:val="en-US" w:eastAsia="zh-CN"/>
              </w:rPr>
              <w:t>6</w:t>
            </w:r>
            <w:r>
              <w:rPr>
                <w:color w:val="auto"/>
                <w:sz w:val="18"/>
                <w:szCs w:val="18"/>
                <w:highlight w:val="none"/>
              </w:rPr>
              <w:t>×</w:t>
            </w:r>
            <w:r>
              <w:rPr>
                <w:rFonts w:hint="eastAsia"/>
                <w:color w:val="auto"/>
                <w:sz w:val="18"/>
                <w:szCs w:val="18"/>
                <w:highlight w:val="none"/>
                <w:lang w:val="en-US" w:eastAsia="zh-CN"/>
              </w:rPr>
              <w:t>14</w:t>
            </w:r>
            <w:r>
              <w:rPr>
                <w:rFonts w:hint="eastAsia"/>
                <w:color w:val="auto"/>
                <w:sz w:val="18"/>
                <w:szCs w:val="18"/>
                <w:highlight w:val="none"/>
              </w:rPr>
              <w:t>m</w:t>
            </w:r>
          </w:p>
        </w:tc>
        <w:tc>
          <w:tcPr>
            <w:tcW w:w="625" w:type="dxa"/>
            <w:tcBorders>
              <w:tl2br w:val="nil"/>
              <w:tr2bl w:val="nil"/>
            </w:tcBorders>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1200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426" w:type="dxa"/>
            <w:vMerge w:val="continue"/>
            <w:tcBorders>
              <w:tl2br w:val="nil"/>
              <w:tr2bl w:val="nil"/>
            </w:tcBorders>
            <w:vAlign w:val="center"/>
          </w:tcPr>
          <w:p>
            <w:pPr>
              <w:pStyle w:val="70"/>
              <w:rPr>
                <w:rFonts w:hint="eastAsia"/>
                <w:color w:val="auto"/>
                <w:sz w:val="18"/>
                <w:szCs w:val="18"/>
                <w:highlight w:val="none"/>
              </w:rPr>
            </w:pPr>
          </w:p>
        </w:tc>
        <w:tc>
          <w:tcPr>
            <w:tcW w:w="641" w:type="dxa"/>
            <w:tcBorders>
              <w:tl2br w:val="nil"/>
              <w:tr2bl w:val="nil"/>
            </w:tcBorders>
            <w:vAlign w:val="center"/>
          </w:tcPr>
          <w:p>
            <w:pPr>
              <w:pStyle w:val="70"/>
              <w:rPr>
                <w:rFonts w:hint="eastAsia"/>
                <w:color w:val="auto"/>
                <w:sz w:val="18"/>
                <w:szCs w:val="18"/>
                <w:highlight w:val="none"/>
                <w:lang w:val="en-US" w:eastAsia="zh-CN"/>
              </w:rPr>
            </w:pPr>
            <w:r>
              <w:rPr>
                <w:rFonts w:hint="eastAsia"/>
                <w:color w:val="auto"/>
                <w:sz w:val="18"/>
                <w:szCs w:val="18"/>
                <w:highlight w:val="none"/>
                <w:lang w:val="en-US" w:eastAsia="zh-CN"/>
              </w:rPr>
              <w:t>抛光</w:t>
            </w:r>
          </w:p>
        </w:tc>
        <w:tc>
          <w:tcPr>
            <w:tcW w:w="862" w:type="dxa"/>
            <w:tcBorders>
              <w:tl2br w:val="nil"/>
              <w:tr2bl w:val="nil"/>
            </w:tcBorders>
            <w:shd w:val="clear" w:color="auto" w:fill="auto"/>
            <w:vAlign w:val="center"/>
          </w:tcPr>
          <w:p>
            <w:pPr>
              <w:pStyle w:val="70"/>
              <w:rPr>
                <w:rFonts w:hint="eastAsia"/>
                <w:color w:val="auto"/>
                <w:sz w:val="18"/>
                <w:szCs w:val="18"/>
                <w:highlight w:val="none"/>
                <w:lang w:val="en-US" w:eastAsia="zh-CN"/>
              </w:rPr>
            </w:pPr>
            <w:r>
              <w:rPr>
                <w:rFonts w:hint="eastAsia"/>
                <w:color w:val="auto"/>
                <w:sz w:val="18"/>
                <w:szCs w:val="18"/>
                <w:highlight w:val="none"/>
                <w:lang w:val="en-US" w:eastAsia="zh-CN"/>
              </w:rPr>
              <w:t>颗粒物</w:t>
            </w:r>
          </w:p>
        </w:tc>
        <w:tc>
          <w:tcPr>
            <w:tcW w:w="771" w:type="dxa"/>
            <w:tcBorders>
              <w:tl2br w:val="nil"/>
              <w:tr2bl w:val="nil"/>
            </w:tcBorders>
            <w:shd w:val="clear" w:color="auto" w:fill="auto"/>
            <w:vAlign w:val="center"/>
          </w:tcPr>
          <w:p>
            <w:pPr>
              <w:pStyle w:val="70"/>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467" w:type="dxa"/>
            <w:vMerge w:val="continue"/>
            <w:tcBorders>
              <w:tl2br w:val="nil"/>
              <w:tr2bl w:val="nil"/>
            </w:tcBorders>
            <w:vAlign w:val="center"/>
          </w:tcPr>
          <w:p>
            <w:pPr>
              <w:pStyle w:val="70"/>
              <w:rPr>
                <w:rFonts w:hint="eastAsia"/>
                <w:color w:val="auto"/>
                <w:sz w:val="18"/>
                <w:szCs w:val="18"/>
                <w:highlight w:val="none"/>
                <w:lang w:val="en-US" w:eastAsia="zh-CN"/>
              </w:rPr>
            </w:pPr>
          </w:p>
        </w:tc>
        <w:tc>
          <w:tcPr>
            <w:tcW w:w="744" w:type="dxa"/>
            <w:tcBorders>
              <w:tl2br w:val="nil"/>
              <w:tr2bl w:val="nil"/>
            </w:tcBorders>
            <w:vAlign w:val="center"/>
          </w:tcPr>
          <w:p>
            <w:pPr>
              <w:keepNext w:val="0"/>
              <w:keepLines w:val="0"/>
              <w:widowControl/>
              <w:suppressLineNumbers w:val="0"/>
              <w:jc w:val="center"/>
              <w:textAlignment w:val="center"/>
              <w:rPr>
                <w:rFonts w:hint="default"/>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0.202</w:t>
            </w:r>
          </w:p>
        </w:tc>
        <w:tc>
          <w:tcPr>
            <w:tcW w:w="774" w:type="dxa"/>
            <w:tcBorders>
              <w:tl2br w:val="nil"/>
              <w:tr2bl w:val="nil"/>
            </w:tcBorders>
            <w:vAlign w:val="center"/>
          </w:tcPr>
          <w:p>
            <w:pPr>
              <w:keepNext w:val="0"/>
              <w:keepLines w:val="0"/>
              <w:widowControl/>
              <w:suppressLineNumbers w:val="0"/>
              <w:jc w:val="center"/>
              <w:textAlignment w:val="center"/>
              <w:rPr>
                <w:rFonts w:hint="default"/>
                <w:color w:val="auto"/>
                <w:sz w:val="18"/>
                <w:szCs w:val="18"/>
                <w:highlight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0.168 </w:t>
            </w:r>
          </w:p>
        </w:tc>
        <w:tc>
          <w:tcPr>
            <w:tcW w:w="919" w:type="dxa"/>
            <w:tcBorders>
              <w:tl2br w:val="nil"/>
              <w:tr2bl w:val="nil"/>
            </w:tcBorders>
            <w:vAlign w:val="center"/>
          </w:tcPr>
          <w:p>
            <w:pPr>
              <w:keepNext w:val="0"/>
              <w:keepLines w:val="0"/>
              <w:widowControl/>
              <w:suppressLineNumbers w:val="0"/>
              <w:jc w:val="center"/>
              <w:textAlignment w:val="center"/>
              <w:rPr>
                <w:rFonts w:hint="eastAsia"/>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331" w:type="dxa"/>
            <w:vMerge w:val="continue"/>
            <w:tcBorders>
              <w:tl2br w:val="nil"/>
              <w:tr2bl w:val="nil"/>
            </w:tcBorders>
            <w:vAlign w:val="center"/>
          </w:tcPr>
          <w:p>
            <w:pPr>
              <w:jc w:val="center"/>
              <w:rPr>
                <w:rFonts w:hint="eastAsia"/>
                <w:color w:val="auto"/>
                <w:sz w:val="18"/>
                <w:szCs w:val="18"/>
                <w:highlight w:val="none"/>
                <w:lang w:val="en-US" w:eastAsia="zh-CN"/>
              </w:rPr>
            </w:pPr>
          </w:p>
        </w:tc>
        <w:tc>
          <w:tcPr>
            <w:tcW w:w="807" w:type="dxa"/>
            <w:tcBorders>
              <w:tl2br w:val="nil"/>
              <w:tr2bl w:val="nil"/>
            </w:tcBorders>
            <w:vAlign w:val="center"/>
          </w:tcPr>
          <w:p>
            <w:pPr>
              <w:keepNext w:val="0"/>
              <w:keepLines w:val="0"/>
              <w:widowControl/>
              <w:suppressLineNumbers w:val="0"/>
              <w:jc w:val="center"/>
              <w:textAlignment w:val="center"/>
              <w:rPr>
                <w:rFonts w:hint="default"/>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1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0.202</w:t>
            </w:r>
          </w:p>
        </w:tc>
        <w:tc>
          <w:tcPr>
            <w:tcW w:w="80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0.168 </w:t>
            </w:r>
          </w:p>
        </w:tc>
        <w:tc>
          <w:tcPr>
            <w:tcW w:w="750" w:type="dxa"/>
            <w:tcBorders>
              <w:tl2br w:val="nil"/>
              <w:tr2bl w:val="nil"/>
            </w:tcBorders>
            <w:vAlign w:val="center"/>
          </w:tcPr>
          <w:p>
            <w:pPr>
              <w:keepNext w:val="0"/>
              <w:keepLines w:val="0"/>
              <w:widowControl/>
              <w:suppressLineNumbers w:val="0"/>
              <w:jc w:val="center"/>
              <w:textAlignment w:val="center"/>
              <w:rPr>
                <w:rFonts w:hint="eastAsia"/>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143" w:type="dxa"/>
            <w:gridSpan w:val="4"/>
            <w:tcBorders>
              <w:tl2br w:val="nil"/>
              <w:tr2bl w:val="nil"/>
            </w:tcBorders>
            <w:vAlign w:val="center"/>
          </w:tcPr>
          <w:p>
            <w:pPr>
              <w:pStyle w:val="70"/>
              <w:rPr>
                <w:rFonts w:hint="default"/>
                <w:color w:val="auto"/>
                <w:sz w:val="18"/>
                <w:szCs w:val="18"/>
                <w:highlight w:val="none"/>
                <w:lang w:val="en-US" w:eastAsia="zh-CN"/>
              </w:rPr>
            </w:pPr>
            <w:r>
              <w:rPr>
                <w:rFonts w:hint="eastAsia"/>
                <w:color w:val="auto"/>
                <w:sz w:val="18"/>
                <w:szCs w:val="18"/>
                <w:highlight w:val="none"/>
                <w:lang w:val="en-US" w:eastAsia="zh-CN"/>
              </w:rPr>
              <w:t>18</w:t>
            </w:r>
            <w:r>
              <w:rPr>
                <w:color w:val="auto"/>
                <w:sz w:val="18"/>
                <w:szCs w:val="18"/>
                <w:highlight w:val="none"/>
              </w:rPr>
              <w:t>×</w:t>
            </w:r>
            <w:r>
              <w:rPr>
                <w:rFonts w:hint="eastAsia"/>
                <w:color w:val="auto"/>
                <w:sz w:val="18"/>
                <w:szCs w:val="18"/>
                <w:highlight w:val="none"/>
                <w:lang w:val="en-US" w:eastAsia="zh-CN"/>
              </w:rPr>
              <w:t>16</w:t>
            </w:r>
            <w:r>
              <w:rPr>
                <w:color w:val="auto"/>
                <w:sz w:val="18"/>
                <w:szCs w:val="18"/>
                <w:highlight w:val="none"/>
              </w:rPr>
              <w:t>×</w:t>
            </w:r>
            <w:r>
              <w:rPr>
                <w:rFonts w:hint="eastAsia"/>
                <w:color w:val="auto"/>
                <w:sz w:val="18"/>
                <w:szCs w:val="18"/>
                <w:highlight w:val="none"/>
                <w:lang w:val="en-US" w:eastAsia="zh-CN"/>
              </w:rPr>
              <w:t>14</w:t>
            </w:r>
            <w:r>
              <w:rPr>
                <w:rFonts w:hint="eastAsia"/>
                <w:color w:val="auto"/>
                <w:sz w:val="18"/>
                <w:szCs w:val="18"/>
                <w:highlight w:val="none"/>
              </w:rPr>
              <w:t>m</w:t>
            </w:r>
          </w:p>
        </w:tc>
        <w:tc>
          <w:tcPr>
            <w:tcW w:w="625" w:type="dxa"/>
            <w:tcBorders>
              <w:tl2br w:val="nil"/>
              <w:tr2bl w:val="nil"/>
            </w:tcBorders>
            <w:vAlign w:val="center"/>
          </w:tcPr>
          <w:p>
            <w:pPr>
              <w:pStyle w:val="70"/>
              <w:rPr>
                <w:rFonts w:hint="default"/>
                <w:color w:val="auto"/>
                <w:sz w:val="18"/>
                <w:szCs w:val="18"/>
                <w:highlight w:val="none"/>
                <w:lang w:val="en-US" w:eastAsia="zh-CN"/>
              </w:rPr>
            </w:pPr>
            <w:r>
              <w:rPr>
                <w:rFonts w:hint="eastAsia"/>
                <w:color w:val="auto"/>
                <w:sz w:val="18"/>
                <w:szCs w:val="18"/>
                <w:highlight w:val="none"/>
                <w:lang w:val="en-US" w:eastAsia="zh-CN"/>
              </w:rPr>
              <w:t>1200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426" w:type="dxa"/>
            <w:vMerge w:val="continue"/>
            <w:tcBorders>
              <w:tl2br w:val="nil"/>
              <w:tr2bl w:val="nil"/>
            </w:tcBorders>
            <w:vAlign w:val="center"/>
          </w:tcPr>
          <w:p>
            <w:pPr>
              <w:pStyle w:val="70"/>
              <w:rPr>
                <w:rFonts w:hint="eastAsia"/>
                <w:color w:val="auto"/>
                <w:sz w:val="18"/>
                <w:szCs w:val="18"/>
                <w:highlight w:val="none"/>
              </w:rPr>
            </w:pPr>
          </w:p>
        </w:tc>
        <w:tc>
          <w:tcPr>
            <w:tcW w:w="641" w:type="dxa"/>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清洁工序</w:t>
            </w:r>
          </w:p>
        </w:tc>
        <w:tc>
          <w:tcPr>
            <w:tcW w:w="862"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NMHC</w:t>
            </w:r>
          </w:p>
        </w:tc>
        <w:tc>
          <w:tcPr>
            <w:tcW w:w="771"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w:t>
            </w:r>
          </w:p>
        </w:tc>
        <w:tc>
          <w:tcPr>
            <w:tcW w:w="467"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物料衡算法</w:t>
            </w:r>
          </w:p>
        </w:tc>
        <w:tc>
          <w:tcPr>
            <w:tcW w:w="74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0.316</w:t>
            </w:r>
          </w:p>
        </w:tc>
        <w:tc>
          <w:tcPr>
            <w:tcW w:w="77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0.132</w:t>
            </w:r>
          </w:p>
        </w:tc>
        <w:tc>
          <w:tcPr>
            <w:tcW w:w="91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331"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w:t>
            </w:r>
          </w:p>
        </w:tc>
        <w:tc>
          <w:tcPr>
            <w:tcW w:w="807"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w:t>
            </w:r>
          </w:p>
        </w:tc>
        <w:tc>
          <w:tcPr>
            <w:tcW w:w="712"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0.316</w:t>
            </w:r>
          </w:p>
        </w:tc>
        <w:tc>
          <w:tcPr>
            <w:tcW w:w="806"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0.132</w:t>
            </w:r>
          </w:p>
        </w:tc>
        <w:tc>
          <w:tcPr>
            <w:tcW w:w="75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143" w:type="dxa"/>
            <w:gridSpan w:val="4"/>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18</w:t>
            </w:r>
            <w:r>
              <w:rPr>
                <w:color w:val="auto"/>
                <w:sz w:val="18"/>
                <w:szCs w:val="18"/>
                <w:highlight w:val="none"/>
              </w:rPr>
              <w:t>×</w:t>
            </w:r>
            <w:r>
              <w:rPr>
                <w:rFonts w:hint="eastAsia"/>
                <w:color w:val="auto"/>
                <w:sz w:val="18"/>
                <w:szCs w:val="18"/>
                <w:highlight w:val="none"/>
                <w:lang w:val="en-US" w:eastAsia="zh-CN"/>
              </w:rPr>
              <w:t>18</w:t>
            </w:r>
            <w:r>
              <w:rPr>
                <w:color w:val="auto"/>
                <w:sz w:val="18"/>
                <w:szCs w:val="18"/>
                <w:highlight w:val="none"/>
              </w:rPr>
              <w:t>×</w:t>
            </w:r>
            <w:r>
              <w:rPr>
                <w:rFonts w:hint="eastAsia"/>
                <w:color w:val="auto"/>
                <w:sz w:val="18"/>
                <w:szCs w:val="18"/>
                <w:highlight w:val="none"/>
                <w:lang w:val="en-US" w:eastAsia="zh-CN"/>
              </w:rPr>
              <w:t>14</w:t>
            </w:r>
            <w:r>
              <w:rPr>
                <w:rFonts w:hint="eastAsia"/>
                <w:color w:val="auto"/>
                <w:sz w:val="18"/>
                <w:szCs w:val="18"/>
                <w:highlight w:val="none"/>
              </w:rPr>
              <w:t>m</w:t>
            </w:r>
          </w:p>
        </w:tc>
        <w:tc>
          <w:tcPr>
            <w:tcW w:w="625"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2400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67" w:type="dxa"/>
            <w:gridSpan w:val="2"/>
            <w:vMerge w:val="restart"/>
            <w:tcBorders>
              <w:tl2br w:val="nil"/>
              <w:tr2bl w:val="nil"/>
            </w:tcBorders>
            <w:vAlign w:val="center"/>
          </w:tcPr>
          <w:p>
            <w:pPr>
              <w:pStyle w:val="70"/>
              <w:rPr>
                <w:color w:val="auto"/>
                <w:sz w:val="18"/>
                <w:szCs w:val="18"/>
                <w:highlight w:val="none"/>
              </w:rPr>
            </w:pPr>
            <w:r>
              <w:rPr>
                <w:rFonts w:hint="eastAsia"/>
                <w:color w:val="auto"/>
                <w:sz w:val="18"/>
                <w:szCs w:val="18"/>
                <w:highlight w:val="none"/>
              </w:rPr>
              <w:t>合计</w:t>
            </w:r>
          </w:p>
        </w:tc>
        <w:tc>
          <w:tcPr>
            <w:tcW w:w="862" w:type="dxa"/>
            <w:tcBorders>
              <w:tl2br w:val="nil"/>
              <w:tr2bl w:val="nil"/>
            </w:tcBorders>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颗粒物</w:t>
            </w:r>
          </w:p>
        </w:tc>
        <w:tc>
          <w:tcPr>
            <w:tcW w:w="771" w:type="dxa"/>
            <w:tcBorders>
              <w:tl2br w:val="nil"/>
              <w:tr2bl w:val="nil"/>
            </w:tcBorders>
            <w:vAlign w:val="center"/>
          </w:tcPr>
          <w:p>
            <w:pPr>
              <w:pStyle w:val="70"/>
              <w:rPr>
                <w:color w:val="auto"/>
                <w:sz w:val="18"/>
                <w:szCs w:val="18"/>
                <w:highlight w:val="none"/>
              </w:rPr>
            </w:pPr>
          </w:p>
        </w:tc>
        <w:tc>
          <w:tcPr>
            <w:tcW w:w="467" w:type="dxa"/>
            <w:tcBorders>
              <w:tl2br w:val="nil"/>
              <w:tr2bl w:val="nil"/>
            </w:tcBorders>
            <w:vAlign w:val="center"/>
          </w:tcPr>
          <w:p>
            <w:pPr>
              <w:pStyle w:val="70"/>
              <w:rPr>
                <w:color w:val="auto"/>
                <w:sz w:val="18"/>
                <w:szCs w:val="18"/>
                <w:highlight w:val="none"/>
              </w:rPr>
            </w:pPr>
          </w:p>
        </w:tc>
        <w:tc>
          <w:tcPr>
            <w:tcW w:w="744"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16.432</w:t>
            </w:r>
          </w:p>
        </w:tc>
        <w:tc>
          <w:tcPr>
            <w:tcW w:w="774" w:type="dxa"/>
            <w:tcBorders>
              <w:tl2br w:val="nil"/>
              <w:tr2bl w:val="nil"/>
            </w:tcBorders>
            <w:vAlign w:val="center"/>
          </w:tcPr>
          <w:p>
            <w:pPr>
              <w:jc w:val="center"/>
              <w:rPr>
                <w:color w:val="auto"/>
                <w:sz w:val="18"/>
                <w:szCs w:val="18"/>
                <w:highlight w:val="none"/>
              </w:rPr>
            </w:pPr>
          </w:p>
        </w:tc>
        <w:tc>
          <w:tcPr>
            <w:tcW w:w="919" w:type="dxa"/>
            <w:tcBorders>
              <w:tl2br w:val="nil"/>
              <w:tr2bl w:val="nil"/>
            </w:tcBorders>
            <w:vAlign w:val="center"/>
          </w:tcPr>
          <w:p>
            <w:pPr>
              <w:jc w:val="center"/>
              <w:rPr>
                <w:color w:val="auto"/>
                <w:sz w:val="18"/>
                <w:szCs w:val="18"/>
                <w:highlight w:val="none"/>
              </w:rPr>
            </w:pPr>
          </w:p>
        </w:tc>
        <w:tc>
          <w:tcPr>
            <w:tcW w:w="2138" w:type="dxa"/>
            <w:gridSpan w:val="2"/>
            <w:tcBorders>
              <w:tl2br w:val="nil"/>
              <w:tr2bl w:val="nil"/>
            </w:tcBorders>
            <w:vAlign w:val="center"/>
          </w:tcPr>
          <w:p>
            <w:pPr>
              <w:jc w:val="center"/>
              <w:rPr>
                <w:color w:val="auto"/>
                <w:sz w:val="18"/>
                <w:szCs w:val="18"/>
                <w:highlight w:val="none"/>
              </w:rPr>
            </w:pPr>
          </w:p>
        </w:tc>
        <w:tc>
          <w:tcPr>
            <w:tcW w:w="712"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1.77</w:t>
            </w:r>
            <w:r>
              <w:rPr>
                <w:rFonts w:hint="eastAsia" w:ascii="Times New Roman" w:hAnsi="Times New Roman" w:cs="Times New Roman"/>
                <w:i w:val="0"/>
                <w:iCs w:val="0"/>
                <w:color w:val="auto"/>
                <w:kern w:val="0"/>
                <w:sz w:val="18"/>
                <w:szCs w:val="18"/>
                <w:highlight w:val="none"/>
                <w:u w:val="none"/>
                <w:lang w:val="en-US" w:eastAsia="zh-CN" w:bidi="ar"/>
              </w:rPr>
              <w:t>6</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c>
          <w:tcPr>
            <w:tcW w:w="806" w:type="dxa"/>
            <w:tcBorders>
              <w:tl2br w:val="nil"/>
              <w:tr2bl w:val="nil"/>
            </w:tcBorders>
            <w:vAlign w:val="center"/>
          </w:tcPr>
          <w:p>
            <w:pPr>
              <w:jc w:val="center"/>
              <w:rPr>
                <w:rFonts w:hint="default" w:eastAsia="宋体"/>
                <w:color w:val="auto"/>
                <w:sz w:val="18"/>
                <w:szCs w:val="18"/>
                <w:highlight w:val="none"/>
                <w:lang w:val="en-US" w:eastAsia="zh-CN"/>
              </w:rPr>
            </w:pPr>
          </w:p>
        </w:tc>
        <w:tc>
          <w:tcPr>
            <w:tcW w:w="750" w:type="dxa"/>
            <w:tcBorders>
              <w:tl2br w:val="nil"/>
              <w:tr2bl w:val="nil"/>
            </w:tcBorders>
            <w:vAlign w:val="center"/>
          </w:tcPr>
          <w:p>
            <w:pPr>
              <w:jc w:val="center"/>
              <w:rPr>
                <w:color w:val="auto"/>
                <w:sz w:val="18"/>
                <w:szCs w:val="18"/>
                <w:highlight w:val="none"/>
              </w:rPr>
            </w:pPr>
          </w:p>
        </w:tc>
        <w:tc>
          <w:tcPr>
            <w:tcW w:w="1377" w:type="dxa"/>
            <w:gridSpan w:val="3"/>
            <w:tcBorders>
              <w:tl2br w:val="nil"/>
              <w:tr2bl w:val="nil"/>
            </w:tcBorders>
            <w:vAlign w:val="center"/>
          </w:tcPr>
          <w:p>
            <w:pPr>
              <w:pStyle w:val="70"/>
              <w:rPr>
                <w:color w:val="auto"/>
                <w:sz w:val="18"/>
                <w:szCs w:val="18"/>
                <w:highlight w:val="none"/>
              </w:rPr>
            </w:pPr>
          </w:p>
        </w:tc>
        <w:tc>
          <w:tcPr>
            <w:tcW w:w="766" w:type="dxa"/>
            <w:tcBorders>
              <w:tl2br w:val="nil"/>
              <w:tr2bl w:val="nil"/>
            </w:tcBorders>
            <w:vAlign w:val="center"/>
          </w:tcPr>
          <w:p>
            <w:pPr>
              <w:pStyle w:val="70"/>
              <w:rPr>
                <w:color w:val="auto"/>
                <w:sz w:val="18"/>
                <w:szCs w:val="18"/>
                <w:highlight w:val="none"/>
              </w:rPr>
            </w:pPr>
          </w:p>
        </w:tc>
        <w:tc>
          <w:tcPr>
            <w:tcW w:w="625" w:type="dxa"/>
            <w:tcBorders>
              <w:tl2br w:val="nil"/>
              <w:tr2bl w:val="nil"/>
            </w:tcBorders>
            <w:vAlign w:val="center"/>
          </w:tcPr>
          <w:p>
            <w:pPr>
              <w:pStyle w:val="70"/>
              <w:rPr>
                <w:color w:val="auto"/>
                <w:sz w:val="18"/>
                <w:szCs w:val="18"/>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67" w:type="dxa"/>
            <w:gridSpan w:val="2"/>
            <w:vMerge w:val="continue"/>
            <w:tcBorders>
              <w:tl2br w:val="nil"/>
              <w:tr2bl w:val="nil"/>
            </w:tcBorders>
            <w:vAlign w:val="center"/>
          </w:tcPr>
          <w:p>
            <w:pPr>
              <w:pStyle w:val="70"/>
              <w:rPr>
                <w:color w:val="auto"/>
                <w:sz w:val="18"/>
                <w:szCs w:val="18"/>
                <w:highlight w:val="none"/>
              </w:rPr>
            </w:pPr>
          </w:p>
        </w:tc>
        <w:tc>
          <w:tcPr>
            <w:tcW w:w="862" w:type="dxa"/>
            <w:tcBorders>
              <w:tl2br w:val="nil"/>
              <w:tr2bl w:val="nil"/>
            </w:tcBorders>
            <w:vAlign w:val="center"/>
          </w:tcPr>
          <w:p>
            <w:pPr>
              <w:pStyle w:val="70"/>
              <w:rPr>
                <w:rFonts w:hint="default" w:eastAsia="宋体"/>
                <w:color w:val="auto"/>
                <w:sz w:val="18"/>
                <w:szCs w:val="18"/>
                <w:highlight w:val="none"/>
                <w:lang w:val="en-US" w:eastAsia="zh-CN"/>
              </w:rPr>
            </w:pPr>
            <w:r>
              <w:rPr>
                <w:rFonts w:hint="eastAsia"/>
                <w:color w:val="auto"/>
                <w:sz w:val="18"/>
                <w:szCs w:val="18"/>
                <w:highlight w:val="none"/>
                <w:lang w:val="en-US" w:eastAsia="zh-CN"/>
              </w:rPr>
              <w:t>NMHC</w:t>
            </w:r>
          </w:p>
        </w:tc>
        <w:tc>
          <w:tcPr>
            <w:tcW w:w="771" w:type="dxa"/>
            <w:tcBorders>
              <w:tl2br w:val="nil"/>
              <w:tr2bl w:val="nil"/>
            </w:tcBorders>
            <w:vAlign w:val="center"/>
          </w:tcPr>
          <w:p>
            <w:pPr>
              <w:pStyle w:val="70"/>
              <w:rPr>
                <w:color w:val="auto"/>
                <w:sz w:val="18"/>
                <w:szCs w:val="18"/>
                <w:highlight w:val="none"/>
              </w:rPr>
            </w:pPr>
          </w:p>
        </w:tc>
        <w:tc>
          <w:tcPr>
            <w:tcW w:w="467" w:type="dxa"/>
            <w:tcBorders>
              <w:tl2br w:val="nil"/>
              <w:tr2bl w:val="nil"/>
            </w:tcBorders>
            <w:vAlign w:val="center"/>
          </w:tcPr>
          <w:p>
            <w:pPr>
              <w:pStyle w:val="70"/>
              <w:rPr>
                <w:color w:val="auto"/>
                <w:sz w:val="18"/>
                <w:szCs w:val="18"/>
                <w:highlight w:val="none"/>
              </w:rPr>
            </w:pPr>
          </w:p>
        </w:tc>
        <w:tc>
          <w:tcPr>
            <w:tcW w:w="744"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0.316</w:t>
            </w:r>
          </w:p>
        </w:tc>
        <w:tc>
          <w:tcPr>
            <w:tcW w:w="774" w:type="dxa"/>
            <w:tcBorders>
              <w:tl2br w:val="nil"/>
              <w:tr2bl w:val="nil"/>
            </w:tcBorders>
            <w:vAlign w:val="center"/>
          </w:tcPr>
          <w:p>
            <w:pPr>
              <w:jc w:val="center"/>
              <w:rPr>
                <w:color w:val="auto"/>
                <w:sz w:val="18"/>
                <w:szCs w:val="18"/>
                <w:highlight w:val="none"/>
              </w:rPr>
            </w:pPr>
          </w:p>
        </w:tc>
        <w:tc>
          <w:tcPr>
            <w:tcW w:w="919" w:type="dxa"/>
            <w:tcBorders>
              <w:tl2br w:val="nil"/>
              <w:tr2bl w:val="nil"/>
            </w:tcBorders>
            <w:vAlign w:val="center"/>
          </w:tcPr>
          <w:p>
            <w:pPr>
              <w:jc w:val="center"/>
              <w:rPr>
                <w:color w:val="auto"/>
                <w:sz w:val="18"/>
                <w:szCs w:val="18"/>
                <w:highlight w:val="none"/>
              </w:rPr>
            </w:pPr>
          </w:p>
        </w:tc>
        <w:tc>
          <w:tcPr>
            <w:tcW w:w="2138" w:type="dxa"/>
            <w:gridSpan w:val="2"/>
            <w:tcBorders>
              <w:tl2br w:val="nil"/>
              <w:tr2bl w:val="nil"/>
            </w:tcBorders>
            <w:vAlign w:val="center"/>
          </w:tcPr>
          <w:p>
            <w:pPr>
              <w:jc w:val="center"/>
              <w:rPr>
                <w:color w:val="auto"/>
                <w:sz w:val="18"/>
                <w:szCs w:val="18"/>
                <w:highlight w:val="none"/>
              </w:rPr>
            </w:pPr>
          </w:p>
        </w:tc>
        <w:tc>
          <w:tcPr>
            <w:tcW w:w="712" w:type="dxa"/>
            <w:tcBorders>
              <w:tl2br w:val="nil"/>
              <w:tr2bl w:val="nil"/>
            </w:tcBorders>
            <w:vAlign w:val="center"/>
          </w:tcPr>
          <w:p>
            <w:pPr>
              <w:keepNext w:val="0"/>
              <w:keepLines w:val="0"/>
              <w:widowControl/>
              <w:suppressLineNumbers w:val="0"/>
              <w:jc w:val="center"/>
              <w:textAlignment w:val="center"/>
              <w:rPr>
                <w:rFonts w:hint="default" w:eastAsia="宋体"/>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0.316</w:t>
            </w:r>
          </w:p>
        </w:tc>
        <w:tc>
          <w:tcPr>
            <w:tcW w:w="806" w:type="dxa"/>
            <w:tcBorders>
              <w:tl2br w:val="nil"/>
              <w:tr2bl w:val="nil"/>
            </w:tcBorders>
            <w:vAlign w:val="center"/>
          </w:tcPr>
          <w:p>
            <w:pPr>
              <w:jc w:val="center"/>
              <w:rPr>
                <w:color w:val="auto"/>
                <w:sz w:val="18"/>
                <w:szCs w:val="18"/>
                <w:highlight w:val="none"/>
              </w:rPr>
            </w:pPr>
          </w:p>
        </w:tc>
        <w:tc>
          <w:tcPr>
            <w:tcW w:w="750" w:type="dxa"/>
            <w:tcBorders>
              <w:tl2br w:val="nil"/>
              <w:tr2bl w:val="nil"/>
            </w:tcBorders>
            <w:vAlign w:val="center"/>
          </w:tcPr>
          <w:p>
            <w:pPr>
              <w:jc w:val="center"/>
              <w:rPr>
                <w:color w:val="auto"/>
                <w:sz w:val="18"/>
                <w:szCs w:val="18"/>
                <w:highlight w:val="none"/>
              </w:rPr>
            </w:pPr>
          </w:p>
        </w:tc>
        <w:tc>
          <w:tcPr>
            <w:tcW w:w="1377" w:type="dxa"/>
            <w:gridSpan w:val="3"/>
            <w:tcBorders>
              <w:tl2br w:val="nil"/>
              <w:tr2bl w:val="nil"/>
            </w:tcBorders>
            <w:vAlign w:val="center"/>
          </w:tcPr>
          <w:p>
            <w:pPr>
              <w:pStyle w:val="70"/>
              <w:rPr>
                <w:color w:val="auto"/>
                <w:sz w:val="18"/>
                <w:szCs w:val="18"/>
                <w:highlight w:val="none"/>
              </w:rPr>
            </w:pPr>
          </w:p>
        </w:tc>
        <w:tc>
          <w:tcPr>
            <w:tcW w:w="766" w:type="dxa"/>
            <w:tcBorders>
              <w:tl2br w:val="nil"/>
              <w:tr2bl w:val="nil"/>
            </w:tcBorders>
            <w:vAlign w:val="center"/>
          </w:tcPr>
          <w:p>
            <w:pPr>
              <w:pStyle w:val="70"/>
              <w:rPr>
                <w:color w:val="auto"/>
                <w:sz w:val="18"/>
                <w:szCs w:val="18"/>
                <w:highlight w:val="none"/>
              </w:rPr>
            </w:pPr>
          </w:p>
        </w:tc>
        <w:tc>
          <w:tcPr>
            <w:tcW w:w="625" w:type="dxa"/>
            <w:tcBorders>
              <w:tl2br w:val="nil"/>
              <w:tr2bl w:val="nil"/>
            </w:tcBorders>
            <w:vAlign w:val="center"/>
          </w:tcPr>
          <w:p>
            <w:pPr>
              <w:pStyle w:val="70"/>
              <w:rPr>
                <w:color w:val="auto"/>
                <w:sz w:val="18"/>
                <w:szCs w:val="18"/>
                <w:highlight w:val="none"/>
              </w:rPr>
            </w:pPr>
          </w:p>
        </w:tc>
      </w:tr>
    </w:tbl>
    <w:p>
      <w:pPr>
        <w:pStyle w:val="3"/>
        <w:rPr>
          <w:color w:val="auto"/>
          <w:highlight w:val="none"/>
        </w:rPr>
      </w:pPr>
    </w:p>
    <w:p>
      <w:pPr>
        <w:pStyle w:val="18"/>
        <w:rPr>
          <w:color w:val="auto"/>
          <w:highlight w:val="none"/>
        </w:rPr>
      </w:pPr>
    </w:p>
    <w:p>
      <w:pPr>
        <w:pStyle w:val="18"/>
        <w:rPr>
          <w:color w:val="auto"/>
          <w:highlight w:val="none"/>
        </w:rPr>
      </w:pPr>
    </w:p>
    <w:p>
      <w:pPr>
        <w:pStyle w:val="18"/>
        <w:rPr>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8"/>
        <w:rPr>
          <w:color w:val="auto"/>
          <w:highlight w:val="none"/>
        </w:rPr>
      </w:pPr>
    </w:p>
    <w:tbl>
      <w:tblPr>
        <w:tblStyle w:val="28"/>
        <w:tblW w:w="90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4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28" w:hRule="atLeast"/>
          <w:jc w:val="center"/>
        </w:trPr>
        <w:tc>
          <w:tcPr>
            <w:tcW w:w="612" w:type="dxa"/>
            <w:tcMar>
              <w:left w:w="28" w:type="dxa"/>
              <w:right w:w="28" w:type="dxa"/>
            </w:tcMar>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保护</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421" w:type="dxa"/>
          </w:tcPr>
          <w:p>
            <w:pPr>
              <w:pStyle w:val="68"/>
              <w:rPr>
                <w:color w:val="auto"/>
                <w:highlight w:val="none"/>
              </w:rPr>
            </w:pPr>
            <w:r>
              <w:rPr>
                <w:color w:val="auto"/>
                <w:highlight w:val="none"/>
              </w:rPr>
              <w:t>表4</w:t>
            </w:r>
            <w:r>
              <w:rPr>
                <w:rFonts w:hint="eastAsia"/>
                <w:color w:val="auto"/>
                <w:highlight w:val="none"/>
              </w:rPr>
              <w:t>.</w:t>
            </w:r>
            <w:r>
              <w:rPr>
                <w:rFonts w:hint="eastAsia"/>
                <w:color w:val="auto"/>
                <w:highlight w:val="none"/>
                <w:lang w:val="en-US" w:eastAsia="zh-CN"/>
              </w:rPr>
              <w:t>3</w:t>
            </w:r>
            <w:r>
              <w:rPr>
                <w:rFonts w:hint="eastAsia"/>
                <w:color w:val="auto"/>
                <w:highlight w:val="none"/>
              </w:rPr>
              <w:t>.</w:t>
            </w:r>
            <w:r>
              <w:rPr>
                <w:color w:val="auto"/>
                <w:highlight w:val="none"/>
              </w:rPr>
              <w:t>2全厂</w:t>
            </w:r>
            <w:r>
              <w:rPr>
                <w:rFonts w:hint="eastAsia"/>
                <w:color w:val="auto"/>
                <w:highlight w:val="none"/>
              </w:rPr>
              <w:t>大气</w:t>
            </w:r>
            <w:r>
              <w:rPr>
                <w:color w:val="auto"/>
                <w:highlight w:val="none"/>
              </w:rPr>
              <w:t>污染物排放情况“三本账”</w:t>
            </w:r>
            <w:r>
              <w:rPr>
                <w:rFonts w:hint="eastAsia"/>
                <w:color w:val="auto"/>
                <w:highlight w:val="none"/>
              </w:rPr>
              <w:t>单位：t/a</w:t>
            </w:r>
          </w:p>
          <w:tbl>
            <w:tblPr>
              <w:tblStyle w:val="29"/>
              <w:tblW w:w="8123" w:type="dxa"/>
              <w:tblInd w:w="1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310"/>
              <w:gridCol w:w="1643"/>
              <w:gridCol w:w="1170"/>
              <w:gridCol w:w="1395"/>
              <w:gridCol w:w="810"/>
              <w:gridCol w:w="179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310"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70"/>
                    <w:rPr>
                      <w:b w:val="0"/>
                      <w:color w:val="auto"/>
                      <w:highlight w:val="none"/>
                    </w:rPr>
                  </w:pPr>
                  <w:r>
                    <w:rPr>
                      <w:rFonts w:hint="eastAsia"/>
                      <w:b w:val="0"/>
                      <w:color w:val="auto"/>
                      <w:highlight w:val="none"/>
                    </w:rPr>
                    <w:t>项目</w:t>
                  </w:r>
                </w:p>
              </w:tc>
              <w:tc>
                <w:tcPr>
                  <w:tcW w:w="16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rPr>
                    <w:t>现有工程排放量</w:t>
                  </w:r>
                </w:p>
              </w:tc>
              <w:tc>
                <w:tcPr>
                  <w:tcW w:w="11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rPr>
                    <w:t>项目排放量</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rPr>
                    <w:t>以新带老削减量</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rPr>
                    <w:t>全厂合计</w:t>
                  </w: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rPr>
                    <w:t>本项目投产前后增减量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3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r>
                    <w:rPr>
                      <w:rFonts w:hint="eastAsia"/>
                      <w:b w:val="0"/>
                      <w:color w:val="auto"/>
                      <w:highlight w:val="none"/>
                      <w:lang w:val="en-US" w:eastAsia="zh-CN"/>
                    </w:rPr>
                    <w:t>颗粒物</w:t>
                  </w:r>
                </w:p>
                <w:p>
                  <w:pPr>
                    <w:pStyle w:val="70"/>
                    <w:rPr>
                      <w:rFonts w:hint="default" w:eastAsia="宋体"/>
                      <w:b w:val="0"/>
                      <w:color w:val="auto"/>
                      <w:highlight w:val="none"/>
                      <w:lang w:val="en-US" w:eastAsia="zh-CN"/>
                    </w:rPr>
                  </w:pPr>
                  <w:r>
                    <w:rPr>
                      <w:rFonts w:hint="eastAsia"/>
                      <w:b w:val="0"/>
                      <w:color w:val="auto"/>
                      <w:highlight w:val="none"/>
                      <w:lang w:val="en-US" w:eastAsia="zh-CN"/>
                    </w:rPr>
                    <w:t>（粉尘）</w:t>
                  </w:r>
                </w:p>
              </w:tc>
              <w:tc>
                <w:tcPr>
                  <w:tcW w:w="16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2.4274</w:t>
                  </w:r>
                </w:p>
              </w:tc>
              <w:tc>
                <w:tcPr>
                  <w:tcW w:w="11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1.776</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rPr>
                    <w:t>0</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4.2034</w:t>
                  </w: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rPr>
                    <w:t>+</w:t>
                  </w:r>
                  <w:r>
                    <w:rPr>
                      <w:rFonts w:hint="eastAsia"/>
                      <w:b w:val="0"/>
                      <w:color w:val="auto"/>
                      <w:highlight w:val="none"/>
                      <w:lang w:val="en-US" w:eastAsia="zh-CN"/>
                    </w:rPr>
                    <w:t>1.776</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3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eastAsia="宋体"/>
                      <w:b w:val="0"/>
                      <w:color w:val="auto"/>
                      <w:highlight w:val="none"/>
                      <w:lang w:val="en-US" w:eastAsia="zh-CN"/>
                    </w:rPr>
                  </w:pPr>
                  <w:r>
                    <w:rPr>
                      <w:rFonts w:hint="eastAsia"/>
                      <w:b w:val="0"/>
                      <w:color w:val="auto"/>
                      <w:highlight w:val="none"/>
                      <w:lang w:val="en-US" w:eastAsia="zh-CN"/>
                    </w:rPr>
                    <w:t>NMHC（</w:t>
                  </w:r>
                  <w:r>
                    <w:rPr>
                      <w:rFonts w:hint="eastAsia"/>
                      <w:b w:val="0"/>
                      <w:color w:val="auto"/>
                      <w:highlight w:val="none"/>
                    </w:rPr>
                    <w:t>非甲烷总烃</w:t>
                  </w:r>
                  <w:r>
                    <w:rPr>
                      <w:rFonts w:hint="eastAsia"/>
                      <w:b w:val="0"/>
                      <w:color w:val="auto"/>
                      <w:highlight w:val="none"/>
                      <w:lang w:eastAsia="zh-CN"/>
                    </w:rPr>
                    <w:t>）</w:t>
                  </w:r>
                </w:p>
              </w:tc>
              <w:tc>
                <w:tcPr>
                  <w:tcW w:w="16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rPr>
                    <w:t>0.896</w:t>
                  </w:r>
                </w:p>
              </w:tc>
              <w:tc>
                <w:tcPr>
                  <w:tcW w:w="11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0.316</w:t>
                  </w:r>
                </w:p>
              </w:tc>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rPr>
                    <w:t>0</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1.212</w:t>
                  </w:r>
                </w:p>
              </w:tc>
              <w:tc>
                <w:tcPr>
                  <w:tcW w:w="17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rPr>
                    <w:t>+0.</w:t>
                  </w:r>
                  <w:r>
                    <w:rPr>
                      <w:rFonts w:hint="eastAsia"/>
                      <w:b w:val="0"/>
                      <w:color w:val="auto"/>
                      <w:highlight w:val="none"/>
                      <w:lang w:val="en-US" w:eastAsia="zh-CN"/>
                    </w:rPr>
                    <w:t>316</w:t>
                  </w:r>
                </w:p>
              </w:tc>
            </w:tr>
          </w:tbl>
          <w:p>
            <w:pPr>
              <w:pStyle w:val="72"/>
              <w:ind w:firstLine="482"/>
              <w:rPr>
                <w:rFonts w:hint="eastAsia"/>
                <w:b/>
                <w:bCs/>
                <w:color w:val="auto"/>
                <w:highlight w:val="none"/>
              </w:rPr>
            </w:pPr>
          </w:p>
          <w:p>
            <w:pPr>
              <w:pStyle w:val="72"/>
              <w:ind w:firstLine="482"/>
              <w:rPr>
                <w:b/>
                <w:bCs/>
                <w:color w:val="auto"/>
                <w:highlight w:val="none"/>
              </w:rPr>
            </w:pPr>
            <w:r>
              <w:rPr>
                <w:rFonts w:hint="eastAsia"/>
                <w:b/>
                <w:bCs/>
                <w:color w:val="auto"/>
                <w:highlight w:val="none"/>
              </w:rPr>
              <w:t>（2）大气环境影响评价</w:t>
            </w:r>
          </w:p>
          <w:p>
            <w:pPr>
              <w:pStyle w:val="72"/>
              <w:ind w:firstLine="480"/>
              <w:rPr>
                <w:color w:val="auto"/>
                <w:highlight w:val="none"/>
              </w:rPr>
            </w:pPr>
            <w:r>
              <w:rPr>
                <w:rFonts w:hint="eastAsia"/>
                <w:color w:val="auto"/>
                <w:highlight w:val="none"/>
              </w:rPr>
              <w:t>本项目主要排放的废气有</w:t>
            </w:r>
            <w:r>
              <w:rPr>
                <w:rFonts w:hint="eastAsia"/>
                <w:color w:val="auto"/>
                <w:highlight w:val="none"/>
                <w:lang w:val="en-US" w:eastAsia="zh-CN"/>
              </w:rPr>
              <w:t>喷砂和</w:t>
            </w:r>
            <w:r>
              <w:rPr>
                <w:rFonts w:hint="eastAsia"/>
                <w:color w:val="auto"/>
                <w:szCs w:val="22"/>
                <w:highlight w:val="none"/>
                <w:lang w:val="en-US" w:eastAsia="zh-CN"/>
              </w:rPr>
              <w:t>抛光工序</w:t>
            </w:r>
            <w:r>
              <w:rPr>
                <w:rFonts w:hint="eastAsia"/>
                <w:color w:val="auto"/>
                <w:szCs w:val="22"/>
                <w:highlight w:val="none"/>
              </w:rPr>
              <w:t>粉尘</w:t>
            </w:r>
            <w:r>
              <w:rPr>
                <w:rFonts w:hint="eastAsia"/>
                <w:color w:val="auto"/>
                <w:szCs w:val="22"/>
                <w:highlight w:val="none"/>
                <w:lang w:eastAsia="zh-CN"/>
              </w:rPr>
              <w:t>，</w:t>
            </w:r>
            <w:r>
              <w:rPr>
                <w:rFonts w:hint="eastAsia"/>
                <w:color w:val="auto"/>
                <w:szCs w:val="22"/>
                <w:highlight w:val="none"/>
                <w:lang w:val="en-US" w:eastAsia="zh-CN"/>
              </w:rPr>
              <w:t>清洁工序有机</w:t>
            </w:r>
            <w:r>
              <w:rPr>
                <w:rFonts w:hint="eastAsia"/>
                <w:color w:val="auto"/>
                <w:szCs w:val="22"/>
                <w:highlight w:val="none"/>
              </w:rPr>
              <w:t>废气</w:t>
            </w:r>
            <w:r>
              <w:rPr>
                <w:color w:val="auto"/>
                <w:szCs w:val="22"/>
                <w:highlight w:val="none"/>
              </w:rPr>
              <w:t>。</w:t>
            </w:r>
          </w:p>
          <w:p>
            <w:pPr>
              <w:pStyle w:val="72"/>
              <w:ind w:firstLine="480"/>
              <w:rPr>
                <w:color w:val="auto"/>
                <w:highlight w:val="none"/>
              </w:rPr>
            </w:pPr>
            <w:r>
              <w:rPr>
                <w:rFonts w:hint="eastAsia"/>
                <w:color w:val="auto"/>
                <w:highlight w:val="none"/>
              </w:rPr>
              <w:t>根据《环境影响评价技术导则</w:t>
            </w:r>
            <w:r>
              <w:rPr>
                <w:rFonts w:hint="eastAsia"/>
                <w:color w:val="auto"/>
                <w:highlight w:val="none"/>
                <w:lang w:val="en-US" w:eastAsia="zh-CN"/>
              </w:rPr>
              <w:t xml:space="preserve"> </w:t>
            </w:r>
            <w:r>
              <w:rPr>
                <w:rFonts w:hint="eastAsia"/>
                <w:color w:val="auto"/>
                <w:highlight w:val="none"/>
              </w:rPr>
              <w:t>大气环境》（HJ2.2-2018）中对项目的大气环境影响评价工作进行评价。</w:t>
            </w:r>
          </w:p>
          <w:p>
            <w:pPr>
              <w:pStyle w:val="72"/>
              <w:ind w:firstLine="480"/>
              <w:rPr>
                <w:color w:val="auto"/>
                <w:highlight w:val="none"/>
              </w:rPr>
            </w:pPr>
            <w:r>
              <w:rPr>
                <w:rFonts w:hint="eastAsia"/>
                <w:color w:val="auto"/>
                <w:highlight w:val="none"/>
              </w:rPr>
              <w:t>①大气环境影响估算</w:t>
            </w:r>
          </w:p>
          <w:p>
            <w:pPr>
              <w:pStyle w:val="72"/>
              <w:ind w:firstLine="480"/>
              <w:rPr>
                <w:color w:val="auto"/>
                <w:highlight w:val="none"/>
              </w:rPr>
            </w:pPr>
            <w:r>
              <w:rPr>
                <w:rFonts w:hint="eastAsia"/>
                <w:color w:val="auto"/>
                <w:highlight w:val="none"/>
              </w:rPr>
              <w:t>根据本项目工程分析结果，本次评价选择TSP和NMHC作为主要大气污染物。按照《环境影响评价技术导则大气环境》（HJ2.2-2018）规定，分别计算每一种污染物的最大地面浓度占标率P</w:t>
            </w:r>
            <w:r>
              <w:rPr>
                <w:rFonts w:hint="eastAsia"/>
                <w:color w:val="auto"/>
                <w:highlight w:val="none"/>
                <w:vertAlign w:val="subscript"/>
              </w:rPr>
              <w:t>i</w:t>
            </w:r>
            <w:r>
              <w:rPr>
                <w:rFonts w:hint="eastAsia"/>
                <w:color w:val="auto"/>
                <w:highlight w:val="none"/>
              </w:rPr>
              <w:t>（第i个污染物），及第i个污染物的地面浓度达标准限值10%时所对应的最远距离D</w:t>
            </w:r>
            <w:r>
              <w:rPr>
                <w:rFonts w:hint="eastAsia"/>
                <w:color w:val="auto"/>
                <w:highlight w:val="none"/>
                <w:vertAlign w:val="subscript"/>
              </w:rPr>
              <w:t>10%</w:t>
            </w:r>
            <w:r>
              <w:rPr>
                <w:rFonts w:hint="eastAsia"/>
                <w:color w:val="auto"/>
                <w:highlight w:val="none"/>
              </w:rPr>
              <w:t>，其中P</w:t>
            </w:r>
            <w:r>
              <w:rPr>
                <w:rFonts w:hint="eastAsia"/>
                <w:color w:val="auto"/>
                <w:highlight w:val="none"/>
                <w:vertAlign w:val="subscript"/>
              </w:rPr>
              <w:t>i</w:t>
            </w:r>
            <w:r>
              <w:rPr>
                <w:rFonts w:hint="eastAsia"/>
                <w:color w:val="auto"/>
                <w:highlight w:val="none"/>
              </w:rPr>
              <w:t>定义为：</w:t>
            </w:r>
          </w:p>
          <w:p>
            <w:pPr>
              <w:pStyle w:val="72"/>
              <w:ind w:firstLine="480"/>
              <w:rPr>
                <w:color w:val="auto"/>
                <w:highlight w:val="none"/>
              </w:rPr>
            </w:pPr>
            <w:r>
              <w:rPr>
                <w:rFonts w:hint="eastAsia"/>
                <w:color w:val="auto"/>
                <w:highlight w:val="none"/>
              </w:rPr>
              <w:t>P</w:t>
            </w:r>
            <w:r>
              <w:rPr>
                <w:rFonts w:hint="eastAsia"/>
                <w:color w:val="auto"/>
                <w:highlight w:val="none"/>
                <w:vertAlign w:val="subscript"/>
              </w:rPr>
              <w:t>i</w:t>
            </w:r>
            <w:r>
              <w:rPr>
                <w:rFonts w:hint="eastAsia"/>
                <w:color w:val="auto"/>
                <w:highlight w:val="none"/>
              </w:rPr>
              <w:t>=(C</w:t>
            </w:r>
            <w:r>
              <w:rPr>
                <w:rFonts w:hint="eastAsia"/>
                <w:color w:val="auto"/>
                <w:highlight w:val="none"/>
                <w:vertAlign w:val="subscript"/>
              </w:rPr>
              <w:t>i</w:t>
            </w:r>
            <w:r>
              <w:rPr>
                <w:rFonts w:hint="eastAsia"/>
                <w:color w:val="auto"/>
                <w:highlight w:val="none"/>
              </w:rPr>
              <w:t>/C</w:t>
            </w:r>
            <w:r>
              <w:rPr>
                <w:rFonts w:hint="eastAsia"/>
                <w:color w:val="auto"/>
                <w:highlight w:val="none"/>
                <w:vertAlign w:val="subscript"/>
              </w:rPr>
              <w:t>0i</w:t>
            </w:r>
            <w:r>
              <w:rPr>
                <w:rFonts w:hint="eastAsia"/>
                <w:color w:val="auto"/>
                <w:highlight w:val="none"/>
              </w:rPr>
              <w:t>)</w:t>
            </w:r>
            <w:r>
              <w:rPr>
                <w:rFonts w:ascii="Arial" w:hAnsi="Arial" w:cs="Arial"/>
                <w:color w:val="auto"/>
                <w:highlight w:val="none"/>
              </w:rPr>
              <w:t>×</w:t>
            </w:r>
            <w:r>
              <w:rPr>
                <w:rFonts w:hint="eastAsia"/>
                <w:color w:val="auto"/>
                <w:highlight w:val="none"/>
              </w:rPr>
              <w:t>100%</w:t>
            </w:r>
          </w:p>
          <w:p>
            <w:pPr>
              <w:pStyle w:val="72"/>
              <w:ind w:firstLine="480"/>
              <w:rPr>
                <w:color w:val="auto"/>
                <w:highlight w:val="none"/>
              </w:rPr>
            </w:pPr>
            <w:r>
              <w:rPr>
                <w:rFonts w:hint="eastAsia"/>
                <w:color w:val="auto"/>
                <w:highlight w:val="none"/>
              </w:rPr>
              <w:t>式中：P</w:t>
            </w:r>
            <w:r>
              <w:rPr>
                <w:rFonts w:hint="eastAsia"/>
                <w:color w:val="auto"/>
                <w:highlight w:val="none"/>
                <w:vertAlign w:val="subscript"/>
              </w:rPr>
              <w:t>i</w:t>
            </w:r>
            <w:r>
              <w:rPr>
                <w:rFonts w:hint="eastAsia"/>
                <w:color w:val="auto"/>
                <w:highlight w:val="none"/>
              </w:rPr>
              <w:t>—第i个污染物的最大地面浓度占标率，%；</w:t>
            </w:r>
          </w:p>
          <w:p>
            <w:pPr>
              <w:pStyle w:val="72"/>
              <w:ind w:firstLine="480"/>
              <w:rPr>
                <w:color w:val="auto"/>
                <w:highlight w:val="none"/>
              </w:rPr>
            </w:pPr>
            <w:r>
              <w:rPr>
                <w:rFonts w:hint="eastAsia"/>
                <w:color w:val="auto"/>
                <w:highlight w:val="none"/>
              </w:rPr>
              <w:t>C</w:t>
            </w:r>
            <w:r>
              <w:rPr>
                <w:rFonts w:hint="eastAsia"/>
                <w:color w:val="auto"/>
                <w:highlight w:val="none"/>
                <w:vertAlign w:val="subscript"/>
              </w:rPr>
              <w:t>i</w:t>
            </w:r>
            <w:r>
              <w:rPr>
                <w:rFonts w:hint="eastAsia"/>
                <w:color w:val="auto"/>
                <w:highlight w:val="none"/>
              </w:rPr>
              <w:t>—采用估算模式计算出的第i个污染物的最大地面浓度，mg/m</w:t>
            </w:r>
            <w:r>
              <w:rPr>
                <w:rFonts w:hint="eastAsia"/>
                <w:color w:val="auto"/>
                <w:highlight w:val="none"/>
                <w:vertAlign w:val="superscript"/>
              </w:rPr>
              <w:t>3</w:t>
            </w:r>
            <w:r>
              <w:rPr>
                <w:rFonts w:hint="eastAsia"/>
                <w:color w:val="auto"/>
                <w:highlight w:val="none"/>
              </w:rPr>
              <w:t>；</w:t>
            </w:r>
          </w:p>
          <w:p>
            <w:pPr>
              <w:pStyle w:val="72"/>
              <w:ind w:firstLine="480"/>
              <w:rPr>
                <w:color w:val="auto"/>
                <w:highlight w:val="none"/>
              </w:rPr>
            </w:pPr>
            <w:r>
              <w:rPr>
                <w:rFonts w:hint="eastAsia"/>
                <w:color w:val="auto"/>
                <w:highlight w:val="none"/>
              </w:rPr>
              <w:t>C</w:t>
            </w:r>
            <w:r>
              <w:rPr>
                <w:rFonts w:hint="eastAsia"/>
                <w:color w:val="auto"/>
                <w:highlight w:val="none"/>
                <w:vertAlign w:val="subscript"/>
              </w:rPr>
              <w:t>0i</w:t>
            </w:r>
            <w:r>
              <w:rPr>
                <w:rFonts w:hint="eastAsia"/>
                <w:color w:val="auto"/>
                <w:highlight w:val="none"/>
              </w:rPr>
              <w:t>—第i个污染物的环境空气质量标准，mg/m</w:t>
            </w:r>
            <w:r>
              <w:rPr>
                <w:rFonts w:hint="eastAsia"/>
                <w:color w:val="auto"/>
                <w:highlight w:val="none"/>
                <w:vertAlign w:val="superscript"/>
              </w:rPr>
              <w:t>3</w:t>
            </w:r>
            <w:r>
              <w:rPr>
                <w:rFonts w:hint="eastAsia"/>
                <w:color w:val="auto"/>
                <w:highlight w:val="none"/>
              </w:rPr>
              <w:t>；</w:t>
            </w:r>
          </w:p>
          <w:p>
            <w:pPr>
              <w:pStyle w:val="72"/>
              <w:ind w:firstLine="480"/>
              <w:rPr>
                <w:color w:val="auto"/>
                <w:highlight w:val="none"/>
              </w:rPr>
            </w:pPr>
            <w:r>
              <w:rPr>
                <w:rFonts w:hint="eastAsia"/>
                <w:color w:val="auto"/>
                <w:highlight w:val="none"/>
              </w:rPr>
              <w:t>C</w:t>
            </w:r>
            <w:r>
              <w:rPr>
                <w:rFonts w:hint="eastAsia"/>
                <w:color w:val="auto"/>
                <w:highlight w:val="none"/>
                <w:vertAlign w:val="subscript"/>
              </w:rPr>
              <w:t>0i</w:t>
            </w:r>
            <w:r>
              <w:rPr>
                <w:rFonts w:hint="eastAsia"/>
                <w:color w:val="auto"/>
                <w:highlight w:val="none"/>
              </w:rPr>
              <w:t>一般选用GB3095中</w:t>
            </w:r>
            <w:r>
              <w:rPr>
                <w:rFonts w:hint="eastAsia"/>
                <w:color w:val="auto"/>
                <w:highlight w:val="none"/>
                <w:lang w:val="en-US" w:eastAsia="zh-CN"/>
              </w:rPr>
              <w:t>1h</w:t>
            </w:r>
            <w:r>
              <w:rPr>
                <w:rFonts w:hint="eastAsia"/>
                <w:color w:val="auto"/>
                <w:highlight w:val="none"/>
              </w:rPr>
              <w:t>平均</w:t>
            </w:r>
            <w:r>
              <w:rPr>
                <w:rFonts w:hint="eastAsia"/>
                <w:color w:val="auto"/>
                <w:highlight w:val="none"/>
                <w:lang w:val="en-US" w:eastAsia="zh-CN"/>
              </w:rPr>
              <w:t>质量浓度</w:t>
            </w:r>
            <w:r>
              <w:rPr>
                <w:rFonts w:hint="eastAsia"/>
                <w:color w:val="auto"/>
                <w:highlight w:val="none"/>
              </w:rPr>
              <w:t>的二级浓度限值，如项目位于</w:t>
            </w:r>
            <w:r>
              <w:rPr>
                <w:rFonts w:hint="eastAsia"/>
                <w:color w:val="auto"/>
                <w:highlight w:val="none"/>
                <w:lang w:val="en-US" w:eastAsia="zh-CN"/>
              </w:rPr>
              <w:t>一</w:t>
            </w:r>
            <w:r>
              <w:rPr>
                <w:rFonts w:hint="eastAsia"/>
                <w:color w:val="auto"/>
                <w:highlight w:val="none"/>
              </w:rPr>
              <w:t>类环境空气功能区，应选择相应的一级浓度限值</w:t>
            </w:r>
            <w:r>
              <w:rPr>
                <w:rFonts w:hint="eastAsia"/>
                <w:color w:val="auto"/>
                <w:highlight w:val="none"/>
                <w:lang w:eastAsia="zh-CN"/>
              </w:rPr>
              <w:t>；</w:t>
            </w:r>
            <w:r>
              <w:rPr>
                <w:rFonts w:hint="eastAsia"/>
                <w:color w:val="auto"/>
                <w:highlight w:val="none"/>
                <w:lang w:val="en-US" w:eastAsia="zh-CN"/>
              </w:rPr>
              <w:t>对该标准中未包含的污染物，使用5.2确定的各评价因子1h平均质量浓度限值。</w:t>
            </w:r>
            <w:r>
              <w:rPr>
                <w:rFonts w:hint="eastAsia"/>
                <w:color w:val="auto"/>
                <w:highlight w:val="none"/>
              </w:rPr>
              <w:t>对仅有8h平均质量浓度限值、日平均质量浓度限值或年平均质量浓度限值的，可分别按2倍、3倍、6倍折算为1h平均质量浓度限值。</w:t>
            </w:r>
          </w:p>
          <w:p>
            <w:pPr>
              <w:pStyle w:val="72"/>
              <w:ind w:firstLine="480"/>
              <w:rPr>
                <w:rFonts w:hint="eastAsia"/>
                <w:color w:val="auto"/>
                <w:highlight w:val="none"/>
              </w:rPr>
            </w:pPr>
            <w:r>
              <w:rPr>
                <w:rFonts w:hint="eastAsia"/>
                <w:color w:val="auto"/>
                <w:highlight w:val="none"/>
              </w:rPr>
              <w:t>污染物大气环境质量标准见表4.</w:t>
            </w:r>
            <w:r>
              <w:rPr>
                <w:rFonts w:hint="eastAsia"/>
                <w:color w:val="auto"/>
                <w:highlight w:val="none"/>
                <w:lang w:val="en-US" w:eastAsia="zh-CN"/>
              </w:rPr>
              <w:t>3</w:t>
            </w:r>
            <w:r>
              <w:rPr>
                <w:rFonts w:hint="eastAsia"/>
                <w:color w:val="auto"/>
                <w:highlight w:val="none"/>
              </w:rPr>
              <w:t>.3，污染源强大气预测参数见表4.</w:t>
            </w:r>
            <w:r>
              <w:rPr>
                <w:rFonts w:hint="eastAsia"/>
                <w:color w:val="auto"/>
                <w:highlight w:val="none"/>
                <w:lang w:val="en-US" w:eastAsia="zh-CN"/>
              </w:rPr>
              <w:t>3</w:t>
            </w:r>
            <w:r>
              <w:rPr>
                <w:rFonts w:hint="eastAsia"/>
                <w:color w:val="auto"/>
                <w:highlight w:val="none"/>
              </w:rPr>
              <w:t>.4，大气估算模型参数详见表4.</w:t>
            </w:r>
            <w:r>
              <w:rPr>
                <w:rFonts w:hint="eastAsia"/>
                <w:color w:val="auto"/>
                <w:highlight w:val="none"/>
                <w:lang w:val="en-US" w:eastAsia="zh-CN"/>
              </w:rPr>
              <w:t>3</w:t>
            </w:r>
            <w:r>
              <w:rPr>
                <w:rFonts w:hint="eastAsia"/>
                <w:color w:val="auto"/>
                <w:highlight w:val="none"/>
              </w:rPr>
              <w:t>.5。</w:t>
            </w:r>
          </w:p>
          <w:p>
            <w:pPr>
              <w:pStyle w:val="72"/>
              <w:ind w:firstLine="480"/>
              <w:rPr>
                <w:rFonts w:hint="eastAsia"/>
                <w:color w:val="auto"/>
                <w:highlight w:val="none"/>
              </w:rPr>
            </w:pPr>
          </w:p>
          <w:p>
            <w:pPr>
              <w:pStyle w:val="72"/>
              <w:ind w:firstLine="480"/>
              <w:rPr>
                <w:rFonts w:hint="eastAsia"/>
                <w:color w:val="auto"/>
                <w:highlight w:val="none"/>
              </w:rPr>
            </w:pPr>
          </w:p>
          <w:p>
            <w:pPr>
              <w:pStyle w:val="68"/>
              <w:rPr>
                <w:color w:val="auto"/>
                <w:highlight w:val="none"/>
              </w:rPr>
            </w:pPr>
            <w:r>
              <w:rPr>
                <w:rFonts w:hint="eastAsia"/>
                <w:color w:val="auto"/>
                <w:highlight w:val="none"/>
              </w:rPr>
              <w:t>表4.</w:t>
            </w:r>
            <w:r>
              <w:rPr>
                <w:rFonts w:hint="eastAsia"/>
                <w:color w:val="auto"/>
                <w:highlight w:val="none"/>
                <w:lang w:val="en-US" w:eastAsia="zh-CN"/>
              </w:rPr>
              <w:t>3</w:t>
            </w:r>
            <w:r>
              <w:rPr>
                <w:rFonts w:hint="eastAsia"/>
                <w:color w:val="auto"/>
                <w:highlight w:val="none"/>
              </w:rPr>
              <w:t>.3大气环境质量标准</w:t>
            </w:r>
          </w:p>
          <w:tbl>
            <w:tblPr>
              <w:tblStyle w:val="29"/>
              <w:tblW w:w="794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581"/>
              <w:gridCol w:w="1812"/>
              <w:gridCol w:w="3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污染物</w:t>
                  </w:r>
                </w:p>
              </w:tc>
              <w:tc>
                <w:tcPr>
                  <w:tcW w:w="158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平均时段</w:t>
                  </w:r>
                </w:p>
              </w:tc>
              <w:tc>
                <w:tcPr>
                  <w:tcW w:w="181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标准值（mg/m</w:t>
                  </w:r>
                  <w:r>
                    <w:rPr>
                      <w:rFonts w:hint="eastAsia"/>
                      <w:b w:val="0"/>
                      <w:color w:val="auto"/>
                      <w:highlight w:val="none"/>
                      <w:vertAlign w:val="superscript"/>
                    </w:rPr>
                    <w:t>3</w:t>
                  </w:r>
                  <w:r>
                    <w:rPr>
                      <w:rFonts w:hint="eastAsia"/>
                      <w:b w:val="0"/>
                      <w:color w:val="auto"/>
                      <w:highlight w:val="none"/>
                    </w:rPr>
                    <w:t>）</w:t>
                  </w:r>
                </w:p>
              </w:tc>
              <w:tc>
                <w:tcPr>
                  <w:tcW w:w="346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3"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TSP</w:t>
                  </w:r>
                </w:p>
              </w:tc>
              <w:tc>
                <w:tcPr>
                  <w:tcW w:w="158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24小时平均</w:t>
                  </w:r>
                </w:p>
              </w:tc>
              <w:tc>
                <w:tcPr>
                  <w:tcW w:w="181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0.3</w:t>
                  </w:r>
                </w:p>
              </w:tc>
              <w:tc>
                <w:tcPr>
                  <w:tcW w:w="3460"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《环境空气质量标准》（GB3095-20</w:t>
                  </w:r>
                  <w:r>
                    <w:rPr>
                      <w:rFonts w:hint="eastAsia"/>
                      <w:b w:val="0"/>
                      <w:color w:val="auto"/>
                      <w:highlight w:val="none"/>
                      <w:lang w:val="en-US" w:eastAsia="zh-CN"/>
                    </w:rPr>
                    <w:t>26</w:t>
                  </w:r>
                  <w:r>
                    <w:rPr>
                      <w:rFonts w:hint="eastAsia"/>
                      <w:b w:val="0"/>
                      <w:color w:val="auto"/>
                      <w:highlight w:val="none"/>
                    </w:rPr>
                    <w:t>）二级标准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tcPr>
                <w:p>
                  <w:pPr>
                    <w:pStyle w:val="70"/>
                    <w:rPr>
                      <w:b w:val="0"/>
                      <w:color w:val="auto"/>
                      <w:highlight w:val="none"/>
                    </w:rPr>
                  </w:pPr>
                </w:p>
              </w:tc>
              <w:tc>
                <w:tcPr>
                  <w:tcW w:w="158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1小时平均</w:t>
                  </w:r>
                </w:p>
              </w:tc>
              <w:tc>
                <w:tcPr>
                  <w:tcW w:w="181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vertAlign w:val="superscript"/>
                    </w:rPr>
                  </w:pPr>
                  <w:r>
                    <w:rPr>
                      <w:rFonts w:hint="eastAsia"/>
                      <w:b w:val="0"/>
                      <w:color w:val="auto"/>
                      <w:highlight w:val="none"/>
                    </w:rPr>
                    <w:t>0.9</w:t>
                  </w:r>
                  <w:r>
                    <w:rPr>
                      <w:rFonts w:hint="eastAsia"/>
                      <w:b w:val="0"/>
                      <w:color w:val="auto"/>
                      <w:highlight w:val="none"/>
                      <w:vertAlign w:val="superscript"/>
                    </w:rPr>
                    <w:t>a</w:t>
                  </w:r>
                </w:p>
              </w:tc>
              <w:tc>
                <w:tcPr>
                  <w:tcW w:w="3460"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tcPr>
                <w:p>
                  <w:pPr>
                    <w:pStyle w:val="70"/>
                    <w:rPr>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93" w:type="dxa"/>
                  <w:tcBorders>
                    <w:top w:val="single" w:color="000000" w:sz="4" w:space="0"/>
                    <w:left w:val="single" w:color="000000" w:sz="4" w:space="0"/>
                    <w:bottom w:val="single" w:color="000000" w:sz="4" w:space="0"/>
                    <w:right w:val="single" w:color="000000" w:sz="4" w:space="0"/>
                    <w:tl2br w:val="nil"/>
                    <w:tr2bl w:val="nil"/>
                  </w:tcBorders>
                  <w:shd w:val="clear" w:color="auto" w:fill="FFFFFF"/>
                </w:tcPr>
                <w:p>
                  <w:pPr>
                    <w:pStyle w:val="70"/>
                    <w:rPr>
                      <w:b w:val="0"/>
                      <w:color w:val="auto"/>
                      <w:highlight w:val="none"/>
                    </w:rPr>
                  </w:pPr>
                  <w:r>
                    <w:rPr>
                      <w:rFonts w:hint="eastAsia"/>
                      <w:b w:val="0"/>
                      <w:color w:val="auto"/>
                      <w:highlight w:val="none"/>
                    </w:rPr>
                    <w:t>NMHC</w:t>
                  </w:r>
                </w:p>
              </w:tc>
              <w:tc>
                <w:tcPr>
                  <w:tcW w:w="1581"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1小时平均</w:t>
                  </w:r>
                </w:p>
              </w:tc>
              <w:tc>
                <w:tcPr>
                  <w:tcW w:w="181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2</w:t>
                  </w:r>
                </w:p>
              </w:tc>
              <w:tc>
                <w:tcPr>
                  <w:tcW w:w="3460" w:type="dxa"/>
                  <w:tcBorders>
                    <w:top w:val="single" w:color="000000" w:sz="4" w:space="0"/>
                    <w:left w:val="single" w:color="000000" w:sz="4" w:space="0"/>
                    <w:bottom w:val="single" w:color="000000" w:sz="4" w:space="0"/>
                    <w:right w:val="single" w:color="000000" w:sz="4" w:space="0"/>
                    <w:tl2br w:val="nil"/>
                    <w:tr2bl w:val="nil"/>
                  </w:tcBorders>
                  <w:shd w:val="clear" w:color="auto" w:fill="FFFFFF"/>
                </w:tcPr>
                <w:p>
                  <w:pPr>
                    <w:pStyle w:val="70"/>
                    <w:rPr>
                      <w:b w:val="0"/>
                      <w:color w:val="auto"/>
                      <w:highlight w:val="none"/>
                    </w:rPr>
                  </w:pPr>
                  <w:r>
                    <w:rPr>
                      <w:rFonts w:hint="eastAsia"/>
                      <w:b w:val="0"/>
                      <w:color w:val="auto"/>
                      <w:highlight w:val="none"/>
                    </w:rPr>
                    <w:t>参照《大气污染物排放标准详解》</w:t>
                  </w:r>
                </w:p>
              </w:tc>
            </w:tr>
          </w:tbl>
          <w:p>
            <w:pPr>
              <w:pStyle w:val="70"/>
              <w:jc w:val="both"/>
              <w:rPr>
                <w:color w:val="auto"/>
                <w:highlight w:val="none"/>
              </w:rPr>
            </w:pPr>
            <w:r>
              <w:rPr>
                <w:rFonts w:hint="eastAsia"/>
                <w:color w:val="auto"/>
                <w:highlight w:val="none"/>
              </w:rPr>
              <w:t>注：a依据《环境影响评价技术导则大气环境》（HJ2.2-2018）对仅有8h平均质量浓度限值、日平均质量浓度限值或年平均质量浓度限值的，可分别按2倍、3倍、6倍折算为1h平均质量浓度限值。</w:t>
            </w:r>
          </w:p>
          <w:tbl>
            <w:tblPr>
              <w:tblStyle w:val="29"/>
              <w:tblpPr w:leftFromText="180" w:rightFromText="180" w:vertAnchor="text" w:horzAnchor="page" w:tblpX="120" w:tblpY="312"/>
              <w:tblOverlap w:val="never"/>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894"/>
              <w:gridCol w:w="847"/>
              <w:gridCol w:w="1373"/>
              <w:gridCol w:w="720"/>
              <w:gridCol w:w="730"/>
              <w:gridCol w:w="758"/>
              <w:gridCol w:w="1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774"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污染源</w:t>
                  </w:r>
                </w:p>
              </w:tc>
              <w:tc>
                <w:tcPr>
                  <w:tcW w:w="894"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类型</w:t>
                  </w:r>
                </w:p>
              </w:tc>
              <w:tc>
                <w:tcPr>
                  <w:tcW w:w="847"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污染物</w:t>
                  </w:r>
                </w:p>
              </w:tc>
              <w:tc>
                <w:tcPr>
                  <w:tcW w:w="1373"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排放速率</w:t>
                  </w:r>
                  <w:r>
                    <w:rPr>
                      <w:rFonts w:hint="eastAsia"/>
                      <w:b w:val="0"/>
                      <w:color w:val="auto"/>
                      <w:highlight w:val="none"/>
                      <w:lang w:eastAsia="zh-CN"/>
                    </w:rPr>
                    <w:t>（</w:t>
                  </w:r>
                  <w:r>
                    <w:rPr>
                      <w:rFonts w:hint="eastAsia"/>
                      <w:b w:val="0"/>
                      <w:color w:val="auto"/>
                      <w:highlight w:val="none"/>
                    </w:rPr>
                    <w:t>kg/h</w:t>
                  </w:r>
                  <w:r>
                    <w:rPr>
                      <w:rFonts w:hint="eastAsia"/>
                      <w:b w:val="0"/>
                      <w:color w:val="auto"/>
                      <w:highlight w:val="none"/>
                      <w:lang w:eastAsia="zh-CN"/>
                    </w:rPr>
                    <w:t>）</w:t>
                  </w:r>
                </w:p>
              </w:tc>
              <w:tc>
                <w:tcPr>
                  <w:tcW w:w="3235"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排气筒概况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7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89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847"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373"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2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高度</w:t>
                  </w:r>
                </w:p>
                <w:p>
                  <w:pPr>
                    <w:pStyle w:val="70"/>
                    <w:rPr>
                      <w:b w:val="0"/>
                      <w:color w:val="auto"/>
                      <w:highlight w:val="none"/>
                    </w:rPr>
                  </w:pPr>
                  <w:r>
                    <w:rPr>
                      <w:rFonts w:hint="eastAsia"/>
                      <w:b w:val="0"/>
                      <w:color w:val="auto"/>
                      <w:highlight w:val="none"/>
                    </w:rPr>
                    <w:t>(m)</w:t>
                  </w:r>
                </w:p>
              </w:tc>
              <w:tc>
                <w:tcPr>
                  <w:tcW w:w="73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内径</w:t>
                  </w:r>
                  <w:r>
                    <w:rPr>
                      <w:rFonts w:hint="eastAsia"/>
                      <w:b w:val="0"/>
                      <w:color w:val="auto"/>
                      <w:highlight w:val="none"/>
                      <w:lang w:eastAsia="zh-CN"/>
                    </w:rPr>
                    <w:t>（</w:t>
                  </w:r>
                  <w:r>
                    <w:rPr>
                      <w:rFonts w:hint="eastAsia"/>
                      <w:b w:val="0"/>
                      <w:color w:val="auto"/>
                      <w:highlight w:val="none"/>
                    </w:rPr>
                    <w:t>m</w:t>
                  </w:r>
                  <w:r>
                    <w:rPr>
                      <w:rFonts w:hint="eastAsia"/>
                      <w:b w:val="0"/>
                      <w:color w:val="auto"/>
                      <w:highlight w:val="none"/>
                      <w:lang w:eastAsia="zh-CN"/>
                    </w:rPr>
                    <w:t>）</w:t>
                  </w:r>
                </w:p>
              </w:tc>
              <w:tc>
                <w:tcPr>
                  <w:tcW w:w="7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烟温</w:t>
                  </w:r>
                </w:p>
                <w:p>
                  <w:pPr>
                    <w:pStyle w:val="70"/>
                    <w:rPr>
                      <w:b w:val="0"/>
                      <w:color w:val="auto"/>
                      <w:highlight w:val="none"/>
                    </w:rPr>
                  </w:pPr>
                  <w:r>
                    <w:rPr>
                      <w:rFonts w:hint="eastAsia"/>
                      <w:b w:val="0"/>
                      <w:color w:val="auto"/>
                      <w:highlight w:val="none"/>
                    </w:rPr>
                    <w:t>(</w:t>
                  </w:r>
                  <w:r>
                    <w:rPr>
                      <w:b w:val="0"/>
                      <w:color w:val="auto"/>
                      <w:highlight w:val="none"/>
                    </w:rPr>
                    <w:t>℃</w:t>
                  </w:r>
                  <w:r>
                    <w:rPr>
                      <w:rFonts w:hint="eastAsia"/>
                      <w:b w:val="0"/>
                      <w:color w:val="auto"/>
                      <w:highlight w:val="none"/>
                    </w:rPr>
                    <w:t>)</w:t>
                  </w:r>
                </w:p>
              </w:tc>
              <w:tc>
                <w:tcPr>
                  <w:tcW w:w="102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排气量m</w:t>
                  </w:r>
                  <w:r>
                    <w:rPr>
                      <w:rFonts w:hint="eastAsia"/>
                      <w:b w:val="0"/>
                      <w:color w:val="auto"/>
                      <w:highlight w:val="none"/>
                      <w:vertAlign w:val="superscript"/>
                    </w:rPr>
                    <w:t>3</w:t>
                  </w:r>
                  <w:r>
                    <w:rPr>
                      <w:rFonts w:hint="eastAsia"/>
                      <w:b w:val="0"/>
                      <w:color w:val="auto"/>
                      <w:highlight w:val="none"/>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7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highlight w:val="none"/>
                      <w:lang w:val="en-US" w:eastAsia="zh-CN"/>
                    </w:rPr>
                    <w:t>喷砂</w:t>
                  </w:r>
                </w:p>
              </w:tc>
              <w:tc>
                <w:tcPr>
                  <w:tcW w:w="894"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有组织</w:t>
                  </w:r>
                </w:p>
              </w:tc>
              <w:tc>
                <w:tcPr>
                  <w:tcW w:w="84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TSP</w:t>
                  </w:r>
                </w:p>
              </w:tc>
              <w:tc>
                <w:tcPr>
                  <w:tcW w:w="13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b w:val="0"/>
                      <w:color w:val="auto"/>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5</w:t>
                  </w:r>
                </w:p>
              </w:tc>
              <w:tc>
                <w:tcPr>
                  <w:tcW w:w="72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sz w:val="18"/>
                      <w:szCs w:val="18"/>
                      <w:highlight w:val="none"/>
                      <w:lang w:val="en-US" w:eastAsia="zh-CN"/>
                    </w:rPr>
                    <w:t>15</w:t>
                  </w:r>
                </w:p>
              </w:tc>
              <w:tc>
                <w:tcPr>
                  <w:tcW w:w="73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sz w:val="18"/>
                      <w:szCs w:val="18"/>
                      <w:highlight w:val="none"/>
                      <w:lang w:val="en-US" w:eastAsia="zh-CN"/>
                    </w:rPr>
                    <w:t>1.0</w:t>
                  </w:r>
                </w:p>
              </w:tc>
              <w:tc>
                <w:tcPr>
                  <w:tcW w:w="7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sz w:val="18"/>
                      <w:szCs w:val="18"/>
                      <w:highlight w:val="none"/>
                      <w:lang w:val="en-US" w:eastAsia="zh-CN"/>
                    </w:rPr>
                    <w:t>25</w:t>
                  </w:r>
                </w:p>
              </w:tc>
              <w:tc>
                <w:tcPr>
                  <w:tcW w:w="102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6</w:t>
                  </w:r>
                  <w:r>
                    <w:rPr>
                      <w:rFonts w:hint="eastAsia" w:ascii="Times New Roman" w:hAnsi="Times New Roman" w:eastAsia="宋体" w:cs="Times New Roman"/>
                      <w:i w:val="0"/>
                      <w:iCs w:val="0"/>
                      <w:color w:val="auto"/>
                      <w:kern w:val="0"/>
                      <w:sz w:val="18"/>
                      <w:szCs w:val="18"/>
                      <w:highlight w:val="none"/>
                      <w:u w:val="none"/>
                      <w:lang w:val="en-US" w:eastAsia="zh-CN" w:bidi="ar"/>
                    </w:rPr>
                    <w:t>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77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lang w:val="en-US" w:eastAsia="zh-CN"/>
                    </w:rPr>
                  </w:pPr>
                  <w:r>
                    <w:rPr>
                      <w:rFonts w:hint="eastAsia"/>
                      <w:b w:val="0"/>
                      <w:color w:val="auto"/>
                      <w:highlight w:val="none"/>
                      <w:lang w:val="en-US" w:eastAsia="zh-CN"/>
                    </w:rPr>
                    <w:t>抛光工序</w:t>
                  </w:r>
                </w:p>
              </w:tc>
              <w:tc>
                <w:tcPr>
                  <w:tcW w:w="89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84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TSP</w:t>
                  </w:r>
                </w:p>
              </w:tc>
              <w:tc>
                <w:tcPr>
                  <w:tcW w:w="13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b w:val="0"/>
                      <w:color w:val="auto"/>
                      <w:highlight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478</w:t>
                  </w:r>
                </w:p>
              </w:tc>
              <w:tc>
                <w:tcPr>
                  <w:tcW w:w="72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sz w:val="18"/>
                      <w:szCs w:val="18"/>
                      <w:highlight w:val="none"/>
                      <w:lang w:val="en-US" w:eastAsia="zh-CN"/>
                    </w:rPr>
                    <w:t>15</w:t>
                  </w:r>
                </w:p>
              </w:tc>
              <w:tc>
                <w:tcPr>
                  <w:tcW w:w="73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rPr>
                  </w:pPr>
                  <w:r>
                    <w:rPr>
                      <w:rFonts w:hint="eastAsia"/>
                      <w:b w:val="0"/>
                      <w:color w:val="auto"/>
                      <w:sz w:val="18"/>
                      <w:szCs w:val="18"/>
                      <w:highlight w:val="none"/>
                      <w:lang w:val="en-US" w:eastAsia="zh-CN"/>
                    </w:rPr>
                    <w:t>1.0</w:t>
                  </w:r>
                </w:p>
              </w:tc>
              <w:tc>
                <w:tcPr>
                  <w:tcW w:w="75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sz w:val="18"/>
                      <w:szCs w:val="18"/>
                      <w:highlight w:val="none"/>
                      <w:lang w:val="en-US" w:eastAsia="zh-CN"/>
                    </w:rPr>
                    <w:t>25</w:t>
                  </w:r>
                </w:p>
              </w:tc>
              <w:tc>
                <w:tcPr>
                  <w:tcW w:w="102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6</w:t>
                  </w:r>
                  <w:r>
                    <w:rPr>
                      <w:rFonts w:hint="eastAsia" w:ascii="Times New Roman" w:hAnsi="Times New Roman" w:eastAsia="宋体" w:cs="Times New Roman"/>
                      <w:i w:val="0"/>
                      <w:iCs w:val="0"/>
                      <w:color w:val="auto"/>
                      <w:kern w:val="0"/>
                      <w:sz w:val="18"/>
                      <w:szCs w:val="18"/>
                      <w:highlight w:val="none"/>
                      <w:u w:val="none"/>
                      <w:lang w:val="en-US" w:eastAsia="zh-CN" w:bidi="ar"/>
                    </w:rPr>
                    <w:t>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7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喷砂</w:t>
                  </w:r>
                </w:p>
              </w:tc>
              <w:tc>
                <w:tcPr>
                  <w:tcW w:w="894"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无组织</w:t>
                  </w:r>
                </w:p>
              </w:tc>
              <w:tc>
                <w:tcPr>
                  <w:tcW w:w="84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TSP</w:t>
                  </w:r>
                </w:p>
              </w:tc>
              <w:tc>
                <w:tcPr>
                  <w:tcW w:w="13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b w:val="0"/>
                      <w:color w:val="auto"/>
                      <w:highlight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333</w:t>
                  </w:r>
                </w:p>
              </w:tc>
              <w:tc>
                <w:tcPr>
                  <w:tcW w:w="3235"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sz w:val="18"/>
                      <w:szCs w:val="18"/>
                      <w:highlight w:val="none"/>
                      <w:lang w:val="en-US" w:eastAsia="zh-CN"/>
                    </w:rPr>
                    <w:t>26</w:t>
                  </w:r>
                  <w:r>
                    <w:rPr>
                      <w:b w:val="0"/>
                      <w:color w:val="auto"/>
                      <w:sz w:val="18"/>
                      <w:szCs w:val="18"/>
                      <w:highlight w:val="none"/>
                    </w:rPr>
                    <w:t>×</w:t>
                  </w:r>
                  <w:r>
                    <w:rPr>
                      <w:rFonts w:hint="eastAsia"/>
                      <w:b w:val="0"/>
                      <w:color w:val="auto"/>
                      <w:sz w:val="18"/>
                      <w:szCs w:val="18"/>
                      <w:highlight w:val="none"/>
                      <w:lang w:val="en-US" w:eastAsia="zh-CN"/>
                    </w:rPr>
                    <w:t>6</w:t>
                  </w:r>
                  <w:r>
                    <w:rPr>
                      <w:b w:val="0"/>
                      <w:color w:val="auto"/>
                      <w:sz w:val="18"/>
                      <w:szCs w:val="18"/>
                      <w:highlight w:val="none"/>
                    </w:rPr>
                    <w:t>×</w:t>
                  </w:r>
                  <w:r>
                    <w:rPr>
                      <w:rFonts w:hint="eastAsia"/>
                      <w:b w:val="0"/>
                      <w:color w:val="auto"/>
                      <w:sz w:val="18"/>
                      <w:szCs w:val="18"/>
                      <w:highlight w:val="none"/>
                      <w:lang w:val="en-US" w:eastAsia="zh-CN"/>
                    </w:rPr>
                    <w:t>14</w:t>
                  </w:r>
                  <w:r>
                    <w:rPr>
                      <w:rFonts w:hint="eastAsia"/>
                      <w:b w:val="0"/>
                      <w:color w:val="auto"/>
                      <w:sz w:val="18"/>
                      <w:szCs w:val="18"/>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7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抛光</w:t>
                  </w:r>
                </w:p>
              </w:tc>
              <w:tc>
                <w:tcPr>
                  <w:tcW w:w="89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84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TSP</w:t>
                  </w:r>
                </w:p>
              </w:tc>
              <w:tc>
                <w:tcPr>
                  <w:tcW w:w="13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ascii="Times New Roman" w:hAnsi="Times New Roman" w:eastAsia="宋体" w:cs="Times New Roman"/>
                      <w:b w:val="0"/>
                      <w:snapToGrid w:val="0"/>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0.168 </w:t>
                  </w:r>
                </w:p>
              </w:tc>
              <w:tc>
                <w:tcPr>
                  <w:tcW w:w="3235"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sz w:val="18"/>
                      <w:szCs w:val="18"/>
                      <w:highlight w:val="none"/>
                      <w:lang w:val="en-US" w:eastAsia="zh-CN"/>
                    </w:rPr>
                    <w:t>18</w:t>
                  </w:r>
                  <w:r>
                    <w:rPr>
                      <w:b w:val="0"/>
                      <w:color w:val="auto"/>
                      <w:sz w:val="18"/>
                      <w:szCs w:val="18"/>
                      <w:highlight w:val="none"/>
                    </w:rPr>
                    <w:t>×</w:t>
                  </w:r>
                  <w:r>
                    <w:rPr>
                      <w:rFonts w:hint="eastAsia"/>
                      <w:b w:val="0"/>
                      <w:color w:val="auto"/>
                      <w:sz w:val="18"/>
                      <w:szCs w:val="18"/>
                      <w:highlight w:val="none"/>
                      <w:lang w:val="en-US" w:eastAsia="zh-CN"/>
                    </w:rPr>
                    <w:t>16</w:t>
                  </w:r>
                  <w:r>
                    <w:rPr>
                      <w:b w:val="0"/>
                      <w:color w:val="auto"/>
                      <w:sz w:val="18"/>
                      <w:szCs w:val="18"/>
                      <w:highlight w:val="none"/>
                    </w:rPr>
                    <w:t>×</w:t>
                  </w:r>
                  <w:r>
                    <w:rPr>
                      <w:rFonts w:hint="eastAsia"/>
                      <w:b w:val="0"/>
                      <w:color w:val="auto"/>
                      <w:sz w:val="18"/>
                      <w:szCs w:val="18"/>
                      <w:highlight w:val="none"/>
                      <w:lang w:val="en-US" w:eastAsia="zh-CN"/>
                    </w:rPr>
                    <w:t>14</w:t>
                  </w:r>
                  <w:r>
                    <w:rPr>
                      <w:rFonts w:hint="eastAsia"/>
                      <w:b w:val="0"/>
                      <w:color w:val="auto"/>
                      <w:sz w:val="18"/>
                      <w:szCs w:val="18"/>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7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清洁</w:t>
                  </w:r>
                </w:p>
              </w:tc>
              <w:tc>
                <w:tcPr>
                  <w:tcW w:w="89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84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NMHC</w:t>
                  </w:r>
                </w:p>
              </w:tc>
              <w:tc>
                <w:tcPr>
                  <w:tcW w:w="137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ascii="Times New Roman" w:hAnsi="Times New Roman" w:eastAsia="宋体" w:cs="Times New Roman"/>
                      <w:b w:val="0"/>
                      <w:snapToGrid w:val="0"/>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0.132</w:t>
                  </w:r>
                </w:p>
              </w:tc>
              <w:tc>
                <w:tcPr>
                  <w:tcW w:w="3235"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sz w:val="18"/>
                      <w:szCs w:val="18"/>
                      <w:highlight w:val="none"/>
                      <w:lang w:val="en-US" w:eastAsia="zh-CN"/>
                    </w:rPr>
                    <w:t>18</w:t>
                  </w:r>
                  <w:r>
                    <w:rPr>
                      <w:b w:val="0"/>
                      <w:color w:val="auto"/>
                      <w:sz w:val="18"/>
                      <w:szCs w:val="18"/>
                      <w:highlight w:val="none"/>
                    </w:rPr>
                    <w:t>×</w:t>
                  </w:r>
                  <w:r>
                    <w:rPr>
                      <w:rFonts w:hint="eastAsia"/>
                      <w:b w:val="0"/>
                      <w:color w:val="auto"/>
                      <w:sz w:val="18"/>
                      <w:szCs w:val="18"/>
                      <w:highlight w:val="none"/>
                      <w:lang w:val="en-US" w:eastAsia="zh-CN"/>
                    </w:rPr>
                    <w:t>18</w:t>
                  </w:r>
                  <w:r>
                    <w:rPr>
                      <w:b w:val="0"/>
                      <w:color w:val="auto"/>
                      <w:sz w:val="18"/>
                      <w:szCs w:val="18"/>
                      <w:highlight w:val="none"/>
                    </w:rPr>
                    <w:t>×</w:t>
                  </w:r>
                  <w:r>
                    <w:rPr>
                      <w:rFonts w:hint="eastAsia"/>
                      <w:b w:val="0"/>
                      <w:color w:val="auto"/>
                      <w:sz w:val="18"/>
                      <w:szCs w:val="18"/>
                      <w:highlight w:val="none"/>
                      <w:lang w:val="en-US" w:eastAsia="zh-CN"/>
                    </w:rPr>
                    <w:t>14</w:t>
                  </w:r>
                  <w:r>
                    <w:rPr>
                      <w:rFonts w:hint="eastAsia"/>
                      <w:b w:val="0"/>
                      <w:color w:val="auto"/>
                      <w:sz w:val="18"/>
                      <w:szCs w:val="18"/>
                      <w:highlight w:val="none"/>
                    </w:rPr>
                    <w:t>m</w:t>
                  </w:r>
                </w:p>
              </w:tc>
            </w:tr>
          </w:tbl>
          <w:p>
            <w:pPr>
              <w:pStyle w:val="68"/>
              <w:rPr>
                <w:color w:val="auto"/>
                <w:highlight w:val="none"/>
              </w:rPr>
            </w:pPr>
            <w:r>
              <w:rPr>
                <w:rFonts w:hint="eastAsia"/>
                <w:color w:val="auto"/>
                <w:highlight w:val="none"/>
              </w:rPr>
              <w:t>表4.</w:t>
            </w:r>
            <w:r>
              <w:rPr>
                <w:rFonts w:hint="eastAsia"/>
                <w:color w:val="auto"/>
                <w:highlight w:val="none"/>
                <w:lang w:val="en-US" w:eastAsia="zh-CN"/>
              </w:rPr>
              <w:t>3</w:t>
            </w:r>
            <w:r>
              <w:rPr>
                <w:rFonts w:hint="eastAsia"/>
                <w:color w:val="auto"/>
                <w:highlight w:val="none"/>
              </w:rPr>
              <w:t>.4正常工况下全厂污染源强大气预测参数一览表</w:t>
            </w:r>
          </w:p>
          <w:p>
            <w:pPr>
              <w:pStyle w:val="68"/>
              <w:rPr>
                <w:rFonts w:hint="eastAsia" w:eastAsia="黑体"/>
                <w:color w:val="auto"/>
                <w:highlight w:val="none"/>
                <w:lang w:eastAsia="zh-CN"/>
              </w:rPr>
            </w:pPr>
          </w:p>
          <w:p>
            <w:pPr>
              <w:pStyle w:val="68"/>
              <w:rPr>
                <w:color w:val="auto"/>
                <w:highlight w:val="none"/>
              </w:rPr>
            </w:pPr>
            <w:r>
              <w:rPr>
                <w:rFonts w:hint="eastAsia"/>
                <w:color w:val="auto"/>
                <w:highlight w:val="none"/>
              </w:rPr>
              <w:t>表4.</w:t>
            </w:r>
            <w:r>
              <w:rPr>
                <w:rFonts w:hint="eastAsia"/>
                <w:color w:val="auto"/>
                <w:highlight w:val="none"/>
                <w:lang w:val="en-US" w:eastAsia="zh-CN"/>
              </w:rPr>
              <w:t>3</w:t>
            </w:r>
            <w:r>
              <w:rPr>
                <w:rFonts w:hint="eastAsia"/>
                <w:color w:val="auto"/>
                <w:highlight w:val="none"/>
              </w:rPr>
              <w:t>.5估算模型参数表</w:t>
            </w:r>
          </w:p>
          <w:tbl>
            <w:tblPr>
              <w:tblStyle w:val="29"/>
              <w:tblW w:w="4999"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554"/>
              <w:gridCol w:w="3120"/>
              <w:gridCol w:w="16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序号</w:t>
                  </w:r>
                </w:p>
              </w:tc>
              <w:tc>
                <w:tcPr>
                  <w:tcW w:w="3470"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项目参数</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1</w:t>
                  </w:r>
                </w:p>
              </w:tc>
              <w:tc>
                <w:tcPr>
                  <w:tcW w:w="1562"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城市/农村选项</w:t>
                  </w:r>
                </w:p>
              </w:tc>
              <w:tc>
                <w:tcPr>
                  <w:tcW w:w="190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城市/农村</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城市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562"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90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人口数（城市选项时）</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highlight w:val="none"/>
                      <w:lang w:val="en-US" w:eastAsia="zh-CN"/>
                    </w:rPr>
                  </w:pPr>
                  <w:r>
                    <w:rPr>
                      <w:rFonts w:hint="eastAsia"/>
                      <w:b w:val="0"/>
                      <w:color w:val="auto"/>
                      <w:highlight w:val="none"/>
                    </w:rPr>
                    <w:t>69.42</w:t>
                  </w:r>
                  <w:r>
                    <w:rPr>
                      <w:rStyle w:val="35"/>
                      <w:rFonts w:hint="eastAsia" w:ascii="Calibri" w:hAnsi="Calibri"/>
                      <w:b w:val="0"/>
                      <w:snapToGrid/>
                      <w:color w:val="auto"/>
                      <w:kern w:val="0"/>
                      <w:szCs w:val="20"/>
                      <w:highlight w:val="none"/>
                      <w:lang w:val="en-US" w:eastAsia="zh-CN"/>
                    </w:rPr>
                    <w:t>万人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523"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2</w:t>
                  </w:r>
                </w:p>
              </w:tc>
              <w:tc>
                <w:tcPr>
                  <w:tcW w:w="3470"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最高环境温度</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41</w:t>
                  </w:r>
                  <w:r>
                    <w:rPr>
                      <w:b w:val="0"/>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3</w:t>
                  </w:r>
                </w:p>
              </w:tc>
              <w:tc>
                <w:tcPr>
                  <w:tcW w:w="3470"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最低环境温度</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-1.3</w:t>
                  </w:r>
                  <w:r>
                    <w:rPr>
                      <w:b w:val="0"/>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4</w:t>
                  </w:r>
                </w:p>
              </w:tc>
              <w:tc>
                <w:tcPr>
                  <w:tcW w:w="3470"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土地利用类型</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城市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5</w:t>
                  </w:r>
                </w:p>
              </w:tc>
              <w:tc>
                <w:tcPr>
                  <w:tcW w:w="3470"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区域湿度条件</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潮湿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6</w:t>
                  </w:r>
                </w:p>
              </w:tc>
              <w:tc>
                <w:tcPr>
                  <w:tcW w:w="1562"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是否考虑地形</w:t>
                  </w:r>
                </w:p>
              </w:tc>
              <w:tc>
                <w:tcPr>
                  <w:tcW w:w="190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考虑地形</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b w:val="0"/>
                      <w:color w:val="auto"/>
                      <w:highlight w:val="none"/>
                    </w:rPr>
                    <w:sym w:font="Wingdings 2" w:char="0052"/>
                  </w:r>
                  <w:r>
                    <w:rPr>
                      <w:rFonts w:hint="eastAsia"/>
                      <w:b w:val="0"/>
                      <w:color w:val="auto"/>
                      <w:highlight w:val="none"/>
                    </w:rPr>
                    <w:t>是</w:t>
                  </w:r>
                  <w:r>
                    <w:rPr>
                      <w:rFonts w:hint="eastAsia"/>
                      <w:b w:val="0"/>
                      <w:color w:val="auto"/>
                      <w:highlight w:val="none"/>
                    </w:rPr>
                    <w:sym w:font="Wingdings 2" w:char="00A3"/>
                  </w:r>
                  <w:r>
                    <w:rPr>
                      <w:rFonts w:hint="eastAsia"/>
                      <w:b w:val="0"/>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562"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90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地形数据分辨率</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7</w:t>
                  </w:r>
                </w:p>
              </w:tc>
              <w:tc>
                <w:tcPr>
                  <w:tcW w:w="1562"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是否考虑岸线熏烟</w:t>
                  </w:r>
                </w:p>
              </w:tc>
              <w:tc>
                <w:tcPr>
                  <w:tcW w:w="190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考虑岸线熏烟</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b w:val="0"/>
                      <w:color w:val="auto"/>
                      <w:highlight w:val="none"/>
                    </w:rPr>
                    <w:sym w:font="Wingdings 2" w:char="0052"/>
                  </w:r>
                  <w:r>
                    <w:rPr>
                      <w:rFonts w:hint="eastAsia"/>
                      <w:b w:val="0"/>
                      <w:color w:val="auto"/>
                      <w:highlight w:val="none"/>
                    </w:rPr>
                    <w:t>是</w:t>
                  </w:r>
                  <w:r>
                    <w:rPr>
                      <w:rFonts w:hint="eastAsia"/>
                      <w:b w:val="0"/>
                      <w:color w:val="auto"/>
                      <w:highlight w:val="none"/>
                    </w:rPr>
                    <w:sym w:font="Wingdings 2" w:char="00A3"/>
                  </w:r>
                  <w:r>
                    <w:rPr>
                      <w:rFonts w:hint="eastAsia"/>
                      <w:b w:val="0"/>
                      <w:color w:val="auto"/>
                      <w:highlight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562"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90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岸线距离</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2.9km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23"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562"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90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岸线方向</w:t>
                  </w:r>
                </w:p>
              </w:tc>
              <w:tc>
                <w:tcPr>
                  <w:tcW w:w="100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w:t>
                  </w:r>
                </w:p>
              </w:tc>
            </w:tr>
          </w:tbl>
          <w:p>
            <w:pPr>
              <w:pStyle w:val="68"/>
              <w:jc w:val="center"/>
              <w:rPr>
                <w:rFonts w:hint="eastAsia"/>
                <w:color w:val="auto"/>
                <w:highlight w:val="none"/>
              </w:rPr>
            </w:pPr>
          </w:p>
          <w:p>
            <w:pPr>
              <w:pStyle w:val="68"/>
              <w:jc w:val="center"/>
              <w:rPr>
                <w:color w:val="auto"/>
                <w:highlight w:val="none"/>
              </w:rPr>
            </w:pPr>
            <w:r>
              <w:rPr>
                <w:rFonts w:hint="eastAsia"/>
                <w:color w:val="auto"/>
                <w:highlight w:val="none"/>
              </w:rPr>
              <w:t>表4.</w:t>
            </w:r>
            <w:r>
              <w:rPr>
                <w:rFonts w:hint="eastAsia"/>
                <w:color w:val="auto"/>
                <w:highlight w:val="none"/>
                <w:lang w:val="en-US" w:eastAsia="zh-CN"/>
              </w:rPr>
              <w:t>3</w:t>
            </w:r>
            <w:r>
              <w:rPr>
                <w:rFonts w:hint="eastAsia"/>
                <w:color w:val="auto"/>
                <w:highlight w:val="none"/>
              </w:rPr>
              <w:t>.6估算模式计算结果表</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501"/>
              <w:gridCol w:w="1970"/>
              <w:gridCol w:w="494"/>
              <w:gridCol w:w="918"/>
              <w:gridCol w:w="1259"/>
              <w:gridCol w:w="1557"/>
              <w:gridCol w:w="12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33" w:hRule="atLeast"/>
                <w:jc w:val="center"/>
              </w:trPr>
              <w:tc>
                <w:tcPr>
                  <w:tcW w:w="50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70"/>
                    <w:rPr>
                      <w:b w:val="0"/>
                      <w:color w:val="auto"/>
                      <w:highlight w:val="none"/>
                    </w:rPr>
                  </w:pPr>
                  <w:r>
                    <w:rPr>
                      <w:b w:val="0"/>
                      <w:color w:val="auto"/>
                      <w:highlight w:val="none"/>
                    </w:rPr>
                    <w:t>序号</w:t>
                  </w:r>
                </w:p>
              </w:tc>
              <w:tc>
                <w:tcPr>
                  <w:tcW w:w="19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b w:val="0"/>
                      <w:color w:val="auto"/>
                      <w:highlight w:val="none"/>
                    </w:rPr>
                    <w:t>污染源名称</w:t>
                  </w:r>
                </w:p>
              </w:tc>
              <w:tc>
                <w:tcPr>
                  <w:tcW w:w="4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b w:val="0"/>
                      <w:color w:val="auto"/>
                      <w:highlight w:val="none"/>
                    </w:rPr>
                    <w:t>类型</w:t>
                  </w:r>
                </w:p>
              </w:tc>
              <w:tc>
                <w:tcPr>
                  <w:tcW w:w="9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b w:val="0"/>
                      <w:color w:val="auto"/>
                      <w:highlight w:val="none"/>
                    </w:rPr>
                    <w:t>污染物</w:t>
                  </w:r>
                </w:p>
              </w:tc>
              <w:tc>
                <w:tcPr>
                  <w:tcW w:w="12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b w:val="0"/>
                      <w:color w:val="auto"/>
                      <w:highlight w:val="none"/>
                    </w:rPr>
                    <w:t>评价标准</w:t>
                  </w:r>
                  <w:r>
                    <w:rPr>
                      <w:rFonts w:hint="eastAsia"/>
                      <w:b w:val="0"/>
                      <w:color w:val="auto"/>
                      <w:highlight w:val="none"/>
                      <w:lang w:eastAsia="zh-CN"/>
                    </w:rPr>
                    <w:t>（</w:t>
                  </w:r>
                  <w:r>
                    <w:rPr>
                      <w:b w:val="0"/>
                      <w:color w:val="auto"/>
                      <w:highlight w:val="none"/>
                    </w:rPr>
                    <w:t>μg/m³</w:t>
                  </w:r>
                  <w:r>
                    <w:rPr>
                      <w:rFonts w:hint="eastAsia"/>
                      <w:b w:val="0"/>
                      <w:color w:val="auto"/>
                      <w:highlight w:val="none"/>
                      <w:lang w:eastAsia="zh-CN"/>
                    </w:rPr>
                    <w:t>）</w:t>
                  </w:r>
                </w:p>
              </w:tc>
              <w:tc>
                <w:tcPr>
                  <w:tcW w:w="15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b w:val="0"/>
                      <w:color w:val="auto"/>
                      <w:highlight w:val="none"/>
                    </w:rPr>
                    <w:t>最大落地浓度（μg/m</w:t>
                  </w:r>
                  <w:r>
                    <w:rPr>
                      <w:b w:val="0"/>
                      <w:color w:val="auto"/>
                      <w:highlight w:val="none"/>
                      <w:vertAlign w:val="superscript"/>
                    </w:rPr>
                    <w:t>3</w:t>
                  </w:r>
                  <w:r>
                    <w:rPr>
                      <w:b w:val="0"/>
                      <w:color w:val="auto"/>
                      <w:highlight w:val="none"/>
                    </w:rPr>
                    <w:t>）</w:t>
                  </w:r>
                </w:p>
              </w:tc>
              <w:tc>
                <w:tcPr>
                  <w:tcW w:w="1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b w:val="0"/>
                      <w:color w:val="auto"/>
                      <w:highlight w:val="none"/>
                    </w:rPr>
                    <w:t>Pmax对应距离（m）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b w:val="0"/>
                      <w:color w:val="auto"/>
                      <w:highlight w:val="none"/>
                    </w:rPr>
                    <w:t>1</w:t>
                  </w:r>
                </w:p>
              </w:tc>
              <w:tc>
                <w:tcPr>
                  <w:tcW w:w="19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喷砂工序排气筒</w:t>
                  </w:r>
                </w:p>
              </w:tc>
              <w:tc>
                <w:tcPr>
                  <w:tcW w:w="49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lang w:val="en-US" w:eastAsia="zh-CN"/>
                    </w:rPr>
                    <w:t>点</w:t>
                  </w:r>
                  <w:r>
                    <w:rPr>
                      <w:rFonts w:hint="eastAsia"/>
                      <w:b w:val="0"/>
                      <w:color w:val="auto"/>
                      <w:highlight w:val="none"/>
                      <w:lang w:eastAsia="zh-CN"/>
                    </w:rPr>
                    <w:t>源</w:t>
                  </w:r>
                </w:p>
              </w:tc>
              <w:tc>
                <w:tcPr>
                  <w:tcW w:w="91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r>
                    <w:rPr>
                      <w:rFonts w:hint="eastAsia"/>
                      <w:b w:val="0"/>
                      <w:color w:val="auto"/>
                      <w:highlight w:val="none"/>
                      <w:lang w:val="en-US" w:eastAsia="zh-CN"/>
                    </w:rPr>
                    <w:t>TSP</w:t>
                  </w:r>
                </w:p>
              </w:tc>
              <w:tc>
                <w:tcPr>
                  <w:tcW w:w="125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r>
                    <w:rPr>
                      <w:rFonts w:hint="eastAsia"/>
                      <w:b w:val="0"/>
                      <w:color w:val="auto"/>
                      <w:highlight w:val="none"/>
                      <w:lang w:val="en-US" w:eastAsia="zh-CN"/>
                    </w:rPr>
                    <w:t>900</w:t>
                  </w:r>
                </w:p>
              </w:tc>
              <w:tc>
                <w:tcPr>
                  <w:tcW w:w="15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19.1</w:t>
                  </w:r>
                </w:p>
              </w:tc>
              <w:tc>
                <w:tcPr>
                  <w:tcW w:w="1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rPr>
                    <w:t>2</w:t>
                  </w:r>
                </w:p>
              </w:tc>
              <w:tc>
                <w:tcPr>
                  <w:tcW w:w="19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lang w:val="en-US" w:eastAsia="zh-CN"/>
                    </w:rPr>
                    <w:t>抛光工序排气筒</w:t>
                  </w:r>
                </w:p>
              </w:tc>
              <w:tc>
                <w:tcPr>
                  <w:tcW w:w="49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p>
              </w:tc>
              <w:tc>
                <w:tcPr>
                  <w:tcW w:w="91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p>
              </w:tc>
              <w:tc>
                <w:tcPr>
                  <w:tcW w:w="125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18.3</w:t>
                  </w:r>
                </w:p>
              </w:tc>
              <w:tc>
                <w:tcPr>
                  <w:tcW w:w="1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eastAsia="宋体"/>
                      <w:b w:val="0"/>
                      <w:color w:val="auto"/>
                      <w:highlight w:val="none"/>
                      <w:lang w:eastAsia="zh-CN"/>
                    </w:rPr>
                  </w:pPr>
                  <w:r>
                    <w:rPr>
                      <w:rFonts w:hint="eastAsia"/>
                      <w:b w:val="0"/>
                      <w:color w:val="auto"/>
                      <w:highlight w:val="none"/>
                      <w:lang w:val="en-US" w:eastAsia="zh-CN"/>
                    </w:rPr>
                    <w:t>3</w:t>
                  </w:r>
                </w:p>
              </w:tc>
              <w:tc>
                <w:tcPr>
                  <w:tcW w:w="19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r>
                    <w:rPr>
                      <w:rFonts w:hint="eastAsia"/>
                      <w:b w:val="0"/>
                      <w:color w:val="auto"/>
                      <w:highlight w:val="none"/>
                      <w:lang w:val="en-US" w:eastAsia="zh-CN"/>
                    </w:rPr>
                    <w:t>喷砂区</w:t>
                  </w:r>
                </w:p>
              </w:tc>
              <w:tc>
                <w:tcPr>
                  <w:tcW w:w="49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面源</w:t>
                  </w:r>
                </w:p>
              </w:tc>
              <w:tc>
                <w:tcPr>
                  <w:tcW w:w="91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p>
              </w:tc>
              <w:tc>
                <w:tcPr>
                  <w:tcW w:w="125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78.8</w:t>
                  </w:r>
                </w:p>
              </w:tc>
              <w:tc>
                <w:tcPr>
                  <w:tcW w:w="1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72"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eastAsia="宋体"/>
                      <w:b w:val="0"/>
                      <w:color w:val="auto"/>
                      <w:highlight w:val="none"/>
                      <w:lang w:eastAsia="zh-CN"/>
                    </w:rPr>
                  </w:pPr>
                  <w:r>
                    <w:rPr>
                      <w:rFonts w:hint="eastAsia"/>
                      <w:b w:val="0"/>
                      <w:color w:val="auto"/>
                      <w:highlight w:val="none"/>
                      <w:lang w:val="en-US" w:eastAsia="zh-CN"/>
                    </w:rPr>
                    <w:t>4</w:t>
                  </w:r>
                </w:p>
              </w:tc>
              <w:tc>
                <w:tcPr>
                  <w:tcW w:w="19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rPr>
                  </w:pPr>
                  <w:r>
                    <w:rPr>
                      <w:rFonts w:hint="eastAsia"/>
                      <w:b w:val="0"/>
                      <w:color w:val="auto"/>
                      <w:highlight w:val="none"/>
                      <w:lang w:val="en-US" w:eastAsia="zh-CN"/>
                    </w:rPr>
                    <w:t>抛光区</w:t>
                  </w:r>
                </w:p>
              </w:tc>
              <w:tc>
                <w:tcPr>
                  <w:tcW w:w="49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p>
              </w:tc>
              <w:tc>
                <w:tcPr>
                  <w:tcW w:w="91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p>
              </w:tc>
              <w:tc>
                <w:tcPr>
                  <w:tcW w:w="125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p>
              </w:tc>
              <w:tc>
                <w:tcPr>
                  <w:tcW w:w="15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84.4</w:t>
                  </w:r>
                </w:p>
              </w:tc>
              <w:tc>
                <w:tcPr>
                  <w:tcW w:w="1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1" w:hRule="atLeast"/>
                <w:jc w:val="center"/>
              </w:trPr>
              <w:tc>
                <w:tcPr>
                  <w:tcW w:w="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eastAsia="宋体"/>
                      <w:b w:val="0"/>
                      <w:color w:val="auto"/>
                      <w:highlight w:val="none"/>
                      <w:lang w:val="en-US" w:eastAsia="zh-CN"/>
                    </w:rPr>
                  </w:pPr>
                  <w:r>
                    <w:rPr>
                      <w:rFonts w:hint="eastAsia"/>
                      <w:b w:val="0"/>
                      <w:color w:val="auto"/>
                      <w:highlight w:val="none"/>
                      <w:lang w:val="en-US" w:eastAsia="zh-CN"/>
                    </w:rPr>
                    <w:t>5</w:t>
                  </w:r>
                </w:p>
              </w:tc>
              <w:tc>
                <w:tcPr>
                  <w:tcW w:w="19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清洁</w:t>
                  </w:r>
                </w:p>
              </w:tc>
              <w:tc>
                <w:tcPr>
                  <w:tcW w:w="49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b w:val="0"/>
                      <w:color w:val="auto"/>
                      <w:highlight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r>
                    <w:rPr>
                      <w:rFonts w:hint="eastAsia"/>
                      <w:b w:val="0"/>
                      <w:color w:val="auto"/>
                      <w:highlight w:val="none"/>
                      <w:lang w:val="en-US" w:eastAsia="zh-CN"/>
                    </w:rPr>
                    <w:t>NMHC</w:t>
                  </w:r>
                </w:p>
              </w:tc>
              <w:tc>
                <w:tcPr>
                  <w:tcW w:w="12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eastAsia"/>
                      <w:b w:val="0"/>
                      <w:color w:val="auto"/>
                      <w:highlight w:val="none"/>
                      <w:lang w:val="en-US" w:eastAsia="zh-CN"/>
                    </w:rPr>
                  </w:pPr>
                  <w:r>
                    <w:rPr>
                      <w:rFonts w:hint="eastAsia"/>
                      <w:b w:val="0"/>
                      <w:color w:val="auto"/>
                      <w:highlight w:val="none"/>
                      <w:lang w:val="en-US" w:eastAsia="zh-CN"/>
                    </w:rPr>
                    <w:t>2000</w:t>
                  </w:r>
                </w:p>
              </w:tc>
              <w:tc>
                <w:tcPr>
                  <w:tcW w:w="15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79.0</w:t>
                  </w:r>
                </w:p>
              </w:tc>
              <w:tc>
                <w:tcPr>
                  <w:tcW w:w="12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13</w:t>
                  </w:r>
                </w:p>
              </w:tc>
            </w:tr>
          </w:tbl>
          <w:p>
            <w:pPr>
              <w:pStyle w:val="72"/>
              <w:bidi w:val="0"/>
              <w:ind w:left="0" w:leftChars="0" w:firstLine="0" w:firstLineChars="0"/>
              <w:rPr>
                <w:rFonts w:hint="eastAsia" w:eastAsia="宋体"/>
                <w:color w:val="auto"/>
                <w:highlight w:val="none"/>
                <w:lang w:eastAsia="zh-CN"/>
              </w:rPr>
            </w:pPr>
          </w:p>
          <w:p>
            <w:pPr>
              <w:pStyle w:val="72"/>
              <w:bidi w:val="0"/>
              <w:rPr>
                <w:rFonts w:hint="default"/>
                <w:color w:val="auto"/>
                <w:highlight w:val="none"/>
                <w:lang w:val="en-US"/>
              </w:rPr>
            </w:pPr>
            <w:r>
              <w:rPr>
                <w:rFonts w:hint="eastAsia"/>
                <w:color w:val="auto"/>
                <w:highlight w:val="none"/>
              </w:rPr>
              <w:t>由上表可知，本项目</w:t>
            </w:r>
            <w:r>
              <w:rPr>
                <w:rFonts w:hint="eastAsia"/>
                <w:color w:val="auto"/>
                <w:highlight w:val="none"/>
                <w:lang w:val="en-US" w:eastAsia="zh-CN"/>
              </w:rPr>
              <w:t>喷砂、抛光工序有组织点源预测结果可见，</w:t>
            </w:r>
            <w:r>
              <w:rPr>
                <w:rFonts w:hint="eastAsia"/>
                <w:color w:val="auto"/>
                <w:highlight w:val="none"/>
              </w:rPr>
              <w:t>颗粒物的最大落地浓度</w:t>
            </w:r>
            <w:r>
              <w:rPr>
                <w:rFonts w:hint="eastAsia"/>
                <w:color w:val="auto"/>
                <w:highlight w:val="none"/>
                <w:lang w:val="en-US" w:eastAsia="zh-CN"/>
              </w:rPr>
              <w:t>在18.3~19.1</w:t>
            </w:r>
            <w:r>
              <w:rPr>
                <w:color w:val="auto"/>
                <w:highlight w:val="none"/>
              </w:rPr>
              <w:t>μg/m</w:t>
            </w:r>
            <w:r>
              <w:rPr>
                <w:color w:val="auto"/>
                <w:highlight w:val="none"/>
                <w:vertAlign w:val="superscript"/>
              </w:rPr>
              <w:t>3</w:t>
            </w:r>
            <w:r>
              <w:rPr>
                <w:rFonts w:hint="eastAsia"/>
                <w:color w:val="auto"/>
                <w:highlight w:val="none"/>
              </w:rPr>
              <w:t>，</w:t>
            </w:r>
            <w:r>
              <w:rPr>
                <w:rFonts w:hint="eastAsia"/>
                <w:color w:val="auto"/>
                <w:highlight w:val="none"/>
                <w:lang w:val="en-US" w:eastAsia="zh-CN"/>
              </w:rPr>
              <w:t>出现距离在100m，最不利气象条件下占标率为2.03%～3.12%，对周边环境影响较小。喷砂区、抛光区无组织面源最大落地浓度为78.8~84.4</w:t>
            </w:r>
            <w:r>
              <w:rPr>
                <w:color w:val="auto"/>
                <w:highlight w:val="none"/>
              </w:rPr>
              <w:t>μg/m</w:t>
            </w:r>
            <w:r>
              <w:rPr>
                <w:color w:val="auto"/>
                <w:highlight w:val="none"/>
                <w:vertAlign w:val="superscript"/>
              </w:rPr>
              <w:t>3</w:t>
            </w:r>
            <w:r>
              <w:rPr>
                <w:rFonts w:hint="eastAsia"/>
                <w:color w:val="auto"/>
                <w:highlight w:val="none"/>
              </w:rPr>
              <w:t>，</w:t>
            </w:r>
            <w:r>
              <w:rPr>
                <w:rFonts w:hint="eastAsia"/>
                <w:color w:val="auto"/>
                <w:highlight w:val="none"/>
                <w:lang w:val="en-US" w:eastAsia="zh-CN"/>
              </w:rPr>
              <w:t>出现距离在10～24m，最大落地浓度均在厂区范围内，根据现有工程喷砂房、抛光房的现场调查，喷砂房、抛光房均为密闭负压设计，没有设置窗户，因此，正常粉尘无组织扩散可能会通过门缝逸散对车间内环境有一定的影响，对外环境影响甚微。</w:t>
            </w:r>
          </w:p>
          <w:p>
            <w:pPr>
              <w:pStyle w:val="72"/>
              <w:ind w:firstLine="480"/>
              <w:rPr>
                <w:color w:val="auto"/>
                <w:highlight w:val="none"/>
              </w:rPr>
            </w:pPr>
            <w:r>
              <w:rPr>
                <w:rFonts w:hint="eastAsia"/>
                <w:color w:val="auto"/>
                <w:highlight w:val="none"/>
              </w:rPr>
              <w:t>②污染物排放量核算</w:t>
            </w:r>
          </w:p>
          <w:p>
            <w:pPr>
              <w:pStyle w:val="72"/>
              <w:ind w:firstLine="480"/>
              <w:rPr>
                <w:color w:val="auto"/>
                <w:highlight w:val="none"/>
              </w:rPr>
            </w:pPr>
            <w:r>
              <w:rPr>
                <w:rFonts w:hint="eastAsia"/>
                <w:color w:val="auto"/>
                <w:highlight w:val="none"/>
              </w:rPr>
              <w:t>大气污染物年排放量包括项目各有组织排放源和无组织排放源在正常排放条件下的预测排放量之和。污染物年排放量公式如下：</w:t>
            </w:r>
          </w:p>
          <w:p>
            <w:pPr>
              <w:pStyle w:val="72"/>
              <w:ind w:firstLine="480"/>
              <w:rPr>
                <w:color w:val="auto"/>
                <w:highlight w:val="none"/>
              </w:rPr>
            </w:pPr>
            <m:oMathPara>
              <m:oMath>
                <m:sSub>
                  <m:sSubPr>
                    <m:ctrlPr>
                      <w:rPr>
                        <w:rFonts w:ascii="Cambria Math" w:hAnsi="Cambria Math"/>
                        <w:i/>
                        <w:color w:val="auto"/>
                        <w:highlight w:val="none"/>
                      </w:rPr>
                    </m:ctrlPr>
                  </m:sSubPr>
                  <m:e>
                    <m:r>
                      <m:rPr/>
                      <w:rPr>
                        <w:rFonts w:ascii="Cambria Math" w:hAnsi="Cambria Math"/>
                        <w:color w:val="auto"/>
                        <w:highlight w:val="none"/>
                      </w:rPr>
                      <m:t>E</m:t>
                    </m:r>
                    <m:ctrlPr>
                      <w:rPr>
                        <w:rFonts w:ascii="Cambria Math" w:hAnsi="Cambria Math"/>
                        <w:i/>
                        <w:color w:val="auto"/>
                        <w:highlight w:val="none"/>
                      </w:rPr>
                    </m:ctrlPr>
                  </m:e>
                  <m:sub>
                    <m:r>
                      <m:rPr/>
                      <w:rPr>
                        <w:rFonts w:hint="eastAsia" w:ascii="Cambria Math" w:hAnsi="Cambria Math"/>
                        <w:color w:val="auto"/>
                        <w:highlight w:val="none"/>
                      </w:rPr>
                      <m:t>年排放</m:t>
                    </m:r>
                    <m:ctrlPr>
                      <w:rPr>
                        <w:rFonts w:ascii="Cambria Math" w:hAnsi="Cambria Math"/>
                        <w:i/>
                        <w:color w:val="auto"/>
                        <w:highlight w:val="none"/>
                      </w:rPr>
                    </m:ctrlPr>
                  </m:sub>
                </m:sSub>
                <m:r>
                  <m:rPr/>
                  <w:rPr>
                    <w:rFonts w:ascii="Cambria Math" w:hAnsi="Cambria Math"/>
                    <w:color w:val="auto"/>
                    <w:highlight w:val="none"/>
                  </w:rPr>
                  <m:t>=</m:t>
                </m:r>
                <m:nary>
                  <m:naryPr>
                    <m:chr m:val="∑"/>
                    <m:limLoc m:val="undOvr"/>
                    <m:ctrlPr>
                      <w:rPr>
                        <w:rFonts w:ascii="Cambria Math" w:hAnsi="Cambria Math"/>
                        <w:i/>
                        <w:color w:val="auto"/>
                        <w:highlight w:val="none"/>
                      </w:rPr>
                    </m:ctrlPr>
                  </m:naryPr>
                  <m:sub>
                    <m:r>
                      <m:rPr/>
                      <w:rPr>
                        <w:rFonts w:ascii="Cambria Math" w:hAnsi="Cambria Math"/>
                        <w:color w:val="auto"/>
                        <w:highlight w:val="none"/>
                      </w:rPr>
                      <m:t>i=1</m:t>
                    </m:r>
                    <m:ctrlPr>
                      <w:rPr>
                        <w:rFonts w:ascii="Cambria Math" w:hAnsi="Cambria Math"/>
                        <w:i/>
                        <w:color w:val="auto"/>
                        <w:highlight w:val="none"/>
                      </w:rPr>
                    </m:ctrlPr>
                  </m:sub>
                  <m:sup>
                    <m:r>
                      <m:rPr/>
                      <w:rPr>
                        <w:rFonts w:ascii="Cambria Math" w:hAnsi="Cambria Math"/>
                        <w:color w:val="auto"/>
                        <w:highlight w:val="none"/>
                      </w:rPr>
                      <m:t>n</m:t>
                    </m:r>
                    <m:ctrlPr>
                      <w:rPr>
                        <w:rFonts w:ascii="Cambria Math" w:hAnsi="Cambria Math"/>
                        <w:i/>
                        <w:color w:val="auto"/>
                        <w:highlight w:val="none"/>
                      </w:rPr>
                    </m:ctrlPr>
                  </m:sup>
                  <m:e>
                    <m:d>
                      <m:dPr>
                        <m:ctrlPr>
                          <w:rPr>
                            <w:rFonts w:ascii="Cambria Math" w:hAnsi="Cambria Math"/>
                            <w:i/>
                            <w:color w:val="auto"/>
                            <w:highlight w:val="none"/>
                          </w:rPr>
                        </m:ctrlPr>
                      </m:dPr>
                      <m:e>
                        <m:sSub>
                          <m:sSubPr>
                            <m:ctrlPr>
                              <w:rPr>
                                <w:rFonts w:ascii="Cambria Math" w:hAnsi="Cambria Math"/>
                                <w:i/>
                                <w:color w:val="auto"/>
                                <w:highlight w:val="none"/>
                              </w:rPr>
                            </m:ctrlPr>
                          </m:sSubPr>
                          <m:e>
                            <m:r>
                              <m:rPr/>
                              <w:rPr>
                                <w:rFonts w:ascii="Cambria Math" w:hAnsi="Cambria Math"/>
                                <w:color w:val="auto"/>
                                <w:highlight w:val="none"/>
                              </w:rPr>
                              <m:t>M</m:t>
                            </m:r>
                            <m:ctrlPr>
                              <w:rPr>
                                <w:rFonts w:ascii="Cambria Math" w:hAnsi="Cambria Math"/>
                                <w:i/>
                                <w:color w:val="auto"/>
                                <w:highlight w:val="none"/>
                              </w:rPr>
                            </m:ctrlPr>
                          </m:e>
                          <m:sub>
                            <m:r>
                              <m:rPr/>
                              <w:rPr>
                                <w:rFonts w:ascii="Cambria Math" w:hAnsi="Cambria Math"/>
                                <w:color w:val="auto"/>
                                <w:highlight w:val="none"/>
                              </w:rPr>
                              <m:t>i</m:t>
                            </m:r>
                            <m:r>
                              <m:rPr/>
                              <w:rPr>
                                <w:rFonts w:hint="eastAsia" w:ascii="Cambria Math" w:hAnsi="Cambria Math"/>
                                <w:color w:val="auto"/>
                                <w:highlight w:val="none"/>
                              </w:rPr>
                              <m:t>有组织</m:t>
                            </m:r>
                            <m:ctrlPr>
                              <w:rPr>
                                <w:rFonts w:ascii="Cambria Math" w:hAnsi="Cambria Math"/>
                                <w:i/>
                                <w:color w:val="auto"/>
                                <w:highlight w:val="none"/>
                              </w:rPr>
                            </m:ctrlPr>
                          </m:sub>
                        </m:sSub>
                        <m:r>
                          <m:rPr/>
                          <w:rPr>
                            <w:rFonts w:ascii="Cambria Math" w:hAnsi="Cambria Math"/>
                            <w:color w:val="auto"/>
                            <w:highlight w:val="none"/>
                          </w:rPr>
                          <m:t>×</m:t>
                        </m:r>
                        <m:sSub>
                          <m:sSubPr>
                            <m:ctrlPr>
                              <w:rPr>
                                <w:rFonts w:ascii="Cambria Math" w:hAnsi="Cambria Math"/>
                                <w:i/>
                                <w:color w:val="auto"/>
                                <w:highlight w:val="none"/>
                              </w:rPr>
                            </m:ctrlPr>
                          </m:sSubPr>
                          <m:e>
                            <m:r>
                              <m:rPr/>
                              <w:rPr>
                                <w:rFonts w:ascii="Cambria Math" w:hAnsi="Cambria Math"/>
                                <w:color w:val="auto"/>
                                <w:highlight w:val="none"/>
                              </w:rPr>
                              <m:t>H</m:t>
                            </m:r>
                            <m:ctrlPr>
                              <w:rPr>
                                <w:rFonts w:ascii="Cambria Math" w:hAnsi="Cambria Math"/>
                                <w:i/>
                                <w:color w:val="auto"/>
                                <w:highlight w:val="none"/>
                              </w:rPr>
                            </m:ctrlPr>
                          </m:e>
                          <m:sub>
                            <m:r>
                              <m:rPr/>
                              <w:rPr>
                                <w:rFonts w:ascii="Cambria Math" w:hAnsi="Cambria Math"/>
                                <w:color w:val="auto"/>
                                <w:highlight w:val="none"/>
                              </w:rPr>
                              <m:t>i</m:t>
                            </m:r>
                            <m:r>
                              <m:rPr/>
                              <w:rPr>
                                <w:rFonts w:hint="eastAsia" w:ascii="Cambria Math" w:hAnsi="Cambria Math"/>
                                <w:color w:val="auto"/>
                                <w:highlight w:val="none"/>
                              </w:rPr>
                              <m:t>有组织</m:t>
                            </m:r>
                            <m:ctrlPr>
                              <w:rPr>
                                <w:rFonts w:ascii="Cambria Math" w:hAnsi="Cambria Math"/>
                                <w:i/>
                                <w:color w:val="auto"/>
                                <w:highlight w:val="none"/>
                              </w:rPr>
                            </m:ctrlPr>
                          </m:sub>
                        </m:sSub>
                        <m:ctrlPr>
                          <w:rPr>
                            <w:rFonts w:ascii="Cambria Math" w:hAnsi="Cambria Math"/>
                            <w:i/>
                            <w:color w:val="auto"/>
                            <w:highlight w:val="none"/>
                          </w:rPr>
                        </m:ctrlPr>
                      </m:e>
                    </m:d>
                    <m:r>
                      <m:rPr/>
                      <w:rPr>
                        <w:rFonts w:ascii="Cambria Math" w:hAnsi="Cambria Math"/>
                        <w:color w:val="auto"/>
                        <w:highlight w:val="none"/>
                      </w:rPr>
                      <m:t>/1000+</m:t>
                    </m:r>
                    <m:ctrlPr>
                      <w:rPr>
                        <w:rFonts w:ascii="Cambria Math" w:hAnsi="Cambria Math"/>
                        <w:i/>
                        <w:color w:val="auto"/>
                        <w:highlight w:val="none"/>
                      </w:rPr>
                    </m:ctrlPr>
                  </m:e>
                </m:nary>
                <m:nary>
                  <m:naryPr>
                    <m:chr m:val="∑"/>
                    <m:limLoc m:val="undOvr"/>
                    <m:ctrlPr>
                      <w:rPr>
                        <w:rFonts w:ascii="Cambria Math" w:hAnsi="Cambria Math"/>
                        <w:i/>
                        <w:color w:val="auto"/>
                        <w:highlight w:val="none"/>
                      </w:rPr>
                    </m:ctrlPr>
                  </m:naryPr>
                  <m:sub>
                    <m:r>
                      <m:rPr/>
                      <w:rPr>
                        <w:rFonts w:ascii="Cambria Math" w:hAnsi="Cambria Math"/>
                        <w:color w:val="auto"/>
                        <w:highlight w:val="none"/>
                      </w:rPr>
                      <m:t>j=1</m:t>
                    </m:r>
                    <m:ctrlPr>
                      <w:rPr>
                        <w:rFonts w:ascii="Cambria Math" w:hAnsi="Cambria Math"/>
                        <w:i/>
                        <w:color w:val="auto"/>
                        <w:highlight w:val="none"/>
                      </w:rPr>
                    </m:ctrlPr>
                  </m:sub>
                  <m:sup>
                    <m:r>
                      <m:rPr/>
                      <w:rPr>
                        <w:rFonts w:ascii="Cambria Math" w:hAnsi="Cambria Math"/>
                        <w:color w:val="auto"/>
                        <w:highlight w:val="none"/>
                      </w:rPr>
                      <m:t>m</m:t>
                    </m:r>
                    <m:ctrlPr>
                      <w:rPr>
                        <w:rFonts w:ascii="Cambria Math" w:hAnsi="Cambria Math"/>
                        <w:i/>
                        <w:color w:val="auto"/>
                        <w:highlight w:val="none"/>
                      </w:rPr>
                    </m:ctrlPr>
                  </m:sup>
                  <m:e>
                    <m:d>
                      <m:dPr>
                        <m:ctrlPr>
                          <w:rPr>
                            <w:rFonts w:ascii="Cambria Math" w:hAnsi="Cambria Math"/>
                            <w:i/>
                            <w:color w:val="auto"/>
                            <w:highlight w:val="none"/>
                          </w:rPr>
                        </m:ctrlPr>
                      </m:dPr>
                      <m:e>
                        <m:sSub>
                          <m:sSubPr>
                            <m:ctrlPr>
                              <w:rPr>
                                <w:rFonts w:ascii="Cambria Math" w:hAnsi="Cambria Math"/>
                                <w:i/>
                                <w:color w:val="auto"/>
                                <w:highlight w:val="none"/>
                              </w:rPr>
                            </m:ctrlPr>
                          </m:sSubPr>
                          <m:e>
                            <m:r>
                              <m:rPr/>
                              <w:rPr>
                                <w:rFonts w:ascii="Cambria Math" w:hAnsi="Cambria Math"/>
                                <w:color w:val="auto"/>
                                <w:highlight w:val="none"/>
                              </w:rPr>
                              <m:t>M</m:t>
                            </m:r>
                            <m:ctrlPr>
                              <w:rPr>
                                <w:rFonts w:ascii="Cambria Math" w:hAnsi="Cambria Math"/>
                                <w:i/>
                                <w:color w:val="auto"/>
                                <w:highlight w:val="none"/>
                              </w:rPr>
                            </m:ctrlPr>
                          </m:e>
                          <m:sub>
                            <m:r>
                              <m:rPr/>
                              <w:rPr>
                                <w:rFonts w:ascii="Cambria Math" w:hAnsi="Cambria Math"/>
                                <w:color w:val="auto"/>
                                <w:highlight w:val="none"/>
                              </w:rPr>
                              <m:t>j</m:t>
                            </m:r>
                            <m:r>
                              <m:rPr/>
                              <w:rPr>
                                <w:rFonts w:hint="eastAsia" w:ascii="Cambria Math" w:hAnsi="Cambria Math"/>
                                <w:color w:val="auto"/>
                                <w:highlight w:val="none"/>
                              </w:rPr>
                              <m:t>无组织</m:t>
                            </m:r>
                            <m:ctrlPr>
                              <w:rPr>
                                <w:rFonts w:ascii="Cambria Math" w:hAnsi="Cambria Math"/>
                                <w:i/>
                                <w:color w:val="auto"/>
                                <w:highlight w:val="none"/>
                              </w:rPr>
                            </m:ctrlPr>
                          </m:sub>
                        </m:sSub>
                        <m:r>
                          <m:rPr/>
                          <w:rPr>
                            <w:rFonts w:ascii="Cambria Math" w:hAnsi="Cambria Math"/>
                            <w:color w:val="auto"/>
                            <w:highlight w:val="none"/>
                          </w:rPr>
                          <m:t>×</m:t>
                        </m:r>
                        <m:sSub>
                          <m:sSubPr>
                            <m:ctrlPr>
                              <w:rPr>
                                <w:rFonts w:ascii="Cambria Math" w:hAnsi="Cambria Math"/>
                                <w:i/>
                                <w:color w:val="auto"/>
                                <w:highlight w:val="none"/>
                              </w:rPr>
                            </m:ctrlPr>
                          </m:sSubPr>
                          <m:e>
                            <m:r>
                              <m:rPr/>
                              <w:rPr>
                                <w:rFonts w:ascii="Cambria Math" w:hAnsi="Cambria Math"/>
                                <w:color w:val="auto"/>
                                <w:highlight w:val="none"/>
                              </w:rPr>
                              <m:t>H</m:t>
                            </m:r>
                            <m:ctrlPr>
                              <w:rPr>
                                <w:rFonts w:ascii="Cambria Math" w:hAnsi="Cambria Math"/>
                                <w:i/>
                                <w:color w:val="auto"/>
                                <w:highlight w:val="none"/>
                              </w:rPr>
                            </m:ctrlPr>
                          </m:e>
                          <m:sub>
                            <m:r>
                              <m:rPr/>
                              <w:rPr>
                                <w:rFonts w:ascii="Cambria Math" w:hAnsi="Cambria Math"/>
                                <w:color w:val="auto"/>
                                <w:highlight w:val="none"/>
                              </w:rPr>
                              <m:t>j</m:t>
                            </m:r>
                            <m:r>
                              <m:rPr/>
                              <w:rPr>
                                <w:rFonts w:hint="eastAsia" w:ascii="Cambria Math" w:hAnsi="Cambria Math"/>
                                <w:color w:val="auto"/>
                                <w:highlight w:val="none"/>
                              </w:rPr>
                              <m:t>无组织</m:t>
                            </m:r>
                            <m:ctrlPr>
                              <w:rPr>
                                <w:rFonts w:ascii="Cambria Math" w:hAnsi="Cambria Math"/>
                                <w:i/>
                                <w:color w:val="auto"/>
                                <w:highlight w:val="none"/>
                              </w:rPr>
                            </m:ctrlPr>
                          </m:sub>
                        </m:sSub>
                        <m:ctrlPr>
                          <w:rPr>
                            <w:rFonts w:ascii="Cambria Math" w:hAnsi="Cambria Math"/>
                            <w:i/>
                            <w:color w:val="auto"/>
                            <w:highlight w:val="none"/>
                          </w:rPr>
                        </m:ctrlPr>
                      </m:e>
                    </m:d>
                    <m:r>
                      <m:rPr/>
                      <w:rPr>
                        <w:rFonts w:ascii="Cambria Math" w:hAnsi="Cambria Math"/>
                        <w:color w:val="auto"/>
                        <w:highlight w:val="none"/>
                      </w:rPr>
                      <m:t>/1000</m:t>
                    </m:r>
                    <m:ctrlPr>
                      <w:rPr>
                        <w:rFonts w:ascii="Cambria Math" w:hAnsi="Cambria Math"/>
                        <w:i/>
                        <w:color w:val="auto"/>
                        <w:highlight w:val="none"/>
                      </w:rPr>
                    </m:ctrlPr>
                  </m:e>
                </m:nary>
              </m:oMath>
            </m:oMathPara>
          </w:p>
          <w:p>
            <w:pPr>
              <w:pStyle w:val="72"/>
              <w:ind w:firstLine="480"/>
              <w:rPr>
                <w:color w:val="auto"/>
                <w:highlight w:val="none"/>
              </w:rPr>
            </w:pPr>
            <w:r>
              <w:rPr>
                <w:rFonts w:hint="eastAsia"/>
                <w:color w:val="auto"/>
                <w:highlight w:val="none"/>
              </w:rPr>
              <w:t>式中：E</w:t>
            </w:r>
            <w:r>
              <w:rPr>
                <w:rFonts w:hint="eastAsia"/>
                <w:color w:val="auto"/>
                <w:highlight w:val="none"/>
                <w:vertAlign w:val="subscript"/>
              </w:rPr>
              <w:t>年排放</w:t>
            </w:r>
            <w:r>
              <w:rPr>
                <w:rFonts w:hint="eastAsia"/>
                <w:color w:val="auto"/>
                <w:highlight w:val="none"/>
              </w:rPr>
              <w:t>—项目年排放量，t/a；</w:t>
            </w:r>
          </w:p>
          <w:p>
            <w:pPr>
              <w:pStyle w:val="72"/>
              <w:ind w:firstLine="480"/>
              <w:rPr>
                <w:color w:val="auto"/>
                <w:highlight w:val="none"/>
              </w:rPr>
            </w:pPr>
            <w:r>
              <w:rPr>
                <w:rFonts w:hint="eastAsia"/>
                <w:color w:val="auto"/>
                <w:highlight w:val="none"/>
              </w:rPr>
              <w:t>M</w:t>
            </w:r>
            <w:r>
              <w:rPr>
                <w:rFonts w:hint="eastAsia"/>
                <w:color w:val="auto"/>
                <w:highlight w:val="none"/>
                <w:vertAlign w:val="subscript"/>
              </w:rPr>
              <w:t>i有组织</w:t>
            </w:r>
            <w:r>
              <w:rPr>
                <w:rFonts w:hint="eastAsia"/>
                <w:color w:val="auto"/>
                <w:highlight w:val="none"/>
              </w:rPr>
              <w:t>—第i个有组织排放源排放速率，kg/h；</w:t>
            </w:r>
          </w:p>
          <w:p>
            <w:pPr>
              <w:pStyle w:val="72"/>
              <w:ind w:firstLine="480"/>
              <w:rPr>
                <w:color w:val="auto"/>
                <w:highlight w:val="none"/>
              </w:rPr>
            </w:pPr>
            <w:r>
              <w:rPr>
                <w:rFonts w:hint="eastAsia"/>
                <w:color w:val="auto"/>
                <w:highlight w:val="none"/>
              </w:rPr>
              <w:t>H</w:t>
            </w:r>
            <w:r>
              <w:rPr>
                <w:rFonts w:hint="eastAsia"/>
                <w:color w:val="auto"/>
                <w:highlight w:val="none"/>
                <w:vertAlign w:val="subscript"/>
              </w:rPr>
              <w:t>i有组织</w:t>
            </w:r>
            <w:r>
              <w:rPr>
                <w:rFonts w:hint="eastAsia"/>
                <w:color w:val="auto"/>
                <w:highlight w:val="none"/>
              </w:rPr>
              <w:t>—第i个有组织排放源年有效排放小时数，h/a；</w:t>
            </w:r>
          </w:p>
          <w:p>
            <w:pPr>
              <w:pStyle w:val="72"/>
              <w:ind w:firstLine="480"/>
              <w:rPr>
                <w:color w:val="auto"/>
                <w:highlight w:val="none"/>
              </w:rPr>
            </w:pPr>
            <w:r>
              <w:rPr>
                <w:rFonts w:hint="eastAsia"/>
                <w:color w:val="auto"/>
                <w:highlight w:val="none"/>
              </w:rPr>
              <w:t>M</w:t>
            </w:r>
            <w:r>
              <w:rPr>
                <w:rFonts w:hint="eastAsia"/>
                <w:color w:val="auto"/>
                <w:highlight w:val="none"/>
                <w:vertAlign w:val="subscript"/>
              </w:rPr>
              <w:t>j有组织</w:t>
            </w:r>
            <w:r>
              <w:rPr>
                <w:rFonts w:hint="eastAsia"/>
                <w:color w:val="auto"/>
                <w:highlight w:val="none"/>
              </w:rPr>
              <w:t>—第j个有组织排放源排放速率，kg/h；</w:t>
            </w:r>
          </w:p>
          <w:p>
            <w:pPr>
              <w:pStyle w:val="72"/>
              <w:ind w:firstLine="480"/>
              <w:rPr>
                <w:rFonts w:hint="eastAsia"/>
                <w:color w:val="auto"/>
                <w:highlight w:val="none"/>
              </w:rPr>
            </w:pPr>
            <w:r>
              <w:rPr>
                <w:rFonts w:hint="eastAsia"/>
                <w:color w:val="auto"/>
                <w:highlight w:val="none"/>
              </w:rPr>
              <w:t>H</w:t>
            </w:r>
            <w:r>
              <w:rPr>
                <w:rFonts w:hint="eastAsia"/>
                <w:color w:val="auto"/>
                <w:highlight w:val="none"/>
                <w:vertAlign w:val="subscript"/>
              </w:rPr>
              <w:t>j有组织</w:t>
            </w:r>
            <w:r>
              <w:rPr>
                <w:rFonts w:hint="eastAsia"/>
                <w:color w:val="auto"/>
                <w:highlight w:val="none"/>
              </w:rPr>
              <w:t>—第j个有组织排放源年有效排放小时数，h/a。</w:t>
            </w:r>
          </w:p>
          <w:p>
            <w:pPr>
              <w:pStyle w:val="68"/>
              <w:rPr>
                <w:color w:val="auto"/>
                <w:highlight w:val="none"/>
              </w:rPr>
            </w:pPr>
            <w:r>
              <w:rPr>
                <w:rFonts w:hint="eastAsia"/>
                <w:color w:val="auto"/>
                <w:highlight w:val="none"/>
              </w:rPr>
              <w:t>表4.</w:t>
            </w:r>
            <w:r>
              <w:rPr>
                <w:rFonts w:hint="eastAsia"/>
                <w:color w:val="auto"/>
                <w:highlight w:val="none"/>
                <w:lang w:val="en-US" w:eastAsia="zh-CN"/>
              </w:rPr>
              <w:t>3</w:t>
            </w:r>
            <w:r>
              <w:rPr>
                <w:rFonts w:hint="eastAsia"/>
                <w:color w:val="auto"/>
                <w:highlight w:val="none"/>
              </w:rPr>
              <w:t>.7大气污染物有组织排放量核算表</w:t>
            </w:r>
          </w:p>
          <w:tbl>
            <w:tblPr>
              <w:tblStyle w:val="29"/>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907"/>
              <w:gridCol w:w="1155"/>
              <w:gridCol w:w="1545"/>
              <w:gridCol w:w="1472"/>
              <w:gridCol w:w="15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序号</w:t>
                  </w:r>
                </w:p>
              </w:tc>
              <w:tc>
                <w:tcPr>
                  <w:tcW w:w="19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排放源</w:t>
                  </w:r>
                </w:p>
              </w:tc>
              <w:tc>
                <w:tcPr>
                  <w:tcW w:w="11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污染物</w:t>
                  </w:r>
                </w:p>
              </w:tc>
              <w:tc>
                <w:tcPr>
                  <w:tcW w:w="154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核算排放浓度</w:t>
                  </w:r>
                </w:p>
                <w:p>
                  <w:pPr>
                    <w:pStyle w:val="70"/>
                    <w:rPr>
                      <w:b w:val="0"/>
                      <w:color w:val="auto"/>
                      <w:sz w:val="21"/>
                      <w:szCs w:val="21"/>
                      <w:highlight w:val="none"/>
                    </w:rPr>
                  </w:pPr>
                  <w:r>
                    <w:rPr>
                      <w:rFonts w:hint="eastAsia"/>
                      <w:b w:val="0"/>
                      <w:color w:val="auto"/>
                      <w:sz w:val="21"/>
                      <w:szCs w:val="21"/>
                      <w:highlight w:val="none"/>
                    </w:rPr>
                    <w:t>(mg/m</w:t>
                  </w:r>
                  <w:r>
                    <w:rPr>
                      <w:rFonts w:hint="eastAsia"/>
                      <w:b w:val="0"/>
                      <w:color w:val="auto"/>
                      <w:sz w:val="21"/>
                      <w:szCs w:val="21"/>
                      <w:highlight w:val="none"/>
                      <w:vertAlign w:val="superscript"/>
                    </w:rPr>
                    <w:t>3</w:t>
                  </w:r>
                  <w:r>
                    <w:rPr>
                      <w:rFonts w:hint="eastAsia"/>
                      <w:b w:val="0"/>
                      <w:color w:val="auto"/>
                      <w:sz w:val="21"/>
                      <w:szCs w:val="21"/>
                      <w:highlight w:val="none"/>
                    </w:rPr>
                    <w:t>)</w:t>
                  </w:r>
                </w:p>
              </w:tc>
              <w:tc>
                <w:tcPr>
                  <w:tcW w:w="147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核算排放速率</w:t>
                  </w:r>
                </w:p>
                <w:p>
                  <w:pPr>
                    <w:pStyle w:val="70"/>
                    <w:rPr>
                      <w:b w:val="0"/>
                      <w:color w:val="auto"/>
                      <w:sz w:val="21"/>
                      <w:szCs w:val="21"/>
                      <w:highlight w:val="none"/>
                    </w:rPr>
                  </w:pPr>
                  <w:r>
                    <w:rPr>
                      <w:rFonts w:hint="eastAsia"/>
                      <w:b w:val="0"/>
                      <w:color w:val="auto"/>
                      <w:sz w:val="21"/>
                      <w:szCs w:val="21"/>
                      <w:highlight w:val="none"/>
                    </w:rPr>
                    <w:t>(kg/h)</w:t>
                  </w:r>
                </w:p>
              </w:tc>
              <w:tc>
                <w:tcPr>
                  <w:tcW w:w="15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核算年排放量</w:t>
                  </w:r>
                </w:p>
                <w:p>
                  <w:pPr>
                    <w:pStyle w:val="70"/>
                    <w:rPr>
                      <w:b w:val="0"/>
                      <w:color w:val="auto"/>
                      <w:sz w:val="21"/>
                      <w:szCs w:val="21"/>
                      <w:highlight w:val="none"/>
                    </w:rPr>
                  </w:pPr>
                  <w:r>
                    <w:rPr>
                      <w:rFonts w:hint="eastAsia"/>
                      <w:b w:val="0"/>
                      <w:color w:val="auto"/>
                      <w:sz w:val="21"/>
                      <w:szCs w:val="21"/>
                      <w:highlight w:val="non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23" w:type="dxa"/>
                  <w:gridSpan w:val="6"/>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1</w:t>
                  </w:r>
                </w:p>
              </w:tc>
              <w:tc>
                <w:tcPr>
                  <w:tcW w:w="19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喷砂工序排气筒1</w:t>
                  </w:r>
                </w:p>
              </w:tc>
              <w:tc>
                <w:tcPr>
                  <w:tcW w:w="11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颗粒物</w:t>
                  </w:r>
                </w:p>
              </w:tc>
              <w:tc>
                <w:tcPr>
                  <w:tcW w:w="154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eastAsia="宋体"/>
                      <w:b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8.333</w:t>
                  </w:r>
                </w:p>
              </w:tc>
              <w:tc>
                <w:tcPr>
                  <w:tcW w:w="147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5</w:t>
                  </w:r>
                </w:p>
              </w:tc>
              <w:tc>
                <w:tcPr>
                  <w:tcW w:w="15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b w:val="0"/>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2</w:t>
                  </w:r>
                </w:p>
              </w:tc>
              <w:tc>
                <w:tcPr>
                  <w:tcW w:w="1907"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抛光工序排气筒1</w:t>
                  </w:r>
                </w:p>
              </w:tc>
              <w:tc>
                <w:tcPr>
                  <w:tcW w:w="11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颗粒物</w:t>
                  </w:r>
                </w:p>
              </w:tc>
              <w:tc>
                <w:tcPr>
                  <w:tcW w:w="154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Calibri" w:hAnsi="Calibri" w:eastAsia="宋体" w:cs="Times New Roman"/>
                      <w:b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7.979 </w:t>
                  </w:r>
                </w:p>
              </w:tc>
              <w:tc>
                <w:tcPr>
                  <w:tcW w:w="147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478</w:t>
                  </w:r>
                </w:p>
              </w:tc>
              <w:tc>
                <w:tcPr>
                  <w:tcW w:w="15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val="0"/>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574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2382"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合计</w:t>
                  </w:r>
                </w:p>
              </w:tc>
              <w:tc>
                <w:tcPr>
                  <w:tcW w:w="11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lang w:val="en-US" w:eastAsia="zh-CN"/>
                    </w:rPr>
                    <w:t>颗粒物</w:t>
                  </w:r>
                </w:p>
              </w:tc>
              <w:tc>
                <w:tcPr>
                  <w:tcW w:w="154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p>
              </w:tc>
              <w:tc>
                <w:tcPr>
                  <w:tcW w:w="147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0.978</w:t>
                  </w:r>
                </w:p>
              </w:tc>
              <w:tc>
                <w:tcPr>
                  <w:tcW w:w="15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1.174</w:t>
                  </w:r>
                </w:p>
              </w:tc>
            </w:tr>
          </w:tbl>
          <w:p>
            <w:pPr>
              <w:pStyle w:val="70"/>
              <w:rPr>
                <w:color w:val="auto"/>
                <w:highlight w:val="none"/>
              </w:rPr>
            </w:pPr>
          </w:p>
          <w:p>
            <w:pPr>
              <w:pStyle w:val="68"/>
              <w:rPr>
                <w:color w:val="auto"/>
                <w:highlight w:val="none"/>
              </w:rPr>
            </w:pPr>
            <w:r>
              <w:rPr>
                <w:rFonts w:hint="eastAsia"/>
                <w:color w:val="auto"/>
                <w:highlight w:val="none"/>
              </w:rPr>
              <w:t>表4.</w:t>
            </w:r>
            <w:r>
              <w:rPr>
                <w:rFonts w:hint="eastAsia"/>
                <w:color w:val="auto"/>
                <w:highlight w:val="none"/>
                <w:lang w:val="en-US" w:eastAsia="zh-CN"/>
              </w:rPr>
              <w:t>3</w:t>
            </w:r>
            <w:r>
              <w:rPr>
                <w:rFonts w:hint="eastAsia"/>
                <w:color w:val="auto"/>
                <w:highlight w:val="none"/>
              </w:rPr>
              <w:t>.8大气污染物无组织排放量核算表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731"/>
              <w:gridCol w:w="786"/>
              <w:gridCol w:w="1040"/>
              <w:gridCol w:w="2082"/>
              <w:gridCol w:w="1079"/>
              <w:gridCol w:w="9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tcMar>
                    <w:left w:w="28" w:type="dxa"/>
                    <w:right w:w="28" w:type="dxa"/>
                  </w:tcMar>
                  <w:vAlign w:val="center"/>
                </w:tcPr>
                <w:p>
                  <w:pPr>
                    <w:pStyle w:val="70"/>
                    <w:rPr>
                      <w:b w:val="0"/>
                      <w:color w:val="auto"/>
                      <w:highlight w:val="none"/>
                    </w:rPr>
                  </w:pPr>
                  <w:r>
                    <w:rPr>
                      <w:b w:val="0"/>
                      <w:color w:val="auto"/>
                      <w:highlight w:val="none"/>
                    </w:rPr>
                    <w:t>序号</w:t>
                  </w:r>
                </w:p>
              </w:tc>
              <w:tc>
                <w:tcPr>
                  <w:tcW w:w="1059"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b w:val="0"/>
                      <w:color w:val="auto"/>
                      <w:highlight w:val="none"/>
                      <w:lang w:val="zh-CN"/>
                    </w:rPr>
                    <w:t>产污环节</w:t>
                  </w:r>
                </w:p>
              </w:tc>
              <w:tc>
                <w:tcPr>
                  <w:tcW w:w="480"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b w:val="0"/>
                      <w:color w:val="auto"/>
                      <w:highlight w:val="none"/>
                      <w:lang w:val="zh-CN"/>
                    </w:rPr>
                    <w:t>污染物</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b w:val="0"/>
                      <w:color w:val="auto"/>
                      <w:highlight w:val="none"/>
                      <w:lang w:val="zh-CN"/>
                    </w:rPr>
                    <w:t>主要污染防治措施</w:t>
                  </w:r>
                </w:p>
              </w:tc>
              <w:tc>
                <w:tcPr>
                  <w:tcW w:w="1934" w:type="pct"/>
                  <w:gridSpan w:val="2"/>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b w:val="0"/>
                      <w:color w:val="auto"/>
                      <w:highlight w:val="none"/>
                      <w:lang w:val="zh-CN"/>
                    </w:rPr>
                    <w:t>国家或地方污染物排放标准</w:t>
                  </w:r>
                </w:p>
              </w:tc>
              <w:tc>
                <w:tcPr>
                  <w:tcW w:w="607"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b w:val="0"/>
                      <w:color w:val="auto"/>
                      <w:highlight w:val="none"/>
                      <w:lang w:val="zh-CN"/>
                    </w:rPr>
                    <w:t>年排放量（</w:t>
                  </w:r>
                  <w:r>
                    <w:rPr>
                      <w:rFonts w:hint="eastAsia"/>
                      <w:b w:val="0"/>
                      <w:color w:val="auto"/>
                      <w:highlight w:val="none"/>
                    </w:rPr>
                    <w:t>t</w:t>
                  </w:r>
                  <w:r>
                    <w:rPr>
                      <w:b w:val="0"/>
                      <w:color w:val="auto"/>
                      <w:highlight w:val="none"/>
                      <w:lang w:val="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c>
                <w:tcPr>
                  <w:tcW w:w="1059"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p>
              </w:tc>
              <w:tc>
                <w:tcPr>
                  <w:tcW w:w="1274"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b w:val="0"/>
                      <w:color w:val="auto"/>
                      <w:highlight w:val="none"/>
                      <w:lang w:val="zh-CN"/>
                    </w:rPr>
                    <w:t>标准名称</w:t>
                  </w:r>
                </w:p>
              </w:tc>
              <w:tc>
                <w:tcPr>
                  <w:tcW w:w="660"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b w:val="0"/>
                      <w:color w:val="auto"/>
                      <w:highlight w:val="none"/>
                      <w:lang w:val="zh-CN"/>
                    </w:rPr>
                    <w:t>浓度限值（mg/m</w:t>
                  </w:r>
                  <w:r>
                    <w:rPr>
                      <w:b w:val="0"/>
                      <w:color w:val="auto"/>
                      <w:highlight w:val="none"/>
                      <w:vertAlign w:val="superscript"/>
                      <w:lang w:val="zh-CN"/>
                    </w:rPr>
                    <w:t>3</w:t>
                  </w:r>
                  <w:r>
                    <w:rPr>
                      <w:b w:val="0"/>
                      <w:color w:val="auto"/>
                      <w:highlight w:val="none"/>
                      <w:lang w:val="zh-CN"/>
                    </w:rPr>
                    <w:t>）</w:t>
                  </w:r>
                </w:p>
              </w:tc>
              <w:tc>
                <w:tcPr>
                  <w:tcW w:w="607"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r>
                    <w:rPr>
                      <w:rFonts w:hint="eastAsia"/>
                      <w:b w:val="0"/>
                      <w:color w:val="auto"/>
                      <w:highlight w:val="none"/>
                      <w:lang w:val="en-US" w:eastAsia="zh-CN"/>
                    </w:rPr>
                    <w:t>1</w:t>
                  </w:r>
                </w:p>
              </w:tc>
              <w:tc>
                <w:tcPr>
                  <w:tcW w:w="1059"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rFonts w:hint="eastAsia"/>
                      <w:b w:val="0"/>
                      <w:color w:val="auto"/>
                      <w:highlight w:val="none"/>
                      <w:lang w:val="en-US" w:eastAsia="zh-CN"/>
                    </w:rPr>
                    <w:t>喷砂区</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rFonts w:hint="eastAsia"/>
                      <w:b w:val="0"/>
                      <w:color w:val="auto"/>
                      <w:highlight w:val="none"/>
                      <w:lang w:val="en-US" w:eastAsia="zh-CN"/>
                    </w:rPr>
                    <w:t>颗粒物</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负压密闭收集，集气罩等</w:t>
                  </w:r>
                </w:p>
              </w:tc>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rFonts w:hint="eastAsia"/>
                      <w:b w:val="0"/>
                      <w:color w:val="auto"/>
                      <w:highlight w:val="none"/>
                    </w:rPr>
                    <w:t>《大气污染物综合排放标准》（GB16297-1996）表2颗粒物无组织排放监控浓度限值</w:t>
                  </w:r>
                </w:p>
              </w:tc>
              <w:tc>
                <w:tcPr>
                  <w:tcW w:w="660"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1.0</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keepNext w:val="0"/>
                    <w:keepLines w:val="0"/>
                    <w:widowControl/>
                    <w:suppressLineNumbers w:val="0"/>
                    <w:jc w:val="center"/>
                    <w:textAlignment w:val="center"/>
                    <w:rPr>
                      <w:b w:val="0"/>
                      <w:color w:val="auto"/>
                      <w:highlight w:val="none"/>
                      <w:lang w:val="zh-CN"/>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rFonts w:hint="default"/>
                      <w:b w:val="0"/>
                      <w:color w:val="auto"/>
                      <w:highlight w:val="none"/>
                      <w:lang w:val="en-US" w:eastAsia="zh-CN"/>
                    </w:rPr>
                  </w:pPr>
                  <w:r>
                    <w:rPr>
                      <w:rFonts w:hint="eastAsia"/>
                      <w:b w:val="0"/>
                      <w:color w:val="auto"/>
                      <w:highlight w:val="none"/>
                      <w:lang w:val="en-US" w:eastAsia="zh-CN"/>
                    </w:rPr>
                    <w:t>3</w:t>
                  </w:r>
                </w:p>
              </w:tc>
              <w:tc>
                <w:tcPr>
                  <w:tcW w:w="1059"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rFonts w:hint="eastAsia"/>
                      <w:b w:val="0"/>
                      <w:color w:val="auto"/>
                      <w:highlight w:val="none"/>
                      <w:lang w:val="en-US" w:eastAsia="zh-CN"/>
                    </w:rPr>
                    <w:t>抛光区</w:t>
                  </w:r>
                </w:p>
              </w:tc>
              <w:tc>
                <w:tcPr>
                  <w:tcW w:w="480"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rFonts w:hint="eastAsia"/>
                      <w:b w:val="0"/>
                      <w:color w:val="auto"/>
                      <w:highlight w:val="none"/>
                      <w:lang w:val="en-US" w:eastAsia="zh-CN"/>
                    </w:rPr>
                    <w:t>颗粒物</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p>
              </w:tc>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p>
              </w:tc>
              <w:tc>
                <w:tcPr>
                  <w:tcW w:w="660"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keepNext w:val="0"/>
                    <w:keepLines w:val="0"/>
                    <w:widowControl/>
                    <w:suppressLineNumbers w:val="0"/>
                    <w:jc w:val="center"/>
                    <w:textAlignment w:val="center"/>
                    <w:rPr>
                      <w:b w:val="0"/>
                      <w:color w:val="auto"/>
                      <w:highlight w:val="none"/>
                      <w:lang w:val="zh-CN"/>
                    </w:rPr>
                  </w:pPr>
                  <w:r>
                    <w:rPr>
                      <w:rFonts w:hint="default" w:ascii="Times New Roman" w:hAnsi="Times New Roman" w:eastAsia="宋体" w:cs="Times New Roman"/>
                      <w:i w:val="0"/>
                      <w:iCs w:val="0"/>
                      <w:color w:val="auto"/>
                      <w:kern w:val="0"/>
                      <w:sz w:val="18"/>
                      <w:szCs w:val="18"/>
                      <w:highlight w:val="none"/>
                      <w:u w:val="none"/>
                      <w:lang w:val="en-US" w:eastAsia="zh-CN" w:bidi="ar"/>
                    </w:rPr>
                    <w:t>0.202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2"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4</w:t>
                  </w:r>
                </w:p>
              </w:tc>
              <w:tc>
                <w:tcPr>
                  <w:tcW w:w="1059"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清洁</w:t>
                  </w:r>
                </w:p>
              </w:tc>
              <w:tc>
                <w:tcPr>
                  <w:tcW w:w="480"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r>
                    <w:rPr>
                      <w:rFonts w:hint="eastAsia"/>
                      <w:b w:val="0"/>
                      <w:color w:val="auto"/>
                      <w:highlight w:val="none"/>
                    </w:rPr>
                    <w:t>非甲烷总烃</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车间换气</w:t>
                  </w:r>
                </w:p>
              </w:tc>
              <w:tc>
                <w:tcPr>
                  <w:tcW w:w="1274"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r>
                    <w:rPr>
                      <w:rFonts w:hint="eastAsia"/>
                      <w:b w:val="0"/>
                      <w:color w:val="auto"/>
                      <w:highlight w:val="none"/>
                    </w:rPr>
                    <w:t>《挥发性有机物无组织排放标准》（GB37822-2019）表A.1</w:t>
                  </w:r>
                  <w:r>
                    <w:rPr>
                      <w:rFonts w:hint="eastAsia"/>
                      <w:b w:val="0"/>
                      <w:color w:val="auto"/>
                      <w:highlight w:val="none"/>
                      <w:lang w:val="en-US" w:eastAsia="zh-CN"/>
                    </w:rPr>
                    <w:t>厂房外</w:t>
                  </w:r>
                  <w:r>
                    <w:rPr>
                      <w:rFonts w:hint="eastAsia"/>
                      <w:b w:val="0"/>
                      <w:color w:val="auto"/>
                      <w:highlight w:val="none"/>
                    </w:rPr>
                    <w:t>监控点处1h平均浓度值</w:t>
                  </w:r>
                </w:p>
              </w:tc>
              <w:tc>
                <w:tcPr>
                  <w:tcW w:w="660"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r>
                    <w:rPr>
                      <w:rFonts w:hint="eastAsia"/>
                      <w:b w:val="0"/>
                      <w:color w:val="auto"/>
                      <w:highlight w:val="none"/>
                    </w:rPr>
                    <w:t>6.0</w:t>
                  </w:r>
                </w:p>
              </w:tc>
              <w:tc>
                <w:tcPr>
                  <w:tcW w:w="607" w:type="pct"/>
                  <w:vMerge w:val="restar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rFonts w:hint="default" w:eastAsia="宋体"/>
                      <w:b w:val="0"/>
                      <w:color w:val="auto"/>
                      <w:highlight w:val="none"/>
                      <w:lang w:val="en-US" w:eastAsia="zh-CN"/>
                    </w:rPr>
                  </w:pPr>
                  <w:r>
                    <w:rPr>
                      <w:rFonts w:hint="eastAsia"/>
                      <w:b w:val="0"/>
                      <w:color w:val="auto"/>
                      <w:highlight w:val="none"/>
                    </w:rPr>
                    <w:t>0.</w:t>
                  </w:r>
                  <w:r>
                    <w:rPr>
                      <w:rFonts w:hint="eastAsia"/>
                      <w:b w:val="0"/>
                      <w:color w:val="auto"/>
                      <w:highlight w:val="none"/>
                      <w:lang w:val="en-US" w:eastAsia="zh-CN"/>
                    </w:rPr>
                    <w:t>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2"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c>
                <w:tcPr>
                  <w:tcW w:w="1059"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c>
                <w:tcPr>
                  <w:tcW w:w="1274"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r>
                    <w:rPr>
                      <w:rFonts w:hint="eastAsia"/>
                      <w:b w:val="0"/>
                      <w:color w:val="auto"/>
                      <w:highlight w:val="none"/>
                    </w:rPr>
                    <w:t>《挥发性有机物无组织排放</w:t>
                  </w:r>
                  <w:r>
                    <w:rPr>
                      <w:rFonts w:hint="eastAsia"/>
                      <w:b w:val="0"/>
                      <w:color w:val="auto"/>
                      <w:highlight w:val="none"/>
                      <w:lang w:val="en-US" w:eastAsia="zh-CN"/>
                    </w:rPr>
                    <w:t>控制</w:t>
                  </w:r>
                  <w:r>
                    <w:rPr>
                      <w:rFonts w:hint="eastAsia"/>
                      <w:b w:val="0"/>
                      <w:color w:val="auto"/>
                      <w:highlight w:val="none"/>
                    </w:rPr>
                    <w:t>标准》（GB37822-2019）表A.1</w:t>
                  </w:r>
                  <w:r>
                    <w:rPr>
                      <w:rFonts w:hint="eastAsia"/>
                      <w:b w:val="0"/>
                      <w:color w:val="auto"/>
                      <w:highlight w:val="none"/>
                      <w:lang w:val="en-US" w:eastAsia="zh-CN"/>
                    </w:rPr>
                    <w:t>厂房外</w:t>
                  </w:r>
                  <w:r>
                    <w:rPr>
                      <w:rFonts w:hint="eastAsia"/>
                      <w:b w:val="0"/>
                      <w:color w:val="auto"/>
                      <w:highlight w:val="none"/>
                    </w:rPr>
                    <w:t>监控点处任意一次浓度值</w:t>
                  </w:r>
                </w:p>
              </w:tc>
              <w:tc>
                <w:tcPr>
                  <w:tcW w:w="660"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r>
                    <w:rPr>
                      <w:rFonts w:hint="eastAsia"/>
                      <w:b w:val="0"/>
                      <w:color w:val="auto"/>
                      <w:highlight w:val="none"/>
                    </w:rPr>
                    <w:t>20</w:t>
                  </w:r>
                </w:p>
              </w:tc>
              <w:tc>
                <w:tcPr>
                  <w:tcW w:w="607"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82"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c>
                <w:tcPr>
                  <w:tcW w:w="1059"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c>
                <w:tcPr>
                  <w:tcW w:w="1274"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r>
                    <w:rPr>
                      <w:rFonts w:hint="eastAsia"/>
                      <w:b w:val="0"/>
                      <w:color w:val="auto"/>
                      <w:highlight w:val="none"/>
                    </w:rPr>
                    <w:t>《工业企业挥发性有机物排放标准》（DB35/1782—2018）表3企业边界监控点浓度限值</w:t>
                  </w:r>
                </w:p>
              </w:tc>
              <w:tc>
                <w:tcPr>
                  <w:tcW w:w="660"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r>
                    <w:rPr>
                      <w:rFonts w:hint="eastAsia"/>
                      <w:b w:val="0"/>
                      <w:color w:val="auto"/>
                      <w:highlight w:val="none"/>
                    </w:rPr>
                    <w:t>2.0</w:t>
                  </w:r>
                </w:p>
              </w:tc>
              <w:tc>
                <w:tcPr>
                  <w:tcW w:w="607" w:type="pct"/>
                  <w:vMerge w:val="continue"/>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b w:val="0"/>
                      <w:color w:val="auto"/>
                      <w:highlight w:val="none"/>
                      <w:lang w:val="zh-CN"/>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2" w:type="pct"/>
                  <w:gridSpan w:val="3"/>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b w:val="0"/>
                      <w:color w:val="auto"/>
                      <w:highlight w:val="none"/>
                      <w:lang w:val="zh-CN"/>
                    </w:rPr>
                    <w:t>无组织排放总计</w:t>
                  </w:r>
                </w:p>
              </w:tc>
              <w:tc>
                <w:tcPr>
                  <w:tcW w:w="2570" w:type="pct"/>
                  <w:gridSpan w:val="3"/>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r>
                    <w:rPr>
                      <w:b w:val="0"/>
                      <w:color w:val="auto"/>
                      <w:highlight w:val="none"/>
                    </w:rPr>
                    <w:t>颗粒物</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rFonts w:hint="default" w:eastAsia="宋体"/>
                      <w:b w:val="0"/>
                      <w:color w:val="auto"/>
                      <w:highlight w:val="none"/>
                      <w:lang w:val="en-US" w:eastAsia="zh-CN"/>
                    </w:rPr>
                  </w:pPr>
                  <w:r>
                    <w:rPr>
                      <w:rFonts w:hint="eastAsia"/>
                      <w:b w:val="0"/>
                      <w:color w:val="auto"/>
                      <w:highlight w:val="none"/>
                    </w:rPr>
                    <w:t>0.</w:t>
                  </w:r>
                  <w:r>
                    <w:rPr>
                      <w:rFonts w:hint="eastAsia"/>
                      <w:b w:val="0"/>
                      <w:color w:val="auto"/>
                      <w:highlight w:val="none"/>
                      <w:lang w:val="en-US" w:eastAsia="zh-CN"/>
                    </w:rPr>
                    <w:t>602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2" w:type="pct"/>
                  <w:gridSpan w:val="3"/>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lang w:val="zh-CN"/>
                    </w:rPr>
                  </w:pPr>
                </w:p>
              </w:tc>
              <w:tc>
                <w:tcPr>
                  <w:tcW w:w="2570" w:type="pct"/>
                  <w:gridSpan w:val="3"/>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b w:val="0"/>
                      <w:color w:val="auto"/>
                      <w:highlight w:val="none"/>
                    </w:rPr>
                  </w:pPr>
                  <w:r>
                    <w:rPr>
                      <w:rFonts w:hint="eastAsia"/>
                      <w:b w:val="0"/>
                      <w:color w:val="auto"/>
                      <w:highlight w:val="none"/>
                    </w:rPr>
                    <w:t>非甲烷总烃</w:t>
                  </w:r>
                </w:p>
              </w:tc>
              <w:tc>
                <w:tcPr>
                  <w:tcW w:w="607" w:type="pct"/>
                  <w:tcBorders>
                    <w:top w:val="single" w:color="000000" w:sz="4" w:space="0"/>
                    <w:left w:val="single" w:color="000000" w:sz="4" w:space="0"/>
                    <w:bottom w:val="single" w:color="000000" w:sz="4" w:space="0"/>
                    <w:right w:val="single" w:color="000000" w:sz="4" w:space="0"/>
                  </w:tcBorders>
                  <w:shd w:val="clear" w:color="auto" w:fill="FFFFFF"/>
                  <w:tcMar>
                    <w:left w:w="28" w:type="dxa"/>
                    <w:right w:w="28" w:type="dxa"/>
                  </w:tcMar>
                  <w:vAlign w:val="center"/>
                </w:tcPr>
                <w:p>
                  <w:pPr>
                    <w:pStyle w:val="70"/>
                    <w:rPr>
                      <w:rFonts w:hint="default" w:eastAsia="宋体"/>
                      <w:b w:val="0"/>
                      <w:color w:val="auto"/>
                      <w:highlight w:val="none"/>
                      <w:lang w:val="en-US" w:eastAsia="zh-CN"/>
                    </w:rPr>
                  </w:pPr>
                  <w:r>
                    <w:rPr>
                      <w:rFonts w:hint="eastAsia"/>
                      <w:b w:val="0"/>
                      <w:color w:val="auto"/>
                      <w:highlight w:val="none"/>
                    </w:rPr>
                    <w:t>0.</w:t>
                  </w:r>
                  <w:r>
                    <w:rPr>
                      <w:rFonts w:hint="eastAsia"/>
                      <w:b w:val="0"/>
                      <w:color w:val="auto"/>
                      <w:highlight w:val="none"/>
                      <w:lang w:val="en-US" w:eastAsia="zh-CN"/>
                    </w:rPr>
                    <w:t>316</w:t>
                  </w:r>
                </w:p>
              </w:tc>
            </w:tr>
          </w:tbl>
          <w:p>
            <w:pPr>
              <w:pStyle w:val="70"/>
              <w:rPr>
                <w:color w:val="auto"/>
                <w:highlight w:val="none"/>
              </w:rPr>
            </w:pPr>
          </w:p>
          <w:p>
            <w:pPr>
              <w:pStyle w:val="72"/>
              <w:ind w:firstLine="480"/>
              <w:rPr>
                <w:rFonts w:hint="default" w:eastAsia="宋体"/>
                <w:color w:val="auto"/>
                <w:highlight w:val="none"/>
                <w:lang w:val="en-US" w:eastAsia="zh-CN"/>
              </w:rPr>
            </w:pPr>
            <w:r>
              <w:rPr>
                <w:rFonts w:hint="eastAsia"/>
                <w:color w:val="auto"/>
                <w:highlight w:val="none"/>
              </w:rPr>
              <w:t>③大气环境防护距离</w:t>
            </w:r>
            <w:r>
              <w:rPr>
                <w:rFonts w:hint="eastAsia"/>
                <w:color w:val="auto"/>
                <w:highlight w:val="none"/>
                <w:lang w:val="en-US" w:eastAsia="zh-CN"/>
              </w:rPr>
              <w:t>及监测计划</w:t>
            </w:r>
          </w:p>
          <w:p>
            <w:pPr>
              <w:pStyle w:val="72"/>
              <w:ind w:firstLine="480"/>
              <w:rPr>
                <w:color w:val="auto"/>
                <w:highlight w:val="none"/>
              </w:rPr>
            </w:pPr>
            <w:r>
              <w:rPr>
                <w:rFonts w:hint="eastAsia"/>
                <w:color w:val="auto"/>
                <w:highlight w:val="none"/>
                <w:lang w:val="en-US" w:eastAsia="zh-CN"/>
              </w:rPr>
              <w:t>根据预测结果，本项目颗粒物、非甲烷总烃排放使得</w:t>
            </w:r>
            <w:r>
              <w:rPr>
                <w:rFonts w:hint="eastAsia"/>
                <w:color w:val="auto"/>
                <w:highlight w:val="none"/>
              </w:rPr>
              <w:t>项目厂界及厂界外无超标点，因此本项目不设置大气环境防护距离。</w:t>
            </w:r>
          </w:p>
          <w:p>
            <w:pPr>
              <w:pStyle w:val="72"/>
              <w:ind w:firstLine="480"/>
              <w:rPr>
                <w:rFonts w:hint="default" w:eastAsia="宋体"/>
                <w:color w:val="auto"/>
                <w:highlight w:val="none"/>
                <w:lang w:val="en-US" w:eastAsia="zh-CN"/>
              </w:rPr>
            </w:pPr>
            <w:r>
              <w:rPr>
                <w:rFonts w:hint="eastAsia"/>
                <w:color w:val="auto"/>
                <w:highlight w:val="none"/>
              </w:rPr>
              <w:t>根据《排污单位自行监测技术指南电子工业》（HJ1253-2022），运营期废气监测计划见表4.</w:t>
            </w:r>
            <w:r>
              <w:rPr>
                <w:rFonts w:hint="eastAsia"/>
                <w:color w:val="auto"/>
                <w:highlight w:val="none"/>
                <w:lang w:val="en-US" w:eastAsia="zh-CN"/>
              </w:rPr>
              <w:t>3</w:t>
            </w:r>
            <w:r>
              <w:rPr>
                <w:rFonts w:hint="eastAsia"/>
                <w:color w:val="auto"/>
                <w:highlight w:val="none"/>
              </w:rPr>
              <w:t>.9</w:t>
            </w:r>
            <w:r>
              <w:rPr>
                <w:rFonts w:hint="eastAsia"/>
                <w:color w:val="auto"/>
                <w:highlight w:val="none"/>
                <w:lang w:eastAsia="zh-CN"/>
              </w:rPr>
              <w:t>。</w:t>
            </w:r>
          </w:p>
          <w:p>
            <w:pPr>
              <w:pStyle w:val="68"/>
              <w:rPr>
                <w:color w:val="auto"/>
                <w:highlight w:val="none"/>
              </w:rPr>
            </w:pPr>
            <w:r>
              <w:rPr>
                <w:rFonts w:hint="eastAsia"/>
                <w:color w:val="auto"/>
                <w:highlight w:val="none"/>
              </w:rPr>
              <w:t>表4.</w:t>
            </w:r>
            <w:r>
              <w:rPr>
                <w:rFonts w:hint="eastAsia"/>
                <w:color w:val="auto"/>
                <w:highlight w:val="none"/>
                <w:lang w:val="en-US" w:eastAsia="zh-CN"/>
              </w:rPr>
              <w:t>3</w:t>
            </w:r>
            <w:r>
              <w:rPr>
                <w:rFonts w:hint="eastAsia"/>
                <w:color w:val="auto"/>
                <w:highlight w:val="none"/>
              </w:rPr>
              <w:t>.9废气监测计划内容一览表</w:t>
            </w:r>
          </w:p>
          <w:tbl>
            <w:tblPr>
              <w:tblStyle w:val="29"/>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289"/>
              <w:gridCol w:w="2246"/>
              <w:gridCol w:w="1289"/>
              <w:gridCol w:w="20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监测内容</w:t>
                  </w:r>
                </w:p>
              </w:tc>
              <w:tc>
                <w:tcPr>
                  <w:tcW w:w="7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监测位置</w:t>
                  </w:r>
                </w:p>
              </w:tc>
              <w:tc>
                <w:tcPr>
                  <w:tcW w:w="1373"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监测项目</w:t>
                  </w:r>
                </w:p>
              </w:tc>
              <w:tc>
                <w:tcPr>
                  <w:tcW w:w="7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监测频率</w:t>
                  </w:r>
                </w:p>
              </w:tc>
              <w:tc>
                <w:tcPr>
                  <w:tcW w:w="1259"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监测单位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废气</w:t>
                  </w:r>
                </w:p>
              </w:tc>
              <w:tc>
                <w:tcPr>
                  <w:tcW w:w="7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厂界</w:t>
                  </w:r>
                </w:p>
              </w:tc>
              <w:tc>
                <w:tcPr>
                  <w:tcW w:w="1373"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TSP、非甲烷总烃</w:t>
                  </w:r>
                </w:p>
              </w:tc>
              <w:tc>
                <w:tcPr>
                  <w:tcW w:w="7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1次/年</w:t>
                  </w:r>
                </w:p>
              </w:tc>
              <w:tc>
                <w:tcPr>
                  <w:tcW w:w="1259"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委托有资质单位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排放口</w:t>
                  </w:r>
                </w:p>
              </w:tc>
              <w:tc>
                <w:tcPr>
                  <w:tcW w:w="1373"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TSP</w:t>
                  </w:r>
                </w:p>
              </w:tc>
              <w:tc>
                <w:tcPr>
                  <w:tcW w:w="7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1次/年</w:t>
                  </w:r>
                </w:p>
              </w:tc>
              <w:tc>
                <w:tcPr>
                  <w:tcW w:w="1259"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委托有资质单位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8"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7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厂房外</w:t>
                  </w:r>
                </w:p>
              </w:tc>
              <w:tc>
                <w:tcPr>
                  <w:tcW w:w="1373"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非甲烷总烃</w:t>
                  </w:r>
                </w:p>
              </w:tc>
              <w:tc>
                <w:tcPr>
                  <w:tcW w:w="7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1次/年</w:t>
                  </w:r>
                </w:p>
              </w:tc>
              <w:tc>
                <w:tcPr>
                  <w:tcW w:w="1259"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委托有资质单位</w:t>
                  </w:r>
                </w:p>
              </w:tc>
            </w:tr>
          </w:tbl>
          <w:p>
            <w:pPr>
              <w:pStyle w:val="72"/>
              <w:ind w:firstLine="482"/>
              <w:rPr>
                <w:rFonts w:hint="eastAsia"/>
                <w:b/>
                <w:bCs/>
                <w:color w:val="auto"/>
                <w:highlight w:val="none"/>
                <w:lang w:val="en-US" w:eastAsia="zh-CN"/>
              </w:rPr>
            </w:pPr>
          </w:p>
          <w:p>
            <w:pPr>
              <w:pStyle w:val="72"/>
              <w:ind w:firstLine="482"/>
              <w:rPr>
                <w:rFonts w:hint="eastAsia"/>
                <w:b/>
                <w:bCs/>
                <w:color w:val="auto"/>
                <w:highlight w:val="none"/>
                <w:lang w:val="en-US" w:eastAsia="zh-CN"/>
              </w:rPr>
            </w:pPr>
            <w:r>
              <w:rPr>
                <w:rFonts w:hint="eastAsia"/>
                <w:b/>
                <w:bCs/>
                <w:color w:val="auto"/>
                <w:highlight w:val="none"/>
                <w:lang w:val="en-US" w:eastAsia="zh-CN"/>
              </w:rPr>
              <w:t>（3）非正常工况预测分析</w:t>
            </w:r>
          </w:p>
          <w:p>
            <w:pPr>
              <w:pStyle w:val="72"/>
              <w:ind w:firstLine="482"/>
              <w:rPr>
                <w:rFonts w:hint="default"/>
                <w:color w:val="auto"/>
                <w:highlight w:val="none"/>
                <w:lang w:val="en-US"/>
              </w:rPr>
            </w:pPr>
            <w:r>
              <w:rPr>
                <w:rFonts w:hint="eastAsia"/>
                <w:color w:val="auto"/>
                <w:highlight w:val="none"/>
              </w:rPr>
              <w:t>本项目主要废气处理设施非正常排放情况主要为：</w:t>
            </w:r>
            <w:r>
              <w:rPr>
                <w:color w:val="auto"/>
                <w:highlight w:val="none"/>
              </w:rPr>
              <w:t>环保设施达不到设计处理效果</w:t>
            </w:r>
            <w:r>
              <w:rPr>
                <w:rFonts w:hint="eastAsia"/>
                <w:color w:val="auto"/>
                <w:highlight w:val="none"/>
              </w:rPr>
              <w:t>。</w:t>
            </w:r>
            <w:r>
              <w:rPr>
                <w:color w:val="auto"/>
                <w:highlight w:val="none"/>
              </w:rPr>
              <w:t>生产过程中</w:t>
            </w:r>
            <w:r>
              <w:rPr>
                <w:rFonts w:hint="eastAsia"/>
                <w:color w:val="auto"/>
                <w:highlight w:val="none"/>
                <w:lang w:val="en-US" w:eastAsia="zh-CN"/>
              </w:rPr>
              <w:t>布袋破袋，导致处理效率下降，布袋除尘效率在50%左右，非正常排放速率约为5kg/h。</w:t>
            </w:r>
          </w:p>
          <w:p>
            <w:pPr>
              <w:pStyle w:val="72"/>
              <w:bidi w:val="0"/>
              <w:rPr>
                <w:color w:val="auto"/>
                <w:highlight w:val="none"/>
              </w:rPr>
            </w:pPr>
            <w:r>
              <w:rPr>
                <w:color w:val="auto"/>
                <w:highlight w:val="none"/>
              </w:rPr>
              <w:t>在非正常工况预测情景下，</w:t>
            </w:r>
            <w:r>
              <w:rPr>
                <w:rFonts w:hint="eastAsia"/>
                <w:color w:val="auto"/>
                <w:highlight w:val="none"/>
                <w:lang w:val="en-US" w:eastAsia="zh-CN"/>
              </w:rPr>
              <w:t>TSP</w:t>
            </w:r>
            <w:r>
              <w:rPr>
                <w:color w:val="auto"/>
                <w:highlight w:val="none"/>
              </w:rPr>
              <w:t>最大小时落地浓度预测结果为</w:t>
            </w:r>
            <w:r>
              <w:rPr>
                <w:rFonts w:hint="eastAsia"/>
                <w:color w:val="auto"/>
                <w:highlight w:val="none"/>
                <w:lang w:val="en-US" w:eastAsia="zh-CN"/>
              </w:rPr>
              <w:t>191</w:t>
            </w:r>
            <w:r>
              <w:rPr>
                <w:color w:val="auto"/>
                <w:highlight w:val="none"/>
              </w:rPr>
              <w:t>μg/m</w:t>
            </w:r>
            <w:r>
              <w:rPr>
                <w:color w:val="auto"/>
                <w:highlight w:val="none"/>
                <w:vertAlign w:val="superscript"/>
              </w:rPr>
              <w:t>3</w:t>
            </w:r>
            <w:r>
              <w:rPr>
                <w:color w:val="auto"/>
                <w:highlight w:val="none"/>
              </w:rPr>
              <w:t>，低于评价标准（</w:t>
            </w:r>
            <w:r>
              <w:rPr>
                <w:rFonts w:hint="eastAsia"/>
                <w:color w:val="auto"/>
                <w:highlight w:val="none"/>
                <w:lang w:val="en-US" w:eastAsia="zh-CN"/>
              </w:rPr>
              <w:t>900</w:t>
            </w:r>
            <w:r>
              <w:rPr>
                <w:color w:val="auto"/>
                <w:highlight w:val="none"/>
              </w:rPr>
              <w:t>μg/m</w:t>
            </w:r>
            <w:r>
              <w:rPr>
                <w:color w:val="auto"/>
                <w:highlight w:val="none"/>
                <w:vertAlign w:val="superscript"/>
              </w:rPr>
              <w:t>3</w:t>
            </w:r>
            <w:r>
              <w:rPr>
                <w:color w:val="auto"/>
                <w:highlight w:val="none"/>
              </w:rPr>
              <w:t>），最大占标率为</w:t>
            </w:r>
            <w:r>
              <w:rPr>
                <w:rFonts w:hint="eastAsia"/>
                <w:color w:val="auto"/>
                <w:highlight w:val="none"/>
                <w:lang w:val="en-US" w:eastAsia="zh-CN"/>
              </w:rPr>
              <w:t>21.2</w:t>
            </w:r>
            <w:r>
              <w:rPr>
                <w:color w:val="auto"/>
                <w:highlight w:val="none"/>
              </w:rPr>
              <w:t>%。</w:t>
            </w:r>
            <w:r>
              <w:rPr>
                <w:rFonts w:hint="eastAsia"/>
                <w:color w:val="auto"/>
                <w:highlight w:val="none"/>
                <w:lang w:val="en-US" w:eastAsia="zh-CN"/>
              </w:rPr>
              <w:t>非正常工况虽不致周边环境超标，但外环境TSP浓度较高，对周边环境质量造成一定的影响。</w:t>
            </w:r>
            <w:r>
              <w:rPr>
                <w:color w:val="auto"/>
                <w:highlight w:val="none"/>
              </w:rPr>
              <w:t>在实际生产运行中应做好设备的维护和保养，确保设备稳定运行，一旦发生非正常工况，应及时在保证安全的情况下停止排污，严禁超标排放。</w:t>
            </w:r>
          </w:p>
          <w:p>
            <w:pPr>
              <w:pStyle w:val="68"/>
              <w:ind w:firstLine="482"/>
              <w:rPr>
                <w:rFonts w:hint="eastAsia"/>
                <w:color w:val="auto"/>
                <w:highlight w:val="none"/>
              </w:rPr>
            </w:pPr>
            <w:r>
              <w:rPr>
                <w:rFonts w:hint="eastAsia"/>
                <w:color w:val="auto"/>
                <w:highlight w:val="none"/>
                <w:lang w:val="en-US" w:eastAsia="zh-CN"/>
              </w:rPr>
              <w:t>表4.3.10喷砂工序废气</w:t>
            </w:r>
            <w:r>
              <w:rPr>
                <w:color w:val="auto"/>
                <w:highlight w:val="none"/>
              </w:rPr>
              <w:t>排气筒</w:t>
            </w:r>
            <w:r>
              <w:rPr>
                <w:rFonts w:hint="eastAsia"/>
                <w:color w:val="auto"/>
                <w:highlight w:val="none"/>
              </w:rPr>
              <w:t>非正常排放一览表</w:t>
            </w:r>
          </w:p>
          <w:tbl>
            <w:tblPr>
              <w:tblStyle w:val="29"/>
              <w:tblW w:w="8196" w:type="dxa"/>
              <w:tblInd w:w="-6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0"/>
              <w:gridCol w:w="1079"/>
              <w:gridCol w:w="470"/>
              <w:gridCol w:w="820"/>
              <w:gridCol w:w="1063"/>
              <w:gridCol w:w="1063"/>
              <w:gridCol w:w="1328"/>
              <w:gridCol w:w="1118"/>
              <w:gridCol w:w="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7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序号</w:t>
                  </w:r>
                </w:p>
              </w:tc>
              <w:tc>
                <w:tcPr>
                  <w:tcW w:w="107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污染源</w:t>
                  </w:r>
                </w:p>
              </w:tc>
              <w:tc>
                <w:tcPr>
                  <w:tcW w:w="47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b w:val="0"/>
                      <w:color w:val="auto"/>
                      <w:highlight w:val="none"/>
                    </w:rPr>
                    <w:t>类型</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b w:val="0"/>
                      <w:color w:val="auto"/>
                      <w:highlight w:val="none"/>
                    </w:rPr>
                    <w:t>污染物</w:t>
                  </w:r>
                </w:p>
              </w:tc>
              <w:tc>
                <w:tcPr>
                  <w:tcW w:w="106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非正常排放速率（kg/h）</w:t>
                  </w:r>
                </w:p>
              </w:tc>
              <w:tc>
                <w:tcPr>
                  <w:tcW w:w="106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b w:val="0"/>
                      <w:color w:val="auto"/>
                      <w:highlight w:val="none"/>
                    </w:rPr>
                    <w:t>评价标准(μg/m³)</w:t>
                  </w:r>
                </w:p>
              </w:tc>
              <w:tc>
                <w:tcPr>
                  <w:tcW w:w="13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b w:val="0"/>
                      <w:color w:val="auto"/>
                      <w:highlight w:val="none"/>
                    </w:rPr>
                    <w:t>最大落地浓度（μg/m</w:t>
                  </w:r>
                  <w:r>
                    <w:rPr>
                      <w:b w:val="0"/>
                      <w:color w:val="auto"/>
                      <w:highlight w:val="none"/>
                      <w:vertAlign w:val="superscript"/>
                    </w:rPr>
                    <w:t>3</w:t>
                  </w:r>
                  <w:r>
                    <w:rPr>
                      <w:b w:val="0"/>
                      <w:color w:val="auto"/>
                      <w:highlight w:val="none"/>
                    </w:rPr>
                    <w:t>）</w:t>
                  </w:r>
                </w:p>
              </w:tc>
              <w:tc>
                <w:tcPr>
                  <w:tcW w:w="111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b w:val="0"/>
                      <w:color w:val="auto"/>
                      <w:highlight w:val="none"/>
                    </w:rPr>
                    <w:t>Pmax对应距离</w:t>
                  </w:r>
                </w:p>
                <w:p>
                  <w:pPr>
                    <w:pStyle w:val="70"/>
                    <w:rPr>
                      <w:rFonts w:hint="default"/>
                      <w:b w:val="0"/>
                      <w:color w:val="auto"/>
                      <w:highlight w:val="none"/>
                      <w:lang w:val="en-US" w:eastAsia="zh-CN"/>
                    </w:rPr>
                  </w:pPr>
                  <w:r>
                    <w:rPr>
                      <w:b w:val="0"/>
                      <w:color w:val="auto"/>
                      <w:highlight w:val="none"/>
                    </w:rPr>
                    <w:t>（m）</w:t>
                  </w:r>
                </w:p>
              </w:tc>
              <w:tc>
                <w:tcPr>
                  <w:tcW w:w="78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b w:val="0"/>
                      <w:color w:val="auto"/>
                      <w:highlight w:val="none"/>
                    </w:rPr>
                    <w:t>Pmax</w:t>
                  </w:r>
                </w:p>
                <w:p>
                  <w:pPr>
                    <w:pStyle w:val="70"/>
                    <w:rPr>
                      <w:rFonts w:hint="default"/>
                      <w:b w:val="0"/>
                      <w:color w:val="auto"/>
                      <w:highlight w:val="none"/>
                      <w:lang w:val="en-US" w:eastAsia="zh-CN"/>
                    </w:rPr>
                  </w:pPr>
                  <w:r>
                    <w:rPr>
                      <w:b w:val="0"/>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47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w:t>
                  </w:r>
                </w:p>
              </w:tc>
              <w:tc>
                <w:tcPr>
                  <w:tcW w:w="107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 xml:space="preserve">喷砂工序排气筒1 </w:t>
                  </w:r>
                </w:p>
              </w:tc>
              <w:tc>
                <w:tcPr>
                  <w:tcW w:w="47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点源</w:t>
                  </w:r>
                </w:p>
              </w:tc>
              <w:tc>
                <w:tcPr>
                  <w:tcW w:w="82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TSP</w:t>
                  </w:r>
                </w:p>
              </w:tc>
              <w:tc>
                <w:tcPr>
                  <w:tcW w:w="106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5</w:t>
                  </w:r>
                </w:p>
              </w:tc>
              <w:tc>
                <w:tcPr>
                  <w:tcW w:w="106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900</w:t>
                  </w:r>
                </w:p>
              </w:tc>
              <w:tc>
                <w:tcPr>
                  <w:tcW w:w="13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191</w:t>
                  </w:r>
                </w:p>
              </w:tc>
              <w:tc>
                <w:tcPr>
                  <w:tcW w:w="111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100</w:t>
                  </w:r>
                </w:p>
              </w:tc>
              <w:tc>
                <w:tcPr>
                  <w:tcW w:w="78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21.2</w:t>
                  </w:r>
                </w:p>
              </w:tc>
            </w:tr>
          </w:tbl>
          <w:p>
            <w:pPr>
              <w:pStyle w:val="68"/>
              <w:ind w:firstLine="482"/>
              <w:rPr>
                <w:rFonts w:hint="default"/>
                <w:color w:val="auto"/>
                <w:highlight w:val="none"/>
                <w:lang w:val="en-US" w:eastAsia="zh-CN"/>
              </w:rPr>
            </w:pPr>
          </w:p>
          <w:p>
            <w:pPr>
              <w:pStyle w:val="72"/>
              <w:ind w:firstLine="482"/>
              <w:rPr>
                <w:b/>
                <w:bCs/>
                <w:color w:val="auto"/>
                <w:highlight w:val="none"/>
              </w:rPr>
            </w:pPr>
            <w:r>
              <w:rPr>
                <w:rFonts w:hint="eastAsia"/>
                <w:b/>
                <w:bCs/>
                <w:color w:val="auto"/>
                <w:highlight w:val="none"/>
              </w:rPr>
              <w:t>（3）环保措施可行性分析</w:t>
            </w:r>
          </w:p>
          <w:p>
            <w:pPr>
              <w:pStyle w:val="72"/>
              <w:ind w:firstLine="480"/>
              <w:rPr>
                <w:rFonts w:hint="eastAsia" w:ascii="宋体" w:hAnsi="宋体" w:eastAsia="宋体" w:cs="宋体"/>
                <w:color w:val="auto"/>
                <w:kern w:val="0"/>
                <w:sz w:val="24"/>
                <w:szCs w:val="24"/>
                <w:highlight w:val="none"/>
                <w:lang w:val="en-US" w:eastAsia="zh-CN" w:bidi="ar"/>
              </w:rPr>
            </w:pPr>
            <w:r>
              <w:rPr>
                <w:rFonts w:hint="eastAsia"/>
                <w:color w:val="auto"/>
                <w:highlight w:val="none"/>
                <w:lang w:val="en-US" w:eastAsia="zh-CN"/>
              </w:rPr>
              <w:t>参考</w:t>
            </w:r>
            <w:r>
              <w:rPr>
                <w:rFonts w:hint="eastAsia"/>
                <w:color w:val="auto"/>
                <w:highlight w:val="none"/>
              </w:rPr>
              <w:t>《排污许可证申请与核发技术规范</w:t>
            </w:r>
            <w:r>
              <w:rPr>
                <w:rFonts w:hint="eastAsia"/>
                <w:color w:val="auto"/>
                <w:highlight w:val="none"/>
                <w:lang w:val="en-US" w:eastAsia="zh-CN"/>
              </w:rPr>
              <w:t xml:space="preserve"> </w:t>
            </w:r>
            <w:r>
              <w:rPr>
                <w:rFonts w:hint="eastAsia"/>
                <w:color w:val="auto"/>
                <w:highlight w:val="none"/>
              </w:rPr>
              <w:t>电子工业》（HJ1031-2019）</w:t>
            </w:r>
            <w:r>
              <w:rPr>
                <w:rFonts w:hint="eastAsia"/>
                <w:color w:val="auto"/>
                <w:highlight w:val="none"/>
                <w:lang w:eastAsia="zh-CN"/>
              </w:rPr>
              <w:t>，</w:t>
            </w:r>
            <w:r>
              <w:rPr>
                <w:rFonts w:hint="eastAsia"/>
                <w:color w:val="auto"/>
                <w:highlight w:val="none"/>
                <w:lang w:val="en-US" w:eastAsia="zh-CN"/>
              </w:rPr>
              <w:t>机加工过程产生的粉尘采用密闭操作</w:t>
            </w:r>
            <w:r>
              <w:rPr>
                <w:rFonts w:hint="eastAsia"/>
                <w:color w:val="auto"/>
                <w:highlight w:val="none"/>
              </w:rPr>
              <w:t>、废气收集、排至布袋除尘器处理后排放等均属于可行技术</w:t>
            </w:r>
            <w:r>
              <w:rPr>
                <w:rFonts w:hint="eastAsia"/>
                <w:color w:val="auto"/>
                <w:highlight w:val="none"/>
                <w:lang w:eastAsia="zh-CN"/>
              </w:rPr>
              <w:t>。</w:t>
            </w:r>
            <w:r>
              <w:rPr>
                <w:rFonts w:hint="eastAsia"/>
                <w:color w:val="auto"/>
                <w:highlight w:val="none"/>
                <w:lang w:val="en-US" w:eastAsia="zh-CN"/>
              </w:rPr>
              <w:t>对照《国家污染防治技术指导目录》（2025 年），易燃易爆粉尘采用喷淋洗涤的处理技术属于低效类技术</w:t>
            </w:r>
            <w:r>
              <w:rPr>
                <w:rFonts w:ascii="宋体" w:hAnsi="宋体" w:eastAsia="宋体" w:cs="宋体"/>
                <w:color w:val="auto"/>
                <w:sz w:val="24"/>
                <w:szCs w:val="24"/>
                <w:highlight w:val="none"/>
              </w:rPr>
              <w:t>排除范围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因本项目抛光过程涉及铝靶材，铝粉属于易燃易爆粉尘，因此，抛光工序须采用湿法除尘，减少安全影响，此外，根据企业现有工程的验收、自行监测结果，现有工程抛光、喷砂粉尘采用喷淋除尘工艺，粉尘排放速率、浓度均可符合</w:t>
            </w:r>
            <w:r>
              <w:rPr>
                <w:rFonts w:hint="eastAsia" w:ascii="宋体" w:hAnsi="宋体" w:eastAsia="宋体" w:cs="宋体"/>
                <w:color w:val="auto"/>
                <w:kern w:val="0"/>
                <w:sz w:val="24"/>
                <w:szCs w:val="24"/>
                <w:highlight w:val="none"/>
                <w:lang w:val="en-US" w:eastAsia="zh-CN" w:bidi="ar"/>
              </w:rPr>
              <w:t>《大气污染物综合排放标准》（</w:t>
            </w:r>
            <w:r>
              <w:rPr>
                <w:rFonts w:hint="default" w:ascii="宋体" w:hAnsi="宋体" w:eastAsia="宋体" w:cs="宋体"/>
                <w:color w:val="auto"/>
                <w:kern w:val="0"/>
                <w:sz w:val="24"/>
                <w:szCs w:val="24"/>
                <w:highlight w:val="none"/>
                <w:lang w:val="en-US" w:eastAsia="zh-CN" w:bidi="ar"/>
              </w:rPr>
              <w:t>GB16297-1996</w:t>
            </w:r>
            <w:r>
              <w:rPr>
                <w:rFonts w:hint="eastAsia" w:ascii="宋体" w:hAnsi="宋体" w:eastAsia="宋体" w:cs="宋体"/>
                <w:color w:val="auto"/>
                <w:kern w:val="0"/>
                <w:sz w:val="24"/>
                <w:szCs w:val="24"/>
                <w:highlight w:val="none"/>
                <w:lang w:val="en-US" w:eastAsia="zh-CN" w:bidi="ar"/>
              </w:rPr>
              <w:t xml:space="preserve">）表 </w:t>
            </w:r>
            <w:r>
              <w:rPr>
                <w:rFonts w:hint="default" w:ascii="宋体" w:hAnsi="宋体" w:eastAsia="宋体" w:cs="宋体"/>
                <w:color w:val="auto"/>
                <w:kern w:val="0"/>
                <w:sz w:val="24"/>
                <w:szCs w:val="24"/>
                <w:highlight w:val="none"/>
                <w:lang w:val="en-US" w:eastAsia="zh-CN" w:bidi="ar"/>
              </w:rPr>
              <w:t xml:space="preserve">2 </w:t>
            </w:r>
            <w:r>
              <w:rPr>
                <w:rFonts w:hint="eastAsia" w:ascii="宋体" w:hAnsi="宋体" w:eastAsia="宋体" w:cs="宋体"/>
                <w:color w:val="auto"/>
                <w:kern w:val="0"/>
                <w:sz w:val="24"/>
                <w:szCs w:val="24"/>
                <w:highlight w:val="none"/>
                <w:lang w:val="en-US" w:eastAsia="zh-CN" w:bidi="ar"/>
              </w:rPr>
              <w:t xml:space="preserve">中的颗粒物二级排放标准即颗粒物最高允许排放浓度为 </w:t>
            </w:r>
            <w:r>
              <w:rPr>
                <w:rFonts w:hint="default" w:ascii="宋体" w:hAnsi="宋体" w:eastAsia="宋体" w:cs="宋体"/>
                <w:color w:val="auto"/>
                <w:kern w:val="0"/>
                <w:sz w:val="24"/>
                <w:szCs w:val="24"/>
                <w:highlight w:val="none"/>
                <w:lang w:val="en-US" w:eastAsia="zh-CN" w:bidi="ar"/>
              </w:rPr>
              <w:t>120mg/m</w:t>
            </w:r>
            <w:r>
              <w:rPr>
                <w:rFonts w:hint="default" w:ascii="宋体" w:hAnsi="宋体" w:eastAsia="宋体" w:cs="宋体"/>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、其排放速率为 3.5</w:t>
            </w:r>
            <w:r>
              <w:rPr>
                <w:rFonts w:hint="default" w:ascii="宋体" w:hAnsi="宋体" w:eastAsia="宋体" w:cs="宋体"/>
                <w:color w:val="auto"/>
                <w:kern w:val="0"/>
                <w:sz w:val="24"/>
                <w:szCs w:val="24"/>
                <w:highlight w:val="none"/>
                <w:lang w:val="en-US" w:eastAsia="zh-CN" w:bidi="ar"/>
              </w:rPr>
              <w:t>kg/h</w:t>
            </w:r>
            <w:r>
              <w:rPr>
                <w:rFonts w:hint="eastAsia" w:ascii="宋体" w:hAnsi="宋体" w:eastAsia="宋体" w:cs="宋体"/>
                <w:color w:val="auto"/>
                <w:kern w:val="0"/>
                <w:sz w:val="24"/>
                <w:szCs w:val="24"/>
                <w:highlight w:val="none"/>
                <w:lang w:val="en-US" w:eastAsia="zh-CN" w:bidi="ar"/>
              </w:rPr>
              <w:t>（排气筒高度15m）及严格50%执行的排放速率1.75kg/h的要求。</w:t>
            </w:r>
          </w:p>
          <w:p>
            <w:pPr>
              <w:pStyle w:val="72"/>
              <w:ind w:firstLine="480"/>
              <w:rPr>
                <w:color w:val="auto"/>
                <w:highlight w:val="none"/>
              </w:rPr>
            </w:pPr>
            <w:r>
              <w:rPr>
                <w:rFonts w:hint="eastAsia"/>
                <w:color w:val="auto"/>
                <w:highlight w:val="none"/>
                <w:lang w:val="en-US" w:eastAsia="zh-CN"/>
              </w:rPr>
              <w:t>本项目清洁工序仅使用极少量的酒精擦拭，因擦拭过程酒精使用量少，使用点较分散，因此，未采取收集处理措施，根据估算模式预测结果，其最大落地浓度远低于</w:t>
            </w:r>
            <w:r>
              <w:rPr>
                <w:rFonts w:hint="eastAsia"/>
                <w:color w:val="auto"/>
                <w:highlight w:val="none"/>
              </w:rPr>
              <w:t>《工业企业挥发性有机物排放标准》（DB35/1782—2018）的</w:t>
            </w:r>
            <w:r>
              <w:rPr>
                <w:rFonts w:hint="eastAsia"/>
                <w:color w:val="auto"/>
                <w:highlight w:val="none"/>
                <w:lang w:val="en-US" w:eastAsia="zh-CN"/>
              </w:rPr>
              <w:t>无</w:t>
            </w:r>
            <w:r>
              <w:rPr>
                <w:rFonts w:hint="eastAsia"/>
                <w:color w:val="auto"/>
                <w:highlight w:val="none"/>
              </w:rPr>
              <w:t>组织排放要求。</w:t>
            </w:r>
          </w:p>
          <w:p>
            <w:pPr>
              <w:pStyle w:val="72"/>
              <w:ind w:firstLine="0" w:firstLineChars="0"/>
              <w:rPr>
                <w:b/>
                <w:bCs/>
                <w:color w:val="auto"/>
                <w:highlight w:val="none"/>
              </w:rPr>
            </w:pPr>
            <w:r>
              <w:rPr>
                <w:rFonts w:hint="eastAsia"/>
                <w:b/>
                <w:bCs/>
                <w:color w:val="auto"/>
                <w:highlight w:val="none"/>
                <w:lang w:val="en-US" w:eastAsia="zh-CN"/>
              </w:rPr>
              <w:t>4.4</w:t>
            </w:r>
            <w:r>
              <w:rPr>
                <w:rFonts w:hint="eastAsia"/>
                <w:b/>
                <w:bCs/>
                <w:color w:val="auto"/>
                <w:highlight w:val="none"/>
              </w:rPr>
              <w:t>噪声</w:t>
            </w:r>
          </w:p>
          <w:p>
            <w:pPr>
              <w:pStyle w:val="72"/>
              <w:ind w:firstLine="480"/>
              <w:rPr>
                <w:rFonts w:hint="eastAsia" w:eastAsia="宋体"/>
                <w:color w:val="auto"/>
                <w:highlight w:val="none"/>
                <w:lang w:val="en-US" w:eastAsia="zh-CN"/>
              </w:rPr>
            </w:pPr>
            <w:r>
              <w:rPr>
                <w:rFonts w:hint="eastAsia"/>
                <w:color w:val="auto"/>
                <w:highlight w:val="none"/>
              </w:rPr>
              <w:t>（1）噪声源</w:t>
            </w:r>
            <w:r>
              <w:rPr>
                <w:rFonts w:hint="eastAsia"/>
                <w:color w:val="auto"/>
                <w:highlight w:val="none"/>
                <w:lang w:val="en-US" w:eastAsia="zh-CN"/>
              </w:rPr>
              <w:t>强</w:t>
            </w:r>
          </w:p>
          <w:p>
            <w:pPr>
              <w:pStyle w:val="72"/>
              <w:ind w:firstLine="480"/>
              <w:rPr>
                <w:rFonts w:hint="eastAsia"/>
                <w:color w:val="auto"/>
                <w:highlight w:val="none"/>
              </w:rPr>
            </w:pPr>
            <w:r>
              <w:rPr>
                <w:rFonts w:hint="eastAsia"/>
                <w:color w:val="auto"/>
                <w:highlight w:val="none"/>
              </w:rPr>
              <w:t>本项目噪声源较多，</w:t>
            </w:r>
            <w:r>
              <w:rPr>
                <w:rFonts w:hint="eastAsia"/>
                <w:color w:val="auto"/>
                <w:highlight w:val="none"/>
                <w:lang w:eastAsia="zh-CN"/>
              </w:rPr>
              <w:t>以机械噪声为主</w:t>
            </w:r>
            <w:r>
              <w:rPr>
                <w:rFonts w:hint="eastAsia"/>
                <w:color w:val="auto"/>
                <w:highlight w:val="none"/>
              </w:rPr>
              <w:t>，噪声级一般介于60~</w:t>
            </w:r>
            <w:r>
              <w:rPr>
                <w:rFonts w:hint="eastAsia"/>
                <w:color w:val="auto"/>
                <w:highlight w:val="none"/>
                <w:lang w:val="en-US" w:eastAsia="zh-CN"/>
              </w:rPr>
              <w:t>10</w:t>
            </w:r>
            <w:r>
              <w:rPr>
                <w:rFonts w:hint="eastAsia"/>
                <w:color w:val="auto"/>
                <w:highlight w:val="none"/>
              </w:rPr>
              <w:t>5dB（A）之间。各噪声源均安置在厂房车间内，产噪设备采取隔声、减</w:t>
            </w:r>
            <w:r>
              <w:rPr>
                <w:rFonts w:hint="eastAsia"/>
                <w:color w:val="auto"/>
                <w:highlight w:val="none"/>
                <w:lang w:val="en-US" w:eastAsia="zh-CN"/>
              </w:rPr>
              <w:t>振</w:t>
            </w:r>
            <w:r>
              <w:rPr>
                <w:rFonts w:hint="eastAsia"/>
                <w:color w:val="auto"/>
                <w:highlight w:val="none"/>
              </w:rPr>
              <w:t>等措施。建设工程的噪声源强见表4.</w:t>
            </w:r>
            <w:r>
              <w:rPr>
                <w:rFonts w:hint="eastAsia"/>
                <w:color w:val="auto"/>
                <w:highlight w:val="none"/>
                <w:lang w:val="en-US" w:eastAsia="zh-CN"/>
              </w:rPr>
              <w:t>4</w:t>
            </w:r>
            <w:r>
              <w:rPr>
                <w:rFonts w:hint="eastAsia"/>
                <w:color w:val="auto"/>
                <w:highlight w:val="none"/>
              </w:rPr>
              <w:t>.1。</w:t>
            </w:r>
          </w:p>
          <w:p>
            <w:pPr>
              <w:pStyle w:val="72"/>
              <w:ind w:firstLine="480"/>
              <w:rPr>
                <w:rFonts w:hint="eastAsia"/>
                <w:color w:val="auto"/>
                <w:highlight w:val="none"/>
              </w:rPr>
            </w:pPr>
          </w:p>
          <w:p>
            <w:pPr>
              <w:pStyle w:val="68"/>
              <w:rPr>
                <w:color w:val="auto"/>
                <w:highlight w:val="none"/>
              </w:rPr>
            </w:pPr>
            <w:r>
              <w:rPr>
                <w:rFonts w:hint="eastAsia"/>
                <w:color w:val="auto"/>
                <w:highlight w:val="none"/>
              </w:rPr>
              <w:t>表4.</w:t>
            </w:r>
            <w:r>
              <w:rPr>
                <w:rFonts w:hint="eastAsia"/>
                <w:color w:val="auto"/>
                <w:highlight w:val="none"/>
                <w:lang w:val="en-US" w:eastAsia="zh-CN"/>
              </w:rPr>
              <w:t>4</w:t>
            </w:r>
            <w:r>
              <w:rPr>
                <w:rFonts w:hint="eastAsia"/>
                <w:color w:val="auto"/>
                <w:highlight w:val="none"/>
              </w:rPr>
              <w:t>.1项目新增设备噪声源强</w:t>
            </w:r>
            <w:r>
              <w:rPr>
                <w:rFonts w:hint="eastAsia"/>
                <w:color w:val="auto"/>
                <w:highlight w:val="none"/>
                <w:lang w:val="en-US" w:eastAsia="zh-CN"/>
              </w:rPr>
              <w:t>及拟采取的措施</w:t>
            </w:r>
            <w:r>
              <w:rPr>
                <w:rFonts w:hint="eastAsia"/>
                <w:color w:val="auto"/>
                <w:highlight w:val="none"/>
              </w:rPr>
              <w:t>一览表</w:t>
            </w:r>
          </w:p>
          <w:tbl>
            <w:tblPr>
              <w:tblStyle w:val="29"/>
              <w:tblW w:w="8188"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3"/>
              <w:gridCol w:w="2010"/>
              <w:gridCol w:w="1095"/>
              <w:gridCol w:w="1515"/>
              <w:gridCol w:w="1635"/>
              <w:gridCol w:w="11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序号</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设备名称</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数量（台）</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sz w:val="21"/>
                      <w:szCs w:val="21"/>
                      <w:highlight w:val="none"/>
                    </w:rPr>
                  </w:pPr>
                  <w:r>
                    <w:rPr>
                      <w:rFonts w:hint="eastAsia"/>
                      <w:b w:val="0"/>
                      <w:color w:val="auto"/>
                      <w:sz w:val="21"/>
                      <w:szCs w:val="21"/>
                      <w:highlight w:val="none"/>
                    </w:rPr>
                    <w:t>声级dB（A）</w:t>
                  </w:r>
                </w:p>
              </w:tc>
              <w:tc>
                <w:tcPr>
                  <w:tcW w:w="16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降噪措施</w:t>
                  </w:r>
                </w:p>
              </w:tc>
              <w:tc>
                <w:tcPr>
                  <w:tcW w:w="11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sz w:val="21"/>
                      <w:szCs w:val="21"/>
                      <w:highlight w:val="none"/>
                      <w:lang w:val="en-US" w:eastAsia="zh-CN"/>
                    </w:rPr>
                  </w:pPr>
                  <w:r>
                    <w:rPr>
                      <w:rFonts w:hint="eastAsia"/>
                      <w:b w:val="0"/>
                      <w:color w:val="auto"/>
                      <w:sz w:val="21"/>
                      <w:szCs w:val="21"/>
                      <w:highlight w:val="none"/>
                      <w:lang w:val="en-US" w:eastAsia="zh-CN"/>
                    </w:rPr>
                    <w:t>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rPr>
                    <w:t>1</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液锻机</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sz w:val="21"/>
                      <w:szCs w:val="21"/>
                      <w:highlight w:val="none"/>
                      <w:lang w:val="en-US" w:eastAsia="zh-CN"/>
                    </w:rPr>
                  </w:pPr>
                  <w:r>
                    <w:rPr>
                      <w:rFonts w:hint="eastAsia"/>
                      <w:b w:val="0"/>
                      <w:color w:val="auto"/>
                      <w:sz w:val="21"/>
                      <w:szCs w:val="21"/>
                      <w:highlight w:val="none"/>
                      <w:lang w:val="en-US" w:eastAsia="zh-CN"/>
                    </w:rPr>
                    <w:t>1</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70~90</w:t>
                  </w:r>
                </w:p>
              </w:tc>
              <w:tc>
                <w:tcPr>
                  <w:tcW w:w="1635"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1"/>
                      <w:highlight w:val="none"/>
                      <w:lang w:val="en-US" w:eastAsia="zh-CN" w:bidi="ar-SA"/>
                    </w:rPr>
                  </w:pPr>
                  <w:r>
                    <w:rPr>
                      <w:rFonts w:hint="eastAsia" w:ascii="Times New Roman" w:hAnsi="Times New Roman" w:eastAsia="宋体" w:cs="Times New Roman"/>
                      <w:b w:val="0"/>
                      <w:snapToGrid w:val="0"/>
                      <w:color w:val="auto"/>
                      <w:kern w:val="2"/>
                      <w:sz w:val="21"/>
                      <w:szCs w:val="21"/>
                      <w:highlight w:val="none"/>
                      <w:lang w:val="en-US" w:eastAsia="zh-CN" w:bidi="ar-SA"/>
                    </w:rPr>
                    <w:t>建筑隔声、减振</w:t>
                  </w:r>
                </w:p>
              </w:tc>
              <w:tc>
                <w:tcPr>
                  <w:tcW w:w="1110" w:type="dxa"/>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降噪约15dB~30dB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rPr>
                    <w:t>2</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轧机</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sz w:val="21"/>
                      <w:szCs w:val="21"/>
                      <w:highlight w:val="none"/>
                      <w:lang w:val="en-US" w:eastAsia="zh-CN"/>
                    </w:rPr>
                  </w:pPr>
                  <w:r>
                    <w:rPr>
                      <w:rFonts w:hint="eastAsia"/>
                      <w:b w:val="0"/>
                      <w:color w:val="auto"/>
                      <w:sz w:val="21"/>
                      <w:szCs w:val="21"/>
                      <w:highlight w:val="none"/>
                      <w:lang w:val="en-US" w:eastAsia="zh-CN"/>
                    </w:rPr>
                    <w:t>1</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r>
                    <w:rPr>
                      <w:rFonts w:hint="eastAsia"/>
                      <w:b w:val="0"/>
                      <w:color w:val="auto"/>
                      <w:sz w:val="21"/>
                      <w:szCs w:val="21"/>
                      <w:highlight w:val="none"/>
                      <w:lang w:val="en-US" w:eastAsia="zh-CN"/>
                    </w:rPr>
                    <w:t>80</w:t>
                  </w:r>
                  <w:r>
                    <w:rPr>
                      <w:rFonts w:hint="eastAsia"/>
                      <w:b w:val="0"/>
                      <w:color w:val="auto"/>
                      <w:sz w:val="21"/>
                      <w:szCs w:val="21"/>
                      <w:highlight w:val="none"/>
                    </w:rPr>
                    <w:t>~</w:t>
                  </w:r>
                  <w:r>
                    <w:rPr>
                      <w:rFonts w:hint="eastAsia"/>
                      <w:b w:val="0"/>
                      <w:color w:val="auto"/>
                      <w:sz w:val="21"/>
                      <w:szCs w:val="21"/>
                      <w:highlight w:val="none"/>
                      <w:lang w:val="en-US" w:eastAsia="zh-CN"/>
                    </w:rPr>
                    <w:t>95</w:t>
                  </w:r>
                </w:p>
              </w:tc>
              <w:tc>
                <w:tcPr>
                  <w:tcW w:w="1635"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lang w:val="en-US" w:eastAsia="zh-CN"/>
                    </w:rPr>
                  </w:pPr>
                </w:p>
              </w:tc>
              <w:tc>
                <w:tcPr>
                  <w:tcW w:w="1110"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rPr>
                    <w:t>3</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钻攻机</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sz w:val="21"/>
                      <w:szCs w:val="21"/>
                      <w:highlight w:val="none"/>
                      <w:lang w:eastAsia="zh-CN"/>
                    </w:rPr>
                  </w:pPr>
                  <w:r>
                    <w:rPr>
                      <w:rFonts w:hint="eastAsia"/>
                      <w:b w:val="0"/>
                      <w:color w:val="auto"/>
                      <w:sz w:val="21"/>
                      <w:szCs w:val="21"/>
                      <w:highlight w:val="none"/>
                      <w:lang w:val="en-US" w:eastAsia="zh-CN"/>
                    </w:rPr>
                    <w:t>1</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80</w:t>
                  </w:r>
                  <w:r>
                    <w:rPr>
                      <w:rFonts w:hint="eastAsia"/>
                      <w:b w:val="0"/>
                      <w:color w:val="auto"/>
                      <w:sz w:val="21"/>
                      <w:szCs w:val="21"/>
                      <w:highlight w:val="none"/>
                    </w:rPr>
                    <w:t>~</w:t>
                  </w:r>
                  <w:r>
                    <w:rPr>
                      <w:rFonts w:hint="eastAsia"/>
                      <w:b w:val="0"/>
                      <w:color w:val="auto"/>
                      <w:sz w:val="21"/>
                      <w:szCs w:val="21"/>
                      <w:highlight w:val="none"/>
                      <w:lang w:val="en-US" w:eastAsia="zh-CN"/>
                    </w:rPr>
                    <w:t>85</w:t>
                  </w:r>
                </w:p>
              </w:tc>
              <w:tc>
                <w:tcPr>
                  <w:tcW w:w="1635" w:type="dxa"/>
                  <w:vMerge w:val="continue"/>
                  <w:tcBorders>
                    <w:left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1"/>
                      <w:highlight w:val="none"/>
                      <w:lang w:val="en-US" w:eastAsia="zh-CN" w:bidi="ar-SA"/>
                    </w:rPr>
                  </w:pPr>
                </w:p>
              </w:tc>
              <w:tc>
                <w:tcPr>
                  <w:tcW w:w="1110" w:type="dxa"/>
                  <w:vMerge w:val="continue"/>
                  <w:tcBorders>
                    <w:left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rPr>
                    <w:t>4</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lang w:val="en-US" w:eastAsia="zh-CN"/>
                    </w:rPr>
                  </w:pPr>
                  <w:r>
                    <w:rPr>
                      <w:rFonts w:hint="eastAsia" w:ascii="宋体" w:hAnsi="宋体" w:eastAsia="宋体" w:cs="宋体"/>
                      <w:b w:val="0"/>
                      <w:i w:val="0"/>
                      <w:iCs w:val="0"/>
                      <w:color w:val="auto"/>
                      <w:kern w:val="0"/>
                      <w:sz w:val="21"/>
                      <w:szCs w:val="21"/>
                      <w:highlight w:val="none"/>
                      <w:u w:val="none"/>
                      <w:lang w:val="en-US" w:eastAsia="zh-CN" w:bidi="ar"/>
                    </w:rPr>
                    <w:t>锯床</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lang w:val="en-US" w:eastAsia="zh-CN"/>
                    </w:rPr>
                  </w:pPr>
                  <w:r>
                    <w:rPr>
                      <w:rFonts w:hint="eastAsia"/>
                      <w:b w:val="0"/>
                      <w:color w:val="auto"/>
                      <w:sz w:val="21"/>
                      <w:szCs w:val="21"/>
                      <w:highlight w:val="none"/>
                      <w:lang w:val="en-US" w:eastAsia="zh-CN"/>
                    </w:rPr>
                    <w:t>1</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lang w:val="en-US" w:eastAsia="zh-CN"/>
                    </w:rPr>
                  </w:pPr>
                  <w:r>
                    <w:rPr>
                      <w:rFonts w:hint="eastAsia"/>
                      <w:b w:val="0"/>
                      <w:color w:val="auto"/>
                      <w:sz w:val="21"/>
                      <w:szCs w:val="21"/>
                      <w:highlight w:val="none"/>
                      <w:lang w:val="en-US" w:eastAsia="zh-CN"/>
                    </w:rPr>
                    <w:t>80</w:t>
                  </w:r>
                  <w:r>
                    <w:rPr>
                      <w:rFonts w:hint="eastAsia"/>
                      <w:b w:val="0"/>
                      <w:color w:val="auto"/>
                      <w:sz w:val="21"/>
                      <w:szCs w:val="21"/>
                      <w:highlight w:val="none"/>
                    </w:rPr>
                    <w:t>~</w:t>
                  </w:r>
                  <w:r>
                    <w:rPr>
                      <w:rFonts w:hint="eastAsia"/>
                      <w:b w:val="0"/>
                      <w:color w:val="auto"/>
                      <w:sz w:val="21"/>
                      <w:szCs w:val="21"/>
                      <w:highlight w:val="none"/>
                      <w:lang w:val="en-US" w:eastAsia="zh-CN"/>
                    </w:rPr>
                    <w:t>85</w:t>
                  </w:r>
                </w:p>
              </w:tc>
              <w:tc>
                <w:tcPr>
                  <w:tcW w:w="1635"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p>
              </w:tc>
              <w:tc>
                <w:tcPr>
                  <w:tcW w:w="1110"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5</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FFFFFF" w:themeColor="background1"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i w:val="0"/>
                      <w:iCs w:val="0"/>
                      <w:color w:val="auto"/>
                      <w:kern w:val="2"/>
                      <w:sz w:val="21"/>
                      <w:szCs w:val="21"/>
                      <w:highlight w:val="none"/>
                      <w:u w:val="none"/>
                      <w:lang w:val="en-US" w:eastAsia="zh-CN" w:bidi="ar-SA"/>
                    </w:rPr>
                  </w:pPr>
                  <w:r>
                    <w:rPr>
                      <w:rFonts w:hint="eastAsia" w:ascii="宋体" w:hAnsi="宋体" w:eastAsia="宋体" w:cs="宋体"/>
                      <w:b w:val="0"/>
                      <w:i w:val="0"/>
                      <w:iCs w:val="0"/>
                      <w:color w:val="auto"/>
                      <w:kern w:val="0"/>
                      <w:sz w:val="21"/>
                      <w:szCs w:val="21"/>
                      <w:highlight w:val="none"/>
                      <w:u w:val="none"/>
                      <w:lang w:val="en-US" w:eastAsia="zh-CN" w:bidi="ar"/>
                    </w:rPr>
                    <w:t>数控车床</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sz w:val="21"/>
                      <w:szCs w:val="21"/>
                      <w:highlight w:val="none"/>
                      <w:lang w:val="en-US" w:eastAsia="zh-CN"/>
                    </w:rPr>
                  </w:pPr>
                  <w:r>
                    <w:rPr>
                      <w:rFonts w:hint="eastAsia"/>
                      <w:b w:val="0"/>
                      <w:color w:val="auto"/>
                      <w:sz w:val="21"/>
                      <w:szCs w:val="21"/>
                      <w:highlight w:val="none"/>
                      <w:lang w:val="en-US" w:eastAsia="zh-CN"/>
                    </w:rPr>
                    <w:t>9</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sz w:val="21"/>
                      <w:szCs w:val="21"/>
                      <w:highlight w:val="none"/>
                      <w:lang w:val="en-US" w:eastAsia="zh-CN"/>
                    </w:rPr>
                  </w:pPr>
                  <w:r>
                    <w:rPr>
                      <w:rFonts w:hint="eastAsia"/>
                      <w:b w:val="0"/>
                      <w:color w:val="auto"/>
                      <w:sz w:val="21"/>
                      <w:szCs w:val="21"/>
                      <w:highlight w:val="none"/>
                      <w:lang w:val="en-US" w:eastAsia="zh-CN"/>
                    </w:rPr>
                    <w:t>80~85</w:t>
                  </w:r>
                </w:p>
              </w:tc>
              <w:tc>
                <w:tcPr>
                  <w:tcW w:w="1635"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p>
              </w:tc>
              <w:tc>
                <w:tcPr>
                  <w:tcW w:w="1110"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6</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FFFFFF" w:themeColor="background1"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i w:val="0"/>
                      <w:iCs w:val="0"/>
                      <w:color w:val="auto"/>
                      <w:kern w:val="2"/>
                      <w:sz w:val="21"/>
                      <w:szCs w:val="21"/>
                      <w:highlight w:val="none"/>
                      <w:u w:val="none"/>
                      <w:lang w:val="en-US" w:eastAsia="zh-CN" w:bidi="ar-SA"/>
                    </w:rPr>
                  </w:pPr>
                  <w:r>
                    <w:rPr>
                      <w:rFonts w:hint="eastAsia" w:ascii="宋体" w:hAnsi="宋体" w:eastAsia="宋体" w:cs="宋体"/>
                      <w:b w:val="0"/>
                      <w:i w:val="0"/>
                      <w:iCs w:val="0"/>
                      <w:color w:val="auto"/>
                      <w:kern w:val="0"/>
                      <w:sz w:val="21"/>
                      <w:szCs w:val="21"/>
                      <w:highlight w:val="none"/>
                      <w:u w:val="none"/>
                      <w:lang w:val="en-US" w:eastAsia="zh-CN" w:bidi="ar"/>
                    </w:rPr>
                    <w:t>内孔镗床</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sz w:val="21"/>
                      <w:szCs w:val="21"/>
                      <w:highlight w:val="none"/>
                      <w:lang w:val="en-US" w:eastAsia="zh-CN"/>
                    </w:rPr>
                  </w:pPr>
                  <w:r>
                    <w:rPr>
                      <w:rFonts w:hint="eastAsia"/>
                      <w:b w:val="0"/>
                      <w:color w:val="auto"/>
                      <w:sz w:val="21"/>
                      <w:szCs w:val="21"/>
                      <w:highlight w:val="none"/>
                      <w:lang w:val="en-US" w:eastAsia="zh-CN"/>
                    </w:rPr>
                    <w:t>1</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lang w:val="en-US" w:eastAsia="zh-CN"/>
                    </w:rPr>
                  </w:pPr>
                  <w:r>
                    <w:rPr>
                      <w:rFonts w:hint="eastAsia"/>
                      <w:b w:val="0"/>
                      <w:color w:val="auto"/>
                      <w:sz w:val="21"/>
                      <w:szCs w:val="21"/>
                      <w:highlight w:val="none"/>
                      <w:lang w:val="en-US" w:eastAsia="zh-CN"/>
                    </w:rPr>
                    <w:t>80~85</w:t>
                  </w:r>
                </w:p>
              </w:tc>
              <w:tc>
                <w:tcPr>
                  <w:tcW w:w="1635"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p>
              </w:tc>
              <w:tc>
                <w:tcPr>
                  <w:tcW w:w="1110"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7</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FFFFFF" w:themeColor="background1"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型材加工中心</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sz w:val="21"/>
                      <w:szCs w:val="21"/>
                      <w:highlight w:val="none"/>
                      <w:lang w:val="en-US" w:eastAsia="zh-CN"/>
                    </w:rPr>
                  </w:pPr>
                  <w:r>
                    <w:rPr>
                      <w:rFonts w:hint="eastAsia"/>
                      <w:b w:val="0"/>
                      <w:color w:val="auto"/>
                      <w:sz w:val="21"/>
                      <w:szCs w:val="21"/>
                      <w:highlight w:val="none"/>
                      <w:lang w:val="en-US" w:eastAsia="zh-CN"/>
                    </w:rPr>
                    <w:t>3</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80~85</w:t>
                  </w:r>
                </w:p>
              </w:tc>
              <w:tc>
                <w:tcPr>
                  <w:tcW w:w="1635"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p>
              </w:tc>
              <w:tc>
                <w:tcPr>
                  <w:tcW w:w="1110" w:type="dxa"/>
                  <w:vMerge w:val="continue"/>
                  <w:tcBorders>
                    <w:left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8</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FFFFFF" w:themeColor="background1"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i w:val="0"/>
                      <w:iCs w:val="0"/>
                      <w:color w:val="auto"/>
                      <w:kern w:val="0"/>
                      <w:sz w:val="21"/>
                      <w:szCs w:val="21"/>
                      <w:highlight w:val="none"/>
                      <w:u w:val="none"/>
                      <w:lang w:val="en-US" w:eastAsia="zh-CN" w:bidi="ar"/>
                    </w:rPr>
                  </w:pPr>
                  <w:r>
                    <w:rPr>
                      <w:rFonts w:hint="eastAsia" w:ascii="宋体" w:hAnsi="宋体" w:eastAsia="宋体" w:cs="宋体"/>
                      <w:b w:val="0"/>
                      <w:i w:val="0"/>
                      <w:iCs w:val="0"/>
                      <w:color w:val="auto"/>
                      <w:kern w:val="0"/>
                      <w:sz w:val="21"/>
                      <w:szCs w:val="21"/>
                      <w:highlight w:val="none"/>
                      <w:u w:val="none"/>
                      <w:lang w:val="en-US" w:eastAsia="zh-CN" w:bidi="ar"/>
                    </w:rPr>
                    <w:t>龙门加工中心</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sz w:val="21"/>
                      <w:szCs w:val="21"/>
                      <w:highlight w:val="none"/>
                      <w:lang w:val="en-US" w:eastAsia="zh-CN"/>
                    </w:rPr>
                  </w:pPr>
                  <w:r>
                    <w:rPr>
                      <w:rFonts w:hint="eastAsia"/>
                      <w:b w:val="0"/>
                      <w:color w:val="auto"/>
                      <w:sz w:val="21"/>
                      <w:szCs w:val="21"/>
                      <w:highlight w:val="none"/>
                      <w:lang w:val="en-US" w:eastAsia="zh-CN"/>
                    </w:rPr>
                    <w:t>5</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80~85</w:t>
                  </w:r>
                </w:p>
              </w:tc>
              <w:tc>
                <w:tcPr>
                  <w:tcW w:w="1635"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p>
              </w:tc>
              <w:tc>
                <w:tcPr>
                  <w:tcW w:w="1110" w:type="dxa"/>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9</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rPr>
                    <w:t>空压机</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rPr>
                    <w:t>1</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8</w:t>
                  </w:r>
                  <w:r>
                    <w:rPr>
                      <w:rFonts w:hint="eastAsia"/>
                      <w:b w:val="0"/>
                      <w:color w:val="auto"/>
                      <w:sz w:val="21"/>
                      <w:szCs w:val="21"/>
                      <w:highlight w:val="none"/>
                    </w:rPr>
                    <w:t>0~</w:t>
                  </w:r>
                  <w:r>
                    <w:rPr>
                      <w:rFonts w:hint="eastAsia"/>
                      <w:b w:val="0"/>
                      <w:color w:val="auto"/>
                      <w:sz w:val="21"/>
                      <w:szCs w:val="21"/>
                      <w:highlight w:val="none"/>
                      <w:lang w:val="en-US" w:eastAsia="zh-CN"/>
                    </w:rPr>
                    <w:t>90</w:t>
                  </w:r>
                </w:p>
              </w:tc>
              <w:tc>
                <w:tcPr>
                  <w:tcW w:w="16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独立动力房</w:t>
                  </w:r>
                </w:p>
              </w:tc>
              <w:tc>
                <w:tcPr>
                  <w:tcW w:w="11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lang w:val="en-US" w:eastAsia="zh-CN"/>
                    </w:rPr>
                  </w:pPr>
                  <w:r>
                    <w:rPr>
                      <w:rFonts w:hint="eastAsia"/>
                      <w:b w:val="0"/>
                      <w:color w:val="auto"/>
                      <w:sz w:val="21"/>
                      <w:szCs w:val="21"/>
                      <w:highlight w:val="none"/>
                      <w:lang w:val="en-US" w:eastAsia="zh-CN"/>
                    </w:rPr>
                    <w:t>降噪约25dB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10</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除尘风机</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5</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80~90</w:t>
                  </w:r>
                </w:p>
              </w:tc>
              <w:tc>
                <w:tcPr>
                  <w:tcW w:w="16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1"/>
                      <w:highlight w:val="none"/>
                      <w:lang w:val="en-US" w:eastAsia="zh-CN" w:bidi="ar-SA"/>
                    </w:rPr>
                  </w:pPr>
                  <w:r>
                    <w:rPr>
                      <w:rFonts w:hint="eastAsia"/>
                      <w:b w:val="0"/>
                      <w:color w:val="auto"/>
                      <w:sz w:val="21"/>
                      <w:szCs w:val="21"/>
                      <w:highlight w:val="none"/>
                      <w:lang w:val="en-US" w:eastAsia="zh-CN"/>
                    </w:rPr>
                    <w:t>隔声罩、消声器</w:t>
                  </w:r>
                </w:p>
              </w:tc>
              <w:tc>
                <w:tcPr>
                  <w:tcW w:w="11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lang w:val="en-US" w:eastAsia="zh-CN"/>
                    </w:rPr>
                  </w:pPr>
                  <w:r>
                    <w:rPr>
                      <w:rFonts w:hint="eastAsia"/>
                      <w:b w:val="0"/>
                      <w:color w:val="auto"/>
                      <w:sz w:val="21"/>
                      <w:szCs w:val="21"/>
                      <w:highlight w:val="none"/>
                      <w:lang w:val="en-US" w:eastAsia="zh-CN"/>
                    </w:rPr>
                    <w:t>降噪约15dB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3"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11</w:t>
                  </w:r>
                </w:p>
              </w:tc>
              <w:tc>
                <w:tcPr>
                  <w:tcW w:w="20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污水处理站提升泵</w:t>
                  </w:r>
                </w:p>
              </w:tc>
              <w:tc>
                <w:tcPr>
                  <w:tcW w:w="109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sz w:val="21"/>
                      <w:szCs w:val="21"/>
                      <w:highlight w:val="none"/>
                      <w:lang w:val="en-US" w:eastAsia="zh-CN"/>
                    </w:rPr>
                  </w:pPr>
                  <w:r>
                    <w:rPr>
                      <w:rFonts w:hint="eastAsia"/>
                      <w:b w:val="0"/>
                      <w:color w:val="auto"/>
                      <w:sz w:val="21"/>
                      <w:szCs w:val="21"/>
                      <w:highlight w:val="none"/>
                      <w:lang w:val="en-US" w:eastAsia="zh-CN"/>
                    </w:rPr>
                    <w:t>2</w:t>
                  </w:r>
                </w:p>
              </w:tc>
              <w:tc>
                <w:tcPr>
                  <w:tcW w:w="15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70~75</w:t>
                  </w:r>
                </w:p>
              </w:tc>
              <w:tc>
                <w:tcPr>
                  <w:tcW w:w="16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sz w:val="21"/>
                      <w:szCs w:val="21"/>
                      <w:highlight w:val="none"/>
                      <w:lang w:val="en-US" w:eastAsia="zh-CN"/>
                    </w:rPr>
                  </w:pPr>
                  <w:r>
                    <w:rPr>
                      <w:rFonts w:hint="eastAsia"/>
                      <w:b w:val="0"/>
                      <w:color w:val="auto"/>
                      <w:sz w:val="21"/>
                      <w:szCs w:val="21"/>
                      <w:highlight w:val="none"/>
                      <w:lang w:val="en-US" w:eastAsia="zh-CN"/>
                    </w:rPr>
                    <w:t>地下，建筑隔声</w:t>
                  </w:r>
                </w:p>
              </w:tc>
              <w:tc>
                <w:tcPr>
                  <w:tcW w:w="111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sz w:val="21"/>
                      <w:szCs w:val="21"/>
                      <w:highlight w:val="none"/>
                    </w:rPr>
                  </w:pPr>
                  <w:r>
                    <w:rPr>
                      <w:rFonts w:hint="eastAsia"/>
                      <w:b w:val="0"/>
                      <w:color w:val="auto"/>
                      <w:sz w:val="21"/>
                      <w:szCs w:val="21"/>
                      <w:highlight w:val="none"/>
                      <w:lang w:val="en-US" w:eastAsia="zh-CN"/>
                    </w:rPr>
                    <w:t>降噪约25dB</w:t>
                  </w:r>
                </w:p>
              </w:tc>
            </w:tr>
          </w:tbl>
          <w:p>
            <w:pPr>
              <w:pStyle w:val="70"/>
              <w:rPr>
                <w:color w:val="auto"/>
                <w:highlight w:val="none"/>
              </w:rPr>
            </w:pPr>
          </w:p>
          <w:p>
            <w:pPr>
              <w:pStyle w:val="72"/>
              <w:ind w:firstLine="48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）预测模式</w:t>
            </w:r>
          </w:p>
          <w:p>
            <w:pPr>
              <w:pStyle w:val="72"/>
              <w:adjustRightInd w:val="0"/>
              <w:snapToGrid w:val="0"/>
              <w:ind w:firstLine="480"/>
              <w:rPr>
                <w:color w:val="auto"/>
                <w:highlight w:val="none"/>
              </w:rPr>
            </w:pPr>
            <w:r>
              <w:rPr>
                <w:rFonts w:hint="eastAsia"/>
                <w:color w:val="auto"/>
                <w:highlight w:val="none"/>
              </w:rPr>
              <w:t>预测模式采用《环境影响评价技术导则声环境》（HJ2.4-2021）中附录A和附录B推荐的模型。</w:t>
            </w:r>
          </w:p>
          <w:p>
            <w:pPr>
              <w:pStyle w:val="72"/>
              <w:adjustRightInd w:val="0"/>
              <w:snapToGrid w:val="0"/>
              <w:ind w:firstLine="480"/>
              <w:rPr>
                <w:rFonts w:hint="eastAsia"/>
                <w:color w:val="auto"/>
                <w:highlight w:val="none"/>
              </w:rPr>
            </w:pPr>
            <w:r>
              <w:rPr>
                <w:rFonts w:hint="eastAsia"/>
                <w:color w:val="auto"/>
                <w:highlight w:val="none"/>
              </w:rPr>
              <w:t>工业噪声源有室外和室内两种声源，应分别计算。工业噪声源按点声源处理</w:t>
            </w:r>
            <w:r>
              <w:rPr>
                <w:rFonts w:hint="eastAsia"/>
                <w:color w:val="auto"/>
                <w:highlight w:val="none"/>
                <w:lang w:eastAsia="zh-CN"/>
              </w:rPr>
              <w:t>，</w:t>
            </w:r>
            <w:r>
              <w:rPr>
                <w:rFonts w:hint="eastAsia"/>
                <w:color w:val="auto"/>
                <w:highlight w:val="none"/>
              </w:rPr>
              <w:t>声源多位于地面，可近似认为是半自由场的球面波扩散。</w:t>
            </w:r>
          </w:p>
          <w:p>
            <w:pPr>
              <w:pStyle w:val="79"/>
              <w:rPr>
                <w:rStyle w:val="80"/>
                <w:color w:val="auto"/>
                <w:highlight w:val="none"/>
              </w:rPr>
            </w:pPr>
            <w:r>
              <w:rPr>
                <w:rStyle w:val="80"/>
                <w:rFonts w:hint="eastAsia"/>
                <w:color w:val="auto"/>
                <w:highlight w:val="none"/>
                <w:lang w:val="en-US" w:eastAsia="zh-CN"/>
              </w:rPr>
              <w:t>①</w:t>
            </w:r>
            <w:r>
              <w:rPr>
                <w:rStyle w:val="80"/>
                <w:rFonts w:hint="eastAsia"/>
                <w:color w:val="auto"/>
                <w:highlight w:val="none"/>
              </w:rPr>
              <w:t>室外声源</w:t>
            </w:r>
          </w:p>
          <w:p>
            <w:pPr>
              <w:pStyle w:val="79"/>
              <w:rPr>
                <w:rStyle w:val="80"/>
                <w:b/>
                <w:color w:val="auto"/>
                <w:highlight w:val="none"/>
              </w:rPr>
            </w:pPr>
            <w:r>
              <w:rPr>
                <w:rStyle w:val="80"/>
                <w:rFonts w:hint="eastAsia"/>
                <w:color w:val="auto"/>
                <w:highlight w:val="none"/>
              </w:rPr>
              <w:t>室外声源在预测点产生的声级计算模型见附录</w:t>
            </w:r>
            <w:r>
              <w:rPr>
                <w:rStyle w:val="80"/>
                <w:color w:val="auto"/>
                <w:highlight w:val="none"/>
              </w:rPr>
              <w:t>A</w:t>
            </w:r>
            <w:r>
              <w:rPr>
                <w:rStyle w:val="80"/>
                <w:rFonts w:hint="eastAsia"/>
                <w:color w:val="auto"/>
                <w:highlight w:val="none"/>
              </w:rPr>
              <w:t>：</w:t>
            </w:r>
          </w:p>
          <w:p>
            <w:pPr>
              <w:pStyle w:val="79"/>
              <w:rPr>
                <w:color w:val="auto"/>
                <w:highlight w:val="none"/>
              </w:rPr>
            </w:pPr>
            <w:r>
              <w:rPr>
                <w:color w:val="auto"/>
                <w:highlight w:val="none"/>
              </w:rPr>
              <w:t>噪声在传播过程中受到多种因素的干扰，使其产生衰减，根据建设项目噪声源和环境特征，预测过程中考虑了车间等建筑物的屏障作用、空气吸收。预测模式采用点声源处于半自由空间的几何发散模式。</w:t>
            </w:r>
          </w:p>
          <w:p>
            <w:pPr>
              <w:spacing w:line="360" w:lineRule="auto"/>
              <w:ind w:firstLine="480" w:firstLineChars="200"/>
              <w:rPr>
                <w:color w:val="auto"/>
                <w:kern w:val="0"/>
                <w:sz w:val="24"/>
                <w:highlight w:val="none"/>
                <w:lang w:val="zh-CN"/>
              </w:rPr>
            </w:pPr>
            <w:r>
              <w:rPr>
                <w:color w:val="auto"/>
                <w:kern w:val="0"/>
                <w:sz w:val="24"/>
                <w:highlight w:val="none"/>
                <w:lang w:val="zh-CN"/>
              </w:rPr>
              <w:t>1</w:t>
            </w:r>
            <w:r>
              <w:rPr>
                <w:rFonts w:hint="eastAsia"/>
                <w:color w:val="auto"/>
                <w:kern w:val="0"/>
                <w:sz w:val="24"/>
                <w:highlight w:val="none"/>
                <w:lang w:val="zh-CN"/>
              </w:rPr>
              <w:t>.</w:t>
            </w:r>
            <w:r>
              <w:rPr>
                <w:color w:val="auto"/>
                <w:kern w:val="0"/>
                <w:sz w:val="24"/>
                <w:highlight w:val="none"/>
                <w:lang w:val="zh-CN"/>
              </w:rPr>
              <w:t>基本公式</w:t>
            </w:r>
          </w:p>
          <w:p>
            <w:pPr>
              <w:spacing w:line="360" w:lineRule="auto"/>
              <w:ind w:firstLine="480" w:firstLineChars="200"/>
              <w:rPr>
                <w:color w:val="auto"/>
                <w:kern w:val="0"/>
                <w:sz w:val="24"/>
                <w:highlight w:val="none"/>
                <w:lang w:val="zh-CN"/>
              </w:rPr>
            </w:pPr>
            <w:r>
              <w:rPr>
                <w:color w:val="auto"/>
                <w:kern w:val="0"/>
                <w:sz w:val="24"/>
                <w:highlight w:val="none"/>
                <w:lang w:val="zh-CN"/>
              </w:rPr>
              <w:t>户外声传播衰减包括几何发散（</w:t>
            </w:r>
            <w:r>
              <w:rPr>
                <w:rFonts w:ascii="Times New Roman" w:hAnsi="Times New Roman"/>
                <w:i/>
                <w:iCs/>
                <w:color w:val="auto"/>
                <w:kern w:val="0"/>
                <w:sz w:val="24"/>
                <w:highlight w:val="none"/>
                <w:lang w:val="zh-CN"/>
              </w:rPr>
              <w:t>A</w:t>
            </w:r>
            <w:r>
              <w:rPr>
                <w:rFonts w:hint="eastAsia" w:ascii="Times New Roman" w:hAnsi="Times New Roman"/>
                <w:i/>
                <w:iCs/>
                <w:color w:val="auto"/>
                <w:kern w:val="0"/>
                <w:sz w:val="24"/>
                <w:highlight w:val="none"/>
                <w:vertAlign w:val="subscript"/>
                <w:lang w:val="en-US" w:eastAsia="zh-CN"/>
              </w:rPr>
              <w:t>div</w:t>
            </w:r>
            <w:r>
              <w:rPr>
                <w:color w:val="auto"/>
                <w:kern w:val="0"/>
                <w:sz w:val="24"/>
                <w:highlight w:val="none"/>
                <w:lang w:val="zh-CN"/>
              </w:rPr>
              <w:t>）、大气吸收（</w:t>
            </w:r>
            <w:r>
              <w:rPr>
                <w:rFonts w:ascii="Times New Roman" w:hAnsi="Times New Roman"/>
                <w:i/>
                <w:iCs/>
                <w:color w:val="auto"/>
                <w:kern w:val="0"/>
                <w:sz w:val="24"/>
                <w:highlight w:val="none"/>
                <w:lang w:val="zh-CN"/>
              </w:rPr>
              <w:t>A</w:t>
            </w:r>
            <w:r>
              <w:rPr>
                <w:rFonts w:ascii="Times New Roman" w:hAnsi="Times New Roman"/>
                <w:i/>
                <w:iCs/>
                <w:color w:val="auto"/>
                <w:kern w:val="0"/>
                <w:sz w:val="14"/>
                <w:szCs w:val="14"/>
                <w:highlight w:val="none"/>
                <w:lang w:val="zh-CN"/>
              </w:rPr>
              <w:t>atm</w:t>
            </w:r>
            <w:r>
              <w:rPr>
                <w:color w:val="auto"/>
                <w:kern w:val="0"/>
                <w:sz w:val="24"/>
                <w:highlight w:val="none"/>
                <w:lang w:val="zh-CN"/>
              </w:rPr>
              <w:t>）、地面效应（</w:t>
            </w:r>
            <w:r>
              <w:rPr>
                <w:rFonts w:ascii="Times New Roman" w:hAnsi="Times New Roman"/>
                <w:i/>
                <w:iCs/>
                <w:color w:val="auto"/>
                <w:kern w:val="0"/>
                <w:sz w:val="24"/>
                <w:highlight w:val="none"/>
                <w:lang w:val="zh-CN"/>
              </w:rPr>
              <w:t>A</w:t>
            </w:r>
            <w:r>
              <w:rPr>
                <w:rFonts w:hint="eastAsia" w:ascii="Times New Roman" w:hAnsi="Times New Roman"/>
                <w:i/>
                <w:iCs/>
                <w:color w:val="auto"/>
                <w:kern w:val="0"/>
                <w:sz w:val="24"/>
                <w:highlight w:val="none"/>
                <w:vertAlign w:val="subscript"/>
                <w:lang w:val="en-US" w:eastAsia="zh-CN"/>
              </w:rPr>
              <w:t>gr</w:t>
            </w:r>
            <w:r>
              <w:rPr>
                <w:color w:val="auto"/>
                <w:kern w:val="0"/>
                <w:sz w:val="24"/>
                <w:highlight w:val="none"/>
                <w:lang w:val="zh-CN"/>
              </w:rPr>
              <w:t>）、屏障屏蔽（</w:t>
            </w:r>
            <w:r>
              <w:rPr>
                <w:rFonts w:ascii="Times New Roman" w:hAnsi="Times New Roman"/>
                <w:i/>
                <w:iCs/>
                <w:color w:val="auto"/>
                <w:kern w:val="0"/>
                <w:sz w:val="24"/>
                <w:highlight w:val="none"/>
                <w:lang w:val="zh-CN"/>
              </w:rPr>
              <w:t>A</w:t>
            </w:r>
            <w:r>
              <w:rPr>
                <w:rFonts w:hint="eastAsia" w:ascii="Times New Roman" w:hAnsi="Times New Roman"/>
                <w:i/>
                <w:iCs/>
                <w:color w:val="auto"/>
                <w:kern w:val="0"/>
                <w:sz w:val="24"/>
                <w:highlight w:val="none"/>
                <w:vertAlign w:val="subscript"/>
                <w:lang w:val="en-US" w:eastAsia="zh-CN"/>
              </w:rPr>
              <w:t>bar</w:t>
            </w:r>
            <w:r>
              <w:rPr>
                <w:color w:val="auto"/>
                <w:kern w:val="0"/>
                <w:sz w:val="24"/>
                <w:highlight w:val="none"/>
                <w:lang w:val="zh-CN"/>
              </w:rPr>
              <w:t>）、其他多方面效应（</w:t>
            </w:r>
            <w:r>
              <w:rPr>
                <w:rFonts w:ascii="Times New Roman" w:hAnsi="Times New Roman"/>
                <w:i/>
                <w:iCs/>
                <w:color w:val="auto"/>
                <w:kern w:val="0"/>
                <w:sz w:val="24"/>
                <w:highlight w:val="none"/>
                <w:lang w:val="zh-CN"/>
              </w:rPr>
              <w:t>A</w:t>
            </w:r>
            <w:r>
              <w:rPr>
                <w:rFonts w:hint="eastAsia" w:ascii="Times New Roman" w:hAnsi="Times New Roman"/>
                <w:i/>
                <w:iCs/>
                <w:color w:val="auto"/>
                <w:kern w:val="0"/>
                <w:sz w:val="24"/>
                <w:highlight w:val="none"/>
                <w:vertAlign w:val="subscript"/>
                <w:lang w:val="en-US" w:eastAsia="zh-CN"/>
              </w:rPr>
              <w:t>misc</w:t>
            </w:r>
            <w:r>
              <w:rPr>
                <w:color w:val="auto"/>
                <w:kern w:val="0"/>
                <w:sz w:val="24"/>
                <w:highlight w:val="none"/>
                <w:lang w:val="zh-CN"/>
              </w:rPr>
              <w:t>）引起的衰减。</w:t>
            </w:r>
          </w:p>
          <w:p>
            <w:pPr>
              <w:pStyle w:val="72"/>
              <w:adjustRightInd w:val="0"/>
              <w:snapToGrid w:val="0"/>
              <w:ind w:firstLine="480"/>
              <w:rPr>
                <w:color w:val="auto"/>
                <w:highlight w:val="none"/>
              </w:rPr>
            </w:pPr>
            <w:r>
              <w:rPr>
                <w:rFonts w:hint="eastAsia"/>
                <w:color w:val="auto"/>
                <w:highlight w:val="none"/>
                <w:lang w:val="en-US" w:eastAsia="zh-CN"/>
              </w:rPr>
              <w:t>A.</w:t>
            </w:r>
            <w:r>
              <w:rPr>
                <w:rFonts w:hint="eastAsia"/>
                <w:color w:val="auto"/>
                <w:highlight w:val="none"/>
              </w:rPr>
              <w:t>根据声源参考位置处的声压级、户外声传播衰减，计算预测点的声级，按下式进行计算：</w:t>
            </w:r>
          </w:p>
          <w:p>
            <w:pPr>
              <w:spacing w:line="360" w:lineRule="auto"/>
              <w:ind w:firstLine="420" w:firstLineChars="200"/>
              <w:jc w:val="right"/>
              <w:rPr>
                <w:color w:val="auto"/>
                <w:highlight w:val="none"/>
              </w:rPr>
            </w:pPr>
            <m:oMathPara>
              <m:oMath>
                <m:sSub>
                  <m:sSubPr>
                    <m:ctrlPr>
                      <w:rPr>
                        <w:rFonts w:ascii="Cambria Math" w:hAnsi="Cambria Math"/>
                        <w:iCs/>
                        <w:color w:val="auto"/>
                        <w:highlight w:val="none"/>
                      </w:rPr>
                    </m:ctrlPr>
                  </m:sSubPr>
                  <m:e>
                    <m:r>
                      <m:rPr/>
                      <w:rPr>
                        <w:rFonts w:ascii="Cambria Math" w:hAnsi="Cambria Math"/>
                        <w:color w:val="auto"/>
                        <w:highlight w:val="none"/>
                      </w:rPr>
                      <m:t>L</m:t>
                    </m:r>
                    <m:ctrlPr>
                      <w:rPr>
                        <w:rFonts w:ascii="Cambria Math" w:hAnsi="Cambria Math"/>
                        <w:iCs/>
                        <w:color w:val="auto"/>
                        <w:highlight w:val="none"/>
                      </w:rPr>
                    </m:ctrlPr>
                  </m:e>
                  <m:sub>
                    <m:r>
                      <m:rPr/>
                      <w:rPr>
                        <w:rFonts w:ascii="Cambria Math" w:hAnsi="Cambria Math"/>
                        <w:color w:val="auto"/>
                        <w:highlight w:val="none"/>
                      </w:rPr>
                      <m:t>p</m:t>
                    </m:r>
                    <m:ctrlPr>
                      <w:rPr>
                        <w:rFonts w:ascii="Cambria Math" w:hAnsi="Cambria Math"/>
                        <w:iCs/>
                        <w:color w:val="auto"/>
                        <w:highlight w:val="none"/>
                      </w:rPr>
                    </m:ctrlPr>
                  </m:sub>
                </m:sSub>
                <m:d>
                  <m:dPr>
                    <m:ctrlPr>
                      <w:rPr>
                        <w:rFonts w:ascii="Cambria Math" w:hAnsi="Cambria Math"/>
                        <w:i/>
                        <w:iCs/>
                        <w:color w:val="auto"/>
                        <w:highlight w:val="none"/>
                      </w:rPr>
                    </m:ctrlPr>
                  </m:dPr>
                  <m:e>
                    <m:r>
                      <m:rPr/>
                      <w:rPr>
                        <w:rFonts w:ascii="Cambria Math" w:hAnsi="Cambria Math"/>
                        <w:color w:val="auto"/>
                        <w:highlight w:val="none"/>
                      </w:rPr>
                      <m:t>r</m:t>
                    </m:r>
                    <m:ctrlPr>
                      <w:rPr>
                        <w:rFonts w:ascii="Cambria Math" w:hAnsi="Cambria Math"/>
                        <w:i/>
                        <w:iCs/>
                        <w:color w:val="auto"/>
                        <w:highlight w:val="none"/>
                      </w:rPr>
                    </m:ctrlPr>
                  </m:e>
                </m:d>
                <m:r>
                  <m:rPr/>
                  <w:rPr>
                    <w:rFonts w:ascii="Cambria Math" w:hAnsi="Cambria Math"/>
                    <w:color w:val="auto"/>
                    <w:highlight w:val="none"/>
                  </w:rPr>
                  <m:t>=</m:t>
                </m:r>
                <m:sSub>
                  <m:sSubPr>
                    <m:ctrlPr>
                      <w:rPr>
                        <w:rFonts w:ascii="Cambria Math" w:hAnsi="Cambria Math"/>
                        <w:iCs/>
                        <w:color w:val="auto"/>
                        <w:highlight w:val="none"/>
                      </w:rPr>
                    </m:ctrlPr>
                  </m:sSubPr>
                  <m:e>
                    <m:r>
                      <m:rPr/>
                      <w:rPr>
                        <w:rFonts w:ascii="Cambria Math" w:hAnsi="Cambria Math"/>
                        <w:color w:val="auto"/>
                        <w:highlight w:val="none"/>
                      </w:rPr>
                      <m:t>L</m:t>
                    </m:r>
                    <m:ctrlPr>
                      <w:rPr>
                        <w:rFonts w:ascii="Cambria Math" w:hAnsi="Cambria Math"/>
                        <w:iCs/>
                        <w:color w:val="auto"/>
                        <w:highlight w:val="none"/>
                      </w:rPr>
                    </m:ctrlPr>
                  </m:e>
                  <m:sub>
                    <m:r>
                      <m:rPr/>
                      <w:rPr>
                        <w:rFonts w:ascii="Cambria Math" w:hAnsi="Cambria Math"/>
                        <w:color w:val="auto"/>
                        <w:highlight w:val="none"/>
                      </w:rPr>
                      <m:t>p</m:t>
                    </m:r>
                    <m:ctrlPr>
                      <w:rPr>
                        <w:rFonts w:ascii="Cambria Math" w:hAnsi="Cambria Math"/>
                        <w:iCs/>
                        <w:color w:val="auto"/>
                        <w:highlight w:val="none"/>
                      </w:rPr>
                    </m:ctrlPr>
                  </m:sub>
                </m:sSub>
                <m:d>
                  <m:dPr>
                    <m:ctrlPr>
                      <w:rPr>
                        <w:rFonts w:ascii="Cambria Math" w:hAnsi="Cambria Math"/>
                        <w:i/>
                        <w:iCs/>
                        <w:color w:val="auto"/>
                        <w:highlight w:val="none"/>
                      </w:rPr>
                    </m:ctrlPr>
                  </m:dPr>
                  <m:e>
                    <m:sSub>
                      <m:sSubPr>
                        <m:ctrlPr>
                          <w:rPr>
                            <w:rFonts w:ascii="Cambria Math" w:hAnsi="Cambria Math"/>
                            <w:i/>
                            <w:iCs/>
                            <w:color w:val="auto"/>
                            <w:highlight w:val="none"/>
                          </w:rPr>
                        </m:ctrlPr>
                      </m:sSubPr>
                      <m:e>
                        <m:r>
                          <m:rPr/>
                          <w:rPr>
                            <w:rFonts w:ascii="Cambria Math" w:hAnsi="Cambria Math"/>
                            <w:color w:val="auto"/>
                            <w:highlight w:val="none"/>
                          </w:rPr>
                          <m:t>r</m:t>
                        </m:r>
                        <m:ctrlPr>
                          <w:rPr>
                            <w:rFonts w:ascii="Cambria Math" w:hAnsi="Cambria Math"/>
                            <w:i/>
                            <w:iCs/>
                            <w:color w:val="auto"/>
                            <w:highlight w:val="none"/>
                          </w:rPr>
                        </m:ctrlPr>
                      </m:e>
                      <m:sub>
                        <m:r>
                          <m:rPr/>
                          <w:rPr>
                            <w:rFonts w:ascii="Cambria Math" w:hAnsi="Cambria Math"/>
                            <w:color w:val="auto"/>
                            <w:highlight w:val="none"/>
                          </w:rPr>
                          <m:t>0</m:t>
                        </m:r>
                        <m:ctrlPr>
                          <w:rPr>
                            <w:rFonts w:ascii="Cambria Math" w:hAnsi="Cambria Math"/>
                            <w:i/>
                            <w:iCs/>
                            <w:color w:val="auto"/>
                            <w:highlight w:val="none"/>
                          </w:rPr>
                        </m:ctrlPr>
                      </m:sub>
                    </m:sSub>
                    <m:ctrlPr>
                      <w:rPr>
                        <w:rFonts w:ascii="Cambria Math" w:hAnsi="Cambria Math"/>
                        <w:i/>
                        <w:iCs/>
                        <w:color w:val="auto"/>
                        <w:highlight w:val="none"/>
                      </w:rPr>
                    </m:ctrlPr>
                  </m:e>
                </m:d>
                <m:r>
                  <m:rPr/>
                  <w:rPr>
                    <w:rFonts w:ascii="Cambria Math" w:hAnsi="Cambria Math"/>
                    <w:color w:val="auto"/>
                    <w:highlight w:val="none"/>
                  </w:rPr>
                  <m:t>−(</m:t>
                </m:r>
                <m:sSub>
                  <m:sSubPr>
                    <m:ctrlPr>
                      <w:rPr>
                        <w:rFonts w:ascii="Cambria Math" w:hAnsi="Cambria Math"/>
                        <w:i/>
                        <w:iCs/>
                        <w:color w:val="auto"/>
                        <w:highlight w:val="none"/>
                      </w:rPr>
                    </m:ctrlPr>
                  </m:sSubPr>
                  <m:e>
                    <m:r>
                      <m:rPr/>
                      <w:rPr>
                        <w:rFonts w:ascii="Cambria Math" w:hAnsi="Cambria Math"/>
                        <w:color w:val="auto"/>
                        <w:highlight w:val="none"/>
                      </w:rPr>
                      <m:t>A</m:t>
                    </m:r>
                    <m:ctrlPr>
                      <w:rPr>
                        <w:rFonts w:ascii="Cambria Math" w:hAnsi="Cambria Math"/>
                        <w:i/>
                        <w:iCs/>
                        <w:color w:val="auto"/>
                        <w:highlight w:val="none"/>
                      </w:rPr>
                    </m:ctrlPr>
                  </m:e>
                  <m:sub>
                    <m:r>
                      <m:rPr/>
                      <w:rPr>
                        <w:rFonts w:ascii="Cambria Math" w:hAnsi="Cambria Math"/>
                        <w:color w:val="auto"/>
                        <w:highlight w:val="none"/>
                      </w:rPr>
                      <m:t>div</m:t>
                    </m:r>
                    <m:ctrlPr>
                      <w:rPr>
                        <w:rFonts w:ascii="Cambria Math" w:hAnsi="Cambria Math"/>
                        <w:i/>
                        <w:iCs/>
                        <w:color w:val="auto"/>
                        <w:highlight w:val="none"/>
                      </w:rPr>
                    </m:ctrlPr>
                  </m:sub>
                </m:sSub>
                <m:r>
                  <m:rPr/>
                  <w:rPr>
                    <w:rFonts w:ascii="Cambria Math" w:hAnsi="Cambria Math"/>
                    <w:color w:val="auto"/>
                    <w:highlight w:val="none"/>
                  </w:rPr>
                  <m:t>+</m:t>
                </m:r>
                <m:sSub>
                  <m:sSubPr>
                    <m:ctrlPr>
                      <w:rPr>
                        <w:rFonts w:ascii="Cambria Math" w:hAnsi="Cambria Math"/>
                        <w:i/>
                        <w:iCs/>
                        <w:color w:val="auto"/>
                        <w:highlight w:val="none"/>
                      </w:rPr>
                    </m:ctrlPr>
                  </m:sSubPr>
                  <m:e>
                    <m:r>
                      <m:rPr/>
                      <w:rPr>
                        <w:rFonts w:ascii="Cambria Math" w:hAnsi="Cambria Math"/>
                        <w:color w:val="auto"/>
                        <w:highlight w:val="none"/>
                      </w:rPr>
                      <m:t>A</m:t>
                    </m:r>
                    <m:ctrlPr>
                      <w:rPr>
                        <w:rFonts w:ascii="Cambria Math" w:hAnsi="Cambria Math"/>
                        <w:i/>
                        <w:iCs/>
                        <w:color w:val="auto"/>
                        <w:highlight w:val="none"/>
                      </w:rPr>
                    </m:ctrlPr>
                  </m:e>
                  <m:sub>
                    <m:r>
                      <m:rPr/>
                      <w:rPr>
                        <w:rFonts w:ascii="Cambria Math" w:hAnsi="Cambria Math"/>
                        <w:color w:val="auto"/>
                        <w:highlight w:val="none"/>
                      </w:rPr>
                      <m:t>atm</m:t>
                    </m:r>
                    <m:ctrlPr>
                      <w:rPr>
                        <w:rFonts w:ascii="Cambria Math" w:hAnsi="Cambria Math"/>
                        <w:i/>
                        <w:iCs/>
                        <w:color w:val="auto"/>
                        <w:highlight w:val="none"/>
                      </w:rPr>
                    </m:ctrlPr>
                  </m:sub>
                </m:sSub>
                <m:sSub>
                  <m:sSubPr>
                    <m:ctrlPr>
                      <w:rPr>
                        <w:rFonts w:ascii="Cambria Math" w:hAnsi="Cambria Math"/>
                        <w:i/>
                        <w:iCs/>
                        <w:color w:val="auto"/>
                        <w:highlight w:val="none"/>
                      </w:rPr>
                    </m:ctrlPr>
                  </m:sSubPr>
                  <m:e>
                    <m:r>
                      <m:rPr/>
                      <w:rPr>
                        <w:rFonts w:ascii="Cambria Math" w:hAnsi="Cambria Math"/>
                        <w:color w:val="auto"/>
                        <w:highlight w:val="none"/>
                      </w:rPr>
                      <m:t>+A</m:t>
                    </m:r>
                    <m:ctrlPr>
                      <w:rPr>
                        <w:rFonts w:ascii="Cambria Math" w:hAnsi="Cambria Math"/>
                        <w:i/>
                        <w:iCs/>
                        <w:color w:val="auto"/>
                        <w:highlight w:val="none"/>
                      </w:rPr>
                    </m:ctrlPr>
                  </m:e>
                  <m:sub>
                    <m:r>
                      <m:rPr/>
                      <w:rPr>
                        <w:rFonts w:ascii="Cambria Math" w:hAnsi="Cambria Math"/>
                        <w:color w:val="auto"/>
                        <w:highlight w:val="none"/>
                      </w:rPr>
                      <m:t>bar</m:t>
                    </m:r>
                    <m:ctrlPr>
                      <w:rPr>
                        <w:rFonts w:ascii="Cambria Math" w:hAnsi="Cambria Math"/>
                        <w:i/>
                        <w:iCs/>
                        <w:color w:val="auto"/>
                        <w:highlight w:val="none"/>
                      </w:rPr>
                    </m:ctrlPr>
                  </m:sub>
                </m:sSub>
                <m:r>
                  <m:rPr/>
                  <w:rPr>
                    <w:rFonts w:ascii="Cambria Math" w:hAnsi="Cambria Math"/>
                    <w:color w:val="auto"/>
                    <w:highlight w:val="none"/>
                  </w:rPr>
                  <m:t>+</m:t>
                </m:r>
                <m:sSub>
                  <m:sSubPr>
                    <m:ctrlPr>
                      <w:rPr>
                        <w:rFonts w:ascii="Cambria Math" w:hAnsi="Cambria Math"/>
                        <w:i/>
                        <w:iCs/>
                        <w:color w:val="auto"/>
                        <w:highlight w:val="none"/>
                      </w:rPr>
                    </m:ctrlPr>
                  </m:sSubPr>
                  <m:e>
                    <m:r>
                      <m:rPr/>
                      <w:rPr>
                        <w:rFonts w:ascii="Cambria Math" w:hAnsi="Cambria Math"/>
                        <w:color w:val="auto"/>
                        <w:highlight w:val="none"/>
                      </w:rPr>
                      <m:t>A</m:t>
                    </m:r>
                    <m:ctrlPr>
                      <w:rPr>
                        <w:rFonts w:ascii="Cambria Math" w:hAnsi="Cambria Math"/>
                        <w:i/>
                        <w:iCs/>
                        <w:color w:val="auto"/>
                        <w:highlight w:val="none"/>
                      </w:rPr>
                    </m:ctrlPr>
                  </m:e>
                  <m:sub>
                    <m:r>
                      <m:rPr/>
                      <w:rPr>
                        <w:rFonts w:ascii="Cambria Math" w:hAnsi="Cambria Math"/>
                        <w:color w:val="auto"/>
                        <w:highlight w:val="none"/>
                      </w:rPr>
                      <m:t>gr</m:t>
                    </m:r>
                    <m:ctrlPr>
                      <w:rPr>
                        <w:rFonts w:ascii="Cambria Math" w:hAnsi="Cambria Math"/>
                        <w:i/>
                        <w:iCs/>
                        <w:color w:val="auto"/>
                        <w:highlight w:val="none"/>
                      </w:rPr>
                    </m:ctrlPr>
                  </m:sub>
                </m:sSub>
                <m:r>
                  <m:rPr/>
                  <w:rPr>
                    <w:rFonts w:ascii="Cambria Math" w:hAnsi="Cambria Math"/>
                    <w:color w:val="auto"/>
                    <w:highlight w:val="none"/>
                  </w:rPr>
                  <m:t>+</m:t>
                </m:r>
                <m:sSub>
                  <m:sSubPr>
                    <m:ctrlPr>
                      <w:rPr>
                        <w:rFonts w:ascii="Cambria Math" w:hAnsi="Cambria Math"/>
                        <w:i/>
                        <w:iCs/>
                        <w:color w:val="auto"/>
                        <w:highlight w:val="none"/>
                      </w:rPr>
                    </m:ctrlPr>
                  </m:sSubPr>
                  <m:e>
                    <m:r>
                      <m:rPr/>
                      <w:rPr>
                        <w:rFonts w:ascii="Cambria Math" w:hAnsi="Cambria Math"/>
                        <w:color w:val="auto"/>
                        <w:highlight w:val="none"/>
                      </w:rPr>
                      <m:t>A</m:t>
                    </m:r>
                    <m:ctrlPr>
                      <w:rPr>
                        <w:rFonts w:ascii="Cambria Math" w:hAnsi="Cambria Math"/>
                        <w:i/>
                        <w:iCs/>
                        <w:color w:val="auto"/>
                        <w:highlight w:val="none"/>
                      </w:rPr>
                    </m:ctrlPr>
                  </m:e>
                  <m:sub>
                    <m:r>
                      <m:rPr/>
                      <w:rPr>
                        <w:rFonts w:ascii="Cambria Math" w:hAnsi="Cambria Math"/>
                        <w:color w:val="auto"/>
                        <w:highlight w:val="none"/>
                      </w:rPr>
                      <m:t>misc</m:t>
                    </m:r>
                    <m:ctrlPr>
                      <w:rPr>
                        <w:rFonts w:ascii="Cambria Math" w:hAnsi="Cambria Math"/>
                        <w:i/>
                        <w:iCs/>
                        <w:color w:val="auto"/>
                        <w:highlight w:val="none"/>
                      </w:rPr>
                    </m:ctrlPr>
                  </m:sub>
                </m:sSub>
                <m:r>
                  <m:rPr/>
                  <w:rPr>
                    <w:rFonts w:ascii="Cambria Math" w:hAnsi="Cambria Math"/>
                    <w:color w:val="auto"/>
                    <w:highlight w:val="none"/>
                  </w:rPr>
                  <m:t>)</m:t>
                </m:r>
              </m:oMath>
            </m:oMathPara>
          </w:p>
          <w:p>
            <w:pPr>
              <w:pStyle w:val="72"/>
              <w:adjustRightInd w:val="0"/>
              <w:snapToGrid w:val="0"/>
              <w:ind w:firstLine="480"/>
              <w:rPr>
                <w:color w:val="auto"/>
                <w:highlight w:val="none"/>
              </w:rPr>
            </w:pPr>
            <w:r>
              <w:rPr>
                <w:rFonts w:hint="eastAsia"/>
                <w:color w:val="auto"/>
                <w:highlight w:val="none"/>
              </w:rPr>
              <w:t>式中：</w:t>
            </w:r>
          </w:p>
          <w:p>
            <w:pPr>
              <w:pStyle w:val="72"/>
              <w:adjustRightInd w:val="0"/>
              <w:snapToGrid w:val="0"/>
              <w:ind w:firstLine="480"/>
              <w:rPr>
                <w:color w:val="auto"/>
                <w:highlight w:val="none"/>
              </w:rPr>
            </w:pPr>
            <w:r>
              <w:rPr>
                <w:color w:val="auto"/>
                <w:highlight w:val="none"/>
              </w:rPr>
              <w:t>L</w:t>
            </w:r>
            <w:r>
              <w:rPr>
                <w:color w:val="auto"/>
                <w:highlight w:val="none"/>
                <w:vertAlign w:val="subscript"/>
              </w:rPr>
              <w:t>p</w:t>
            </w:r>
            <w:r>
              <w:rPr>
                <w:color w:val="auto"/>
                <w:highlight w:val="none"/>
              </w:rPr>
              <w:t>(r)——</w:t>
            </w:r>
            <w:r>
              <w:rPr>
                <w:rFonts w:hint="eastAsia"/>
                <w:color w:val="auto"/>
                <w:highlight w:val="none"/>
              </w:rPr>
              <w:t>预测点处声压级，</w:t>
            </w:r>
            <w:r>
              <w:rPr>
                <w:color w:val="auto"/>
                <w:highlight w:val="none"/>
              </w:rPr>
              <w:t>dB</w:t>
            </w:r>
            <w:r>
              <w:rPr>
                <w:rFonts w:hint="eastAsia"/>
                <w:color w:val="auto"/>
                <w:highlight w:val="none"/>
              </w:rPr>
              <w:t>；</w:t>
            </w:r>
          </w:p>
          <w:p>
            <w:pPr>
              <w:pStyle w:val="72"/>
              <w:adjustRightInd w:val="0"/>
              <w:snapToGrid w:val="0"/>
              <w:ind w:firstLine="480"/>
              <w:rPr>
                <w:rFonts w:hint="eastAsia" w:eastAsia="宋体"/>
                <w:color w:val="auto"/>
                <w:highlight w:val="none"/>
                <w:lang w:eastAsia="zh-CN"/>
              </w:rPr>
            </w:pPr>
            <w:r>
              <w:rPr>
                <w:color w:val="auto"/>
                <w:highlight w:val="none"/>
              </w:rPr>
              <w:t>L</w:t>
            </w:r>
            <w:r>
              <w:rPr>
                <w:color w:val="auto"/>
                <w:highlight w:val="none"/>
                <w:vertAlign w:val="subscript"/>
              </w:rPr>
              <w:t>p</w:t>
            </w:r>
            <w:r>
              <w:rPr>
                <w:color w:val="auto"/>
                <w:highlight w:val="none"/>
              </w:rPr>
              <w:t>(r</w:t>
            </w:r>
            <w:r>
              <w:rPr>
                <w:color w:val="auto"/>
                <w:highlight w:val="none"/>
                <w:vertAlign w:val="subscript"/>
              </w:rPr>
              <w:t>0</w:t>
            </w:r>
            <w:r>
              <w:rPr>
                <w:color w:val="auto"/>
                <w:highlight w:val="none"/>
              </w:rPr>
              <w:t>)——</w:t>
            </w:r>
            <w:r>
              <w:rPr>
                <w:rFonts w:hint="eastAsia"/>
                <w:color w:val="auto"/>
                <w:highlight w:val="none"/>
              </w:rPr>
              <w:t>参考位置</w:t>
            </w:r>
            <w:r>
              <w:rPr>
                <w:color w:val="auto"/>
                <w:highlight w:val="none"/>
              </w:rPr>
              <w:t>r0</w:t>
            </w:r>
            <w:r>
              <w:rPr>
                <w:rFonts w:hint="eastAsia"/>
                <w:color w:val="auto"/>
                <w:highlight w:val="none"/>
              </w:rPr>
              <w:t>处的声压级，</w:t>
            </w:r>
            <w:r>
              <w:rPr>
                <w:color w:val="auto"/>
                <w:highlight w:val="none"/>
              </w:rPr>
              <w:t>dB</w:t>
            </w:r>
            <w:r>
              <w:rPr>
                <w:rFonts w:hint="eastAsia"/>
                <w:color w:val="auto"/>
                <w:highlight w:val="none"/>
              </w:rPr>
              <w:t>；</w:t>
            </w:r>
          </w:p>
          <w:p>
            <w:pPr>
              <w:pStyle w:val="72"/>
              <w:adjustRightInd w:val="0"/>
              <w:snapToGrid w:val="0"/>
              <w:ind w:firstLine="480"/>
              <w:rPr>
                <w:rFonts w:hint="eastAsia" w:eastAsia="宋体"/>
                <w:color w:val="auto"/>
                <w:highlight w:val="none"/>
                <w:lang w:eastAsia="zh-CN"/>
              </w:rPr>
            </w:pPr>
            <w:r>
              <w:rPr>
                <w:color w:val="auto"/>
                <w:highlight w:val="none"/>
              </w:rPr>
              <w:t>D</w:t>
            </w:r>
            <w:r>
              <w:rPr>
                <w:color w:val="auto"/>
                <w:highlight w:val="none"/>
                <w:vertAlign w:val="subscript"/>
              </w:rPr>
              <w:t>C</w:t>
            </w:r>
            <w:r>
              <w:rPr>
                <w:color w:val="auto"/>
                <w:highlight w:val="none"/>
              </w:rPr>
              <w:t>——</w:t>
            </w:r>
            <w:r>
              <w:rPr>
                <w:rFonts w:hint="eastAsia"/>
                <w:color w:val="auto"/>
                <w:highlight w:val="none"/>
              </w:rPr>
              <w:t>指向性校正，它描述点声源的等效连续声压级与产生声功率级</w:t>
            </w:r>
            <w:r>
              <w:rPr>
                <w:color w:val="auto"/>
                <w:highlight w:val="none"/>
              </w:rPr>
              <w:t>L</w:t>
            </w:r>
            <w:r>
              <w:rPr>
                <w:color w:val="auto"/>
                <w:highlight w:val="none"/>
                <w:vertAlign w:val="subscript"/>
              </w:rPr>
              <w:t>w</w:t>
            </w:r>
            <w:r>
              <w:rPr>
                <w:rFonts w:hint="eastAsia"/>
                <w:color w:val="auto"/>
                <w:highlight w:val="none"/>
              </w:rPr>
              <w:t>的全向点声源在规定方向的声级的偏差程度，</w:t>
            </w:r>
            <w:r>
              <w:rPr>
                <w:color w:val="auto"/>
                <w:highlight w:val="none"/>
              </w:rPr>
              <w:t>dB</w:t>
            </w:r>
            <w:r>
              <w:rPr>
                <w:rFonts w:hint="eastAsia"/>
                <w:color w:val="auto"/>
                <w:highlight w:val="none"/>
              </w:rPr>
              <w:t>；</w:t>
            </w:r>
          </w:p>
          <w:p>
            <w:pPr>
              <w:pStyle w:val="72"/>
              <w:adjustRightInd w:val="0"/>
              <w:snapToGrid w:val="0"/>
              <w:ind w:firstLine="480"/>
              <w:rPr>
                <w:rFonts w:hint="eastAsia" w:eastAsia="宋体"/>
                <w:color w:val="auto"/>
                <w:highlight w:val="none"/>
                <w:lang w:eastAsia="zh-CN"/>
              </w:rPr>
            </w:pPr>
            <w:r>
              <w:rPr>
                <w:color w:val="auto"/>
                <w:highlight w:val="none"/>
              </w:rPr>
              <w:t>A</w:t>
            </w:r>
            <w:r>
              <w:rPr>
                <w:color w:val="auto"/>
                <w:highlight w:val="none"/>
                <w:vertAlign w:val="subscript"/>
              </w:rPr>
              <w:t>div</w:t>
            </w:r>
            <w:r>
              <w:rPr>
                <w:color w:val="auto"/>
                <w:highlight w:val="none"/>
              </w:rPr>
              <w:t>——</w:t>
            </w:r>
            <w:r>
              <w:rPr>
                <w:rFonts w:hint="eastAsia"/>
                <w:color w:val="auto"/>
                <w:highlight w:val="none"/>
              </w:rPr>
              <w:t>几何发散引起的衰减，</w:t>
            </w:r>
            <w:r>
              <w:rPr>
                <w:color w:val="auto"/>
                <w:highlight w:val="none"/>
              </w:rPr>
              <w:t>dB</w:t>
            </w:r>
            <w:r>
              <w:rPr>
                <w:rFonts w:hint="eastAsia"/>
                <w:color w:val="auto"/>
                <w:highlight w:val="none"/>
              </w:rPr>
              <w:t>；</w:t>
            </w:r>
          </w:p>
          <w:p>
            <w:pPr>
              <w:pStyle w:val="72"/>
              <w:adjustRightInd w:val="0"/>
              <w:snapToGrid w:val="0"/>
              <w:ind w:firstLine="480"/>
              <w:rPr>
                <w:rFonts w:hint="eastAsia" w:eastAsia="宋体"/>
                <w:color w:val="auto"/>
                <w:highlight w:val="none"/>
                <w:lang w:eastAsia="zh-CN"/>
              </w:rPr>
            </w:pPr>
            <w:r>
              <w:rPr>
                <w:color w:val="auto"/>
                <w:highlight w:val="none"/>
              </w:rPr>
              <w:t>A</w:t>
            </w:r>
            <w:r>
              <w:rPr>
                <w:color w:val="auto"/>
                <w:highlight w:val="none"/>
                <w:vertAlign w:val="subscript"/>
              </w:rPr>
              <w:t>atm</w:t>
            </w:r>
            <w:r>
              <w:rPr>
                <w:color w:val="auto"/>
                <w:highlight w:val="none"/>
              </w:rPr>
              <w:t>——</w:t>
            </w:r>
            <w:r>
              <w:rPr>
                <w:rFonts w:hint="eastAsia"/>
                <w:color w:val="auto"/>
                <w:highlight w:val="none"/>
              </w:rPr>
              <w:t>大气吸收引起的衰减，</w:t>
            </w:r>
            <w:r>
              <w:rPr>
                <w:color w:val="auto"/>
                <w:highlight w:val="none"/>
              </w:rPr>
              <w:t>dB</w:t>
            </w:r>
            <w:r>
              <w:rPr>
                <w:rFonts w:hint="eastAsia"/>
                <w:color w:val="auto"/>
                <w:highlight w:val="none"/>
              </w:rPr>
              <w:t>；</w:t>
            </w:r>
          </w:p>
          <w:p>
            <w:pPr>
              <w:pStyle w:val="72"/>
              <w:adjustRightInd w:val="0"/>
              <w:snapToGrid w:val="0"/>
              <w:ind w:firstLine="480"/>
              <w:rPr>
                <w:rFonts w:hint="eastAsia" w:eastAsia="宋体"/>
                <w:color w:val="auto"/>
                <w:highlight w:val="none"/>
                <w:lang w:eastAsia="zh-CN"/>
              </w:rPr>
            </w:pPr>
            <w:r>
              <w:rPr>
                <w:color w:val="auto"/>
                <w:highlight w:val="none"/>
              </w:rPr>
              <w:t>A</w:t>
            </w:r>
            <w:r>
              <w:rPr>
                <w:color w:val="auto"/>
                <w:highlight w:val="none"/>
                <w:vertAlign w:val="subscript"/>
              </w:rPr>
              <w:t>gr</w:t>
            </w:r>
            <w:r>
              <w:rPr>
                <w:color w:val="auto"/>
                <w:highlight w:val="none"/>
              </w:rPr>
              <w:t>——</w:t>
            </w:r>
            <w:r>
              <w:rPr>
                <w:rFonts w:hint="eastAsia"/>
                <w:color w:val="auto"/>
                <w:highlight w:val="none"/>
              </w:rPr>
              <w:t>地面效应引起的衰减，</w:t>
            </w:r>
            <w:r>
              <w:rPr>
                <w:color w:val="auto"/>
                <w:highlight w:val="none"/>
              </w:rPr>
              <w:t>dB</w:t>
            </w:r>
            <w:r>
              <w:rPr>
                <w:rFonts w:hint="eastAsia"/>
                <w:color w:val="auto"/>
                <w:highlight w:val="none"/>
              </w:rPr>
              <w:t>；</w:t>
            </w:r>
          </w:p>
          <w:p>
            <w:pPr>
              <w:pStyle w:val="72"/>
              <w:adjustRightInd w:val="0"/>
              <w:snapToGrid w:val="0"/>
              <w:ind w:firstLine="480"/>
              <w:rPr>
                <w:rFonts w:hint="eastAsia" w:eastAsia="宋体"/>
                <w:color w:val="auto"/>
                <w:highlight w:val="none"/>
                <w:lang w:eastAsia="zh-CN"/>
              </w:rPr>
            </w:pPr>
            <w:r>
              <w:rPr>
                <w:color w:val="auto"/>
                <w:highlight w:val="none"/>
              </w:rPr>
              <w:t>A</w:t>
            </w:r>
            <w:r>
              <w:rPr>
                <w:color w:val="auto"/>
                <w:highlight w:val="none"/>
                <w:vertAlign w:val="subscript"/>
              </w:rPr>
              <w:t>bar</w:t>
            </w:r>
            <w:r>
              <w:rPr>
                <w:color w:val="auto"/>
                <w:highlight w:val="none"/>
              </w:rPr>
              <w:t>——</w:t>
            </w:r>
            <w:r>
              <w:rPr>
                <w:rFonts w:hint="eastAsia"/>
                <w:color w:val="auto"/>
                <w:highlight w:val="none"/>
              </w:rPr>
              <w:t>障碍物屏蔽引起的衰减，</w:t>
            </w:r>
            <w:r>
              <w:rPr>
                <w:color w:val="auto"/>
                <w:highlight w:val="none"/>
              </w:rPr>
              <w:t>dB</w:t>
            </w:r>
            <w:r>
              <w:rPr>
                <w:rFonts w:hint="eastAsia"/>
                <w:color w:val="auto"/>
                <w:highlight w:val="none"/>
              </w:rPr>
              <w:t>；</w:t>
            </w:r>
          </w:p>
          <w:p>
            <w:pPr>
              <w:pStyle w:val="72"/>
              <w:adjustRightInd w:val="0"/>
              <w:snapToGrid w:val="0"/>
              <w:ind w:firstLine="480"/>
              <w:rPr>
                <w:color w:val="auto"/>
                <w:highlight w:val="none"/>
              </w:rPr>
            </w:pPr>
            <w:r>
              <w:rPr>
                <w:color w:val="auto"/>
                <w:highlight w:val="none"/>
              </w:rPr>
              <w:t>A</w:t>
            </w:r>
            <w:r>
              <w:rPr>
                <w:color w:val="auto"/>
                <w:highlight w:val="none"/>
                <w:vertAlign w:val="subscript"/>
              </w:rPr>
              <w:t>misc</w:t>
            </w:r>
            <w:r>
              <w:rPr>
                <w:color w:val="auto"/>
                <w:highlight w:val="none"/>
              </w:rPr>
              <w:t>——</w:t>
            </w:r>
            <w:r>
              <w:rPr>
                <w:rFonts w:hint="eastAsia"/>
                <w:color w:val="auto"/>
                <w:highlight w:val="none"/>
              </w:rPr>
              <w:t>其他多方面效应引起的衰减，</w:t>
            </w:r>
            <w:r>
              <w:rPr>
                <w:color w:val="auto"/>
                <w:highlight w:val="none"/>
              </w:rPr>
              <w:t>dB</w:t>
            </w:r>
            <w:r>
              <w:rPr>
                <w:rFonts w:hint="eastAsia"/>
                <w:color w:val="auto"/>
                <w:highlight w:val="none"/>
              </w:rPr>
              <w:t>。</w:t>
            </w:r>
          </w:p>
          <w:p>
            <w:pPr>
              <w:spacing w:line="360" w:lineRule="auto"/>
              <w:ind w:firstLine="480" w:firstLineChars="200"/>
              <w:rPr>
                <w:rStyle w:val="73"/>
                <w:color w:val="auto"/>
                <w:kern w:val="0"/>
                <w:sz w:val="24"/>
                <w:highlight w:val="none"/>
                <w:lang w:val="zh-CN"/>
              </w:rPr>
            </w:pPr>
            <w:r>
              <w:rPr>
                <w:rStyle w:val="73"/>
                <w:rFonts w:hint="eastAsia" w:ascii="宋体" w:hAnsi="宋体" w:cs="宋体"/>
                <w:color w:val="auto"/>
                <w:kern w:val="0"/>
                <w:sz w:val="24"/>
                <w:highlight w:val="none"/>
                <w:lang w:val="en-US" w:eastAsia="zh-CN"/>
              </w:rPr>
              <w:t>B</w:t>
            </w:r>
            <w:r>
              <w:rPr>
                <w:rStyle w:val="73"/>
                <w:rFonts w:hint="eastAsia"/>
                <w:color w:val="auto"/>
                <w:highlight w:val="none"/>
                <w:lang w:val="en-US" w:eastAsia="zh-CN"/>
              </w:rPr>
              <w:t>.</w:t>
            </w:r>
            <w:r>
              <w:rPr>
                <w:rStyle w:val="73"/>
                <w:color w:val="auto"/>
                <w:kern w:val="0"/>
                <w:sz w:val="24"/>
                <w:highlight w:val="none"/>
                <w:lang w:val="zh-CN"/>
              </w:rPr>
              <w:t>预测点的A声级可按</w:t>
            </w:r>
            <w:r>
              <w:rPr>
                <w:rStyle w:val="73"/>
                <w:rFonts w:hint="eastAsia"/>
                <w:color w:val="auto"/>
                <w:kern w:val="0"/>
                <w:sz w:val="24"/>
                <w:highlight w:val="none"/>
                <w:lang w:val="zh-CN"/>
              </w:rPr>
              <w:t>下式</w:t>
            </w:r>
            <w:r>
              <w:rPr>
                <w:rStyle w:val="73"/>
                <w:color w:val="auto"/>
                <w:kern w:val="0"/>
                <w:sz w:val="24"/>
                <w:highlight w:val="none"/>
                <w:lang w:val="zh-CN"/>
              </w:rPr>
              <w:t>计算，即将8个倍频带声压级合成，计算出预测点的A声级（L</w:t>
            </w:r>
            <w:r>
              <w:rPr>
                <w:rStyle w:val="73"/>
                <w:color w:val="auto"/>
                <w:kern w:val="0"/>
                <w:sz w:val="24"/>
                <w:highlight w:val="none"/>
                <w:vertAlign w:val="subscript"/>
                <w:lang w:val="zh-CN"/>
              </w:rPr>
              <w:t>A</w:t>
            </w:r>
            <w:r>
              <w:rPr>
                <w:rStyle w:val="73"/>
                <w:color w:val="auto"/>
                <w:kern w:val="0"/>
                <w:sz w:val="24"/>
                <w:highlight w:val="none"/>
                <w:lang w:val="zh-CN"/>
              </w:rPr>
              <w:t>(r)）。</w:t>
            </w:r>
          </w:p>
          <w:p>
            <w:pPr>
              <w:spacing w:line="360" w:lineRule="auto"/>
              <w:ind w:firstLine="420" w:firstLineChars="200"/>
              <w:jc w:val="right"/>
              <w:rPr>
                <w:color w:val="auto"/>
                <w:kern w:val="0"/>
                <w:sz w:val="24"/>
                <w:highlight w:val="none"/>
                <w:lang w:val="zh-CN"/>
              </w:rPr>
            </w:pPr>
            <m:oMathPara>
              <m:oMath>
                <m:sSub>
                  <m:sSubPr>
                    <m:ctrlPr>
                      <w:rPr>
                        <w:rFonts w:ascii="Cambria Math" w:hAnsi="Cambria Math"/>
                        <w:color w:val="auto"/>
                        <w:highlight w:val="none"/>
                      </w:rPr>
                    </m:ctrlPr>
                  </m:sSubPr>
                  <m:e>
                    <m:r>
                      <m:rPr/>
                      <w:rPr>
                        <w:rFonts w:ascii="Cambria Math" w:hAnsi="Cambria Math"/>
                        <w:color w:val="auto"/>
                        <w:highlight w:val="none"/>
                      </w:rPr>
                      <m:t>L</m:t>
                    </m:r>
                    <m:ctrlPr>
                      <w:rPr>
                        <w:rFonts w:ascii="Cambria Math" w:hAnsi="Cambria Math"/>
                        <w:color w:val="auto"/>
                        <w:highlight w:val="none"/>
                      </w:rPr>
                    </m:ctrlPr>
                  </m:e>
                  <m:sub>
                    <m:r>
                      <m:rPr/>
                      <w:rPr>
                        <w:rFonts w:ascii="Cambria Math" w:hAnsi="Cambria Math"/>
                        <w:color w:val="auto"/>
                        <w:highlight w:val="none"/>
                      </w:rPr>
                      <m:t>A</m:t>
                    </m:r>
                    <m:ctrlPr>
                      <w:rPr>
                        <w:rFonts w:ascii="Cambria Math" w:hAnsi="Cambria Math"/>
                        <w:color w:val="auto"/>
                        <w:highlight w:val="none"/>
                      </w:rPr>
                    </m:ctrlPr>
                  </m:sub>
                </m:sSub>
                <m:d>
                  <m:dPr>
                    <m:ctrlPr>
                      <w:rPr>
                        <w:rFonts w:ascii="Cambria Math" w:hAnsi="Cambria Math"/>
                        <w:i/>
                        <w:color w:val="auto"/>
                        <w:highlight w:val="none"/>
                      </w:rPr>
                    </m:ctrlPr>
                  </m:dPr>
                  <m:e>
                    <m:r>
                      <m:rPr/>
                      <w:rPr>
                        <w:rFonts w:ascii="Cambria Math" w:hAnsi="Cambria Math"/>
                        <w:color w:val="auto"/>
                        <w:highlight w:val="none"/>
                      </w:rPr>
                      <m:t>r</m:t>
                    </m:r>
                    <m:ctrlPr>
                      <w:rPr>
                        <w:rFonts w:ascii="Cambria Math" w:hAnsi="Cambria Math"/>
                        <w:i/>
                        <w:color w:val="auto"/>
                        <w:highlight w:val="none"/>
                      </w:rPr>
                    </m:ctrlPr>
                  </m:e>
                </m:d>
                <m:r>
                  <m:rPr/>
                  <w:rPr>
                    <w:rFonts w:ascii="Cambria Math" w:hAnsi="Cambria Math"/>
                    <w:color w:val="auto"/>
                    <w:highlight w:val="none"/>
                  </w:rPr>
                  <m:t>=10</m:t>
                </m:r>
                <m:r>
                  <m:rPr>
                    <m:sty m:val="p"/>
                  </m:rPr>
                  <w:rPr>
                    <w:rFonts w:ascii="Cambria Math" w:hAnsi="Cambria Math"/>
                    <w:color w:val="auto"/>
                    <w:highlight w:val="none"/>
                  </w:rPr>
                  <m:t>lg⁡</m:t>
                </m:r>
                <m:r>
                  <m:rPr/>
                  <w:rPr>
                    <w:rFonts w:ascii="Cambria Math" w:hAnsi="Cambria Math"/>
                    <w:color w:val="auto"/>
                    <w:highlight w:val="none"/>
                  </w:rPr>
                  <m:t>(</m:t>
                </m:r>
                <m:nary>
                  <m:naryPr>
                    <m:chr m:val="∑"/>
                    <m:limLoc m:val="undOvr"/>
                    <m:ctrlPr>
                      <w:rPr>
                        <w:rFonts w:ascii="Cambria Math" w:hAnsi="Cambria Math"/>
                        <w:i/>
                        <w:color w:val="auto"/>
                        <w:highlight w:val="none"/>
                      </w:rPr>
                    </m:ctrlPr>
                  </m:naryPr>
                  <m:sub>
                    <m:r>
                      <m:rPr/>
                      <w:rPr>
                        <w:rFonts w:ascii="Cambria Math" w:hAnsi="Cambria Math"/>
                        <w:color w:val="auto"/>
                        <w:highlight w:val="none"/>
                      </w:rPr>
                      <m:t>i=1</m:t>
                    </m:r>
                    <m:ctrlPr>
                      <w:rPr>
                        <w:rFonts w:ascii="Cambria Math" w:hAnsi="Cambria Math"/>
                        <w:i/>
                        <w:color w:val="auto"/>
                        <w:highlight w:val="none"/>
                      </w:rPr>
                    </m:ctrlPr>
                  </m:sub>
                  <m:sup>
                    <m:r>
                      <m:rPr/>
                      <w:rPr>
                        <w:rFonts w:ascii="Cambria Math" w:hAnsi="Cambria Math"/>
                        <w:color w:val="auto"/>
                        <w:highlight w:val="none"/>
                      </w:rPr>
                      <m:t>8</m:t>
                    </m:r>
                    <m:ctrlPr>
                      <w:rPr>
                        <w:rFonts w:ascii="Cambria Math" w:hAnsi="Cambria Math"/>
                        <w:i/>
                        <w:color w:val="auto"/>
                        <w:highlight w:val="none"/>
                      </w:rPr>
                    </m:ctrlPr>
                  </m:sup>
                  <m:e>
                    <m:sSup>
                      <m:sSupPr>
                        <m:ctrlPr>
                          <w:rPr>
                            <w:rFonts w:ascii="Cambria Math" w:hAnsi="Cambria Math"/>
                            <w:i/>
                            <w:color w:val="auto"/>
                            <w:highlight w:val="none"/>
                          </w:rPr>
                        </m:ctrlPr>
                      </m:sSupPr>
                      <m:e>
                        <m:r>
                          <m:rPr/>
                          <w:rPr>
                            <w:rFonts w:ascii="Cambria Math" w:hAnsi="Cambria Math"/>
                            <w:color w:val="auto"/>
                            <w:highlight w:val="none"/>
                          </w:rPr>
                          <m:t>10</m:t>
                        </m:r>
                        <m:ctrlPr>
                          <w:rPr>
                            <w:rFonts w:ascii="Cambria Math" w:hAnsi="Cambria Math"/>
                            <w:i/>
                            <w:color w:val="auto"/>
                            <w:highlight w:val="none"/>
                          </w:rPr>
                        </m:ctrlPr>
                      </m:e>
                      <m:sup>
                        <m:r>
                          <m:rPr/>
                          <w:rPr>
                            <w:rFonts w:ascii="Cambria Math" w:hAnsi="Cambria Math"/>
                            <w:color w:val="auto"/>
                            <w:highlight w:val="none"/>
                          </w:rPr>
                          <m:t>0.1</m:t>
                        </m:r>
                        <m:d>
                          <m:dPr>
                            <m:ctrlPr>
                              <w:rPr>
                                <w:rFonts w:ascii="Cambria Math" w:hAnsi="Cambria Math"/>
                                <w:i/>
                                <w:color w:val="auto"/>
                                <w:highlight w:val="none"/>
                              </w:rPr>
                            </m:ctrlPr>
                          </m:dPr>
                          <m:e>
                            <m:sSub>
                              <m:sSubPr>
                                <m:ctrlPr>
                                  <w:rPr>
                                    <w:rFonts w:ascii="Cambria Math" w:hAnsi="Cambria Math"/>
                                    <w:i/>
                                    <w:color w:val="auto"/>
                                    <w:highlight w:val="none"/>
                                  </w:rPr>
                                </m:ctrlPr>
                              </m:sSubPr>
                              <m:e>
                                <m:r>
                                  <m:rPr/>
                                  <w:rPr>
                                    <w:rFonts w:ascii="Cambria Math" w:hAnsi="Cambria Math"/>
                                    <w:color w:val="auto"/>
                                    <w:highlight w:val="none"/>
                                  </w:rPr>
                                  <m:t>L</m:t>
                                </m:r>
                                <m:ctrlPr>
                                  <w:rPr>
                                    <w:rFonts w:ascii="Cambria Math" w:hAnsi="Cambria Math"/>
                                    <w:i/>
                                    <w:color w:val="auto"/>
                                    <w:highlight w:val="none"/>
                                  </w:rPr>
                                </m:ctrlPr>
                              </m:e>
                              <m:sub>
                                <m:r>
                                  <m:rPr/>
                                  <w:rPr>
                                    <w:rFonts w:ascii="Cambria Math" w:hAnsi="Cambria Math"/>
                                    <w:color w:val="auto"/>
                                    <w:highlight w:val="none"/>
                                  </w:rPr>
                                  <m:t>pi</m:t>
                                </m:r>
                                <m:ctrlPr>
                                  <w:rPr>
                                    <w:rFonts w:ascii="Cambria Math" w:hAnsi="Cambria Math"/>
                                    <w:i/>
                                    <w:color w:val="auto"/>
                                    <w:highlight w:val="none"/>
                                  </w:rPr>
                                </m:ctrlPr>
                              </m:sub>
                            </m:sSub>
                            <m:d>
                              <m:dPr>
                                <m:ctrlPr>
                                  <w:rPr>
                                    <w:rFonts w:ascii="Cambria Math" w:hAnsi="Cambria Math"/>
                                    <w:i/>
                                    <w:color w:val="auto"/>
                                    <w:highlight w:val="none"/>
                                  </w:rPr>
                                </m:ctrlPr>
                              </m:dPr>
                              <m:e>
                                <m:r>
                                  <m:rPr/>
                                  <w:rPr>
                                    <w:rFonts w:ascii="Cambria Math" w:hAnsi="Cambria Math"/>
                                    <w:color w:val="auto"/>
                                    <w:highlight w:val="none"/>
                                  </w:rPr>
                                  <m:t>r</m:t>
                                </m:r>
                                <m:ctrlPr>
                                  <w:rPr>
                                    <w:rFonts w:ascii="Cambria Math" w:hAnsi="Cambria Math"/>
                                    <w:i/>
                                    <w:color w:val="auto"/>
                                    <w:highlight w:val="none"/>
                                  </w:rPr>
                                </m:ctrlPr>
                              </m:e>
                            </m:d>
                            <m:r>
                              <m:rPr/>
                              <w:rPr>
                                <w:rFonts w:ascii="Cambria Math" w:hAnsi="Cambria Math"/>
                                <w:color w:val="auto"/>
                                <w:highlight w:val="none"/>
                              </w:rPr>
                              <m:t>−∆</m:t>
                            </m:r>
                            <m:sSub>
                              <m:sSubPr>
                                <m:ctrlPr>
                                  <w:rPr>
                                    <w:rFonts w:ascii="Cambria Math" w:hAnsi="Cambria Math"/>
                                    <w:i/>
                                    <w:color w:val="auto"/>
                                    <w:highlight w:val="none"/>
                                  </w:rPr>
                                </m:ctrlPr>
                              </m:sSubPr>
                              <m:e>
                                <m:r>
                                  <m:rPr/>
                                  <w:rPr>
                                    <w:rFonts w:ascii="Cambria Math" w:hAnsi="Cambria Math"/>
                                    <w:color w:val="auto"/>
                                    <w:highlight w:val="none"/>
                                  </w:rPr>
                                  <m:t>L</m:t>
                                </m:r>
                                <m:ctrlPr>
                                  <w:rPr>
                                    <w:rFonts w:ascii="Cambria Math" w:hAnsi="Cambria Math"/>
                                    <w:i/>
                                    <w:color w:val="auto"/>
                                    <w:highlight w:val="none"/>
                                  </w:rPr>
                                </m:ctrlPr>
                              </m:e>
                              <m:sub>
                                <m:r>
                                  <m:rPr/>
                                  <w:rPr>
                                    <w:rFonts w:ascii="Cambria Math" w:hAnsi="Cambria Math"/>
                                    <w:color w:val="auto"/>
                                    <w:highlight w:val="none"/>
                                  </w:rPr>
                                  <m:t>i</m:t>
                                </m:r>
                                <m:ctrlPr>
                                  <w:rPr>
                                    <w:rFonts w:ascii="Cambria Math" w:hAnsi="Cambria Math"/>
                                    <w:i/>
                                    <w:color w:val="auto"/>
                                    <w:highlight w:val="none"/>
                                  </w:rPr>
                                </m:ctrlPr>
                              </m:sub>
                            </m:sSub>
                            <m:ctrlPr>
                              <w:rPr>
                                <w:rFonts w:ascii="Cambria Math" w:hAnsi="Cambria Math"/>
                                <w:i/>
                                <w:color w:val="auto"/>
                                <w:highlight w:val="none"/>
                              </w:rPr>
                            </m:ctrlPr>
                          </m:e>
                        </m:d>
                        <m:ctrlPr>
                          <w:rPr>
                            <w:rFonts w:ascii="Cambria Math" w:hAnsi="Cambria Math"/>
                            <w:i/>
                            <w:color w:val="auto"/>
                            <w:highlight w:val="none"/>
                          </w:rPr>
                        </m:ctrlPr>
                      </m:sup>
                    </m:sSup>
                    <m:ctrlPr>
                      <w:rPr>
                        <w:rFonts w:ascii="Cambria Math" w:hAnsi="Cambria Math"/>
                        <w:i/>
                        <w:color w:val="auto"/>
                        <w:highlight w:val="none"/>
                      </w:rPr>
                    </m:ctrlPr>
                  </m:e>
                </m:nary>
                <m:r>
                  <m:rPr/>
                  <w:rPr>
                    <w:rFonts w:ascii="Cambria Math" w:hAnsi="Cambria Math"/>
                    <w:color w:val="auto"/>
                    <w:highlight w:val="none"/>
                  </w:rPr>
                  <m:t>)</m:t>
                </m:r>
              </m:oMath>
            </m:oMathPara>
          </w:p>
          <w:p>
            <w:pPr>
              <w:spacing w:line="360" w:lineRule="auto"/>
              <w:ind w:firstLine="480" w:firstLineChars="200"/>
              <w:rPr>
                <w:color w:val="auto"/>
                <w:kern w:val="0"/>
                <w:sz w:val="24"/>
                <w:highlight w:val="none"/>
                <w:lang w:val="zh-CN"/>
              </w:rPr>
            </w:pPr>
            <w:r>
              <w:rPr>
                <w:color w:val="auto"/>
                <w:kern w:val="0"/>
                <w:sz w:val="24"/>
                <w:highlight w:val="none"/>
                <w:lang w:val="zh-CN"/>
              </w:rPr>
              <w:t>式中：</w:t>
            </w:r>
          </w:p>
          <w:p>
            <w:pPr>
              <w:pStyle w:val="72"/>
              <w:rPr>
                <w:color w:val="auto"/>
                <w:highlight w:val="none"/>
              </w:rPr>
            </w:pPr>
            <w:r>
              <w:rPr>
                <w:color w:val="auto"/>
                <w:highlight w:val="none"/>
              </w:rPr>
              <w:t>L</w:t>
            </w:r>
            <w:r>
              <w:rPr>
                <w:color w:val="auto"/>
                <w:highlight w:val="none"/>
                <w:vertAlign w:val="subscript"/>
              </w:rPr>
              <w:t>A</w:t>
            </w:r>
            <w:r>
              <w:rPr>
                <w:color w:val="auto"/>
                <w:highlight w:val="none"/>
              </w:rPr>
              <w:t>(r)—距声源r处的A声级，dB(A)；</w:t>
            </w:r>
          </w:p>
          <w:p>
            <w:pPr>
              <w:pStyle w:val="72"/>
              <w:spacing w:line="360" w:lineRule="auto"/>
              <w:ind w:firstLine="480" w:firstLineChars="200"/>
              <w:rPr>
                <w:color w:val="auto"/>
                <w:highlight w:val="none"/>
                <w:lang w:val="zh-CN"/>
              </w:rPr>
            </w:pPr>
            <w:r>
              <w:rPr>
                <w:color w:val="auto"/>
                <w:highlight w:val="none"/>
                <w:lang w:val="zh-CN"/>
              </w:rPr>
              <w:t>L</w:t>
            </w:r>
            <w:r>
              <w:rPr>
                <w:color w:val="auto"/>
                <w:highlight w:val="none"/>
                <w:vertAlign w:val="subscript"/>
                <w:lang w:val="zh-CN"/>
              </w:rPr>
              <w:t>Pi</w:t>
            </w:r>
            <w:r>
              <w:rPr>
                <w:color w:val="auto"/>
                <w:highlight w:val="none"/>
                <w:lang w:val="zh-CN"/>
              </w:rPr>
              <w:t>(r)—预测点（r）处，第i倍频带声压级，dB；</w:t>
            </w:r>
          </w:p>
          <w:p>
            <w:pPr>
              <w:pStyle w:val="72"/>
              <w:spacing w:line="360" w:lineRule="auto"/>
              <w:ind w:firstLine="480" w:firstLineChars="200"/>
              <w:rPr>
                <w:color w:val="auto"/>
                <w:highlight w:val="none"/>
                <w:lang w:val="zh-CN"/>
              </w:rPr>
            </w:pPr>
            <w:r>
              <w:rPr>
                <w:color w:val="auto"/>
                <w:highlight w:val="none"/>
                <w:lang w:val="zh-CN"/>
              </w:rPr>
              <w:t>ΔL</w:t>
            </w:r>
            <w:r>
              <w:rPr>
                <w:color w:val="auto"/>
                <w:highlight w:val="none"/>
                <w:vertAlign w:val="subscript"/>
                <w:lang w:val="zh-CN"/>
              </w:rPr>
              <w:t>i</w:t>
            </w:r>
            <w:r>
              <w:rPr>
                <w:color w:val="auto"/>
                <w:highlight w:val="none"/>
                <w:lang w:val="zh-CN"/>
              </w:rPr>
              <w:t>—第i倍频带的A计权网络修正值（见附录B），dB。</w:t>
            </w:r>
          </w:p>
          <w:p>
            <w:pPr>
              <w:pStyle w:val="72"/>
              <w:spacing w:line="360" w:lineRule="auto"/>
              <w:ind w:firstLine="480" w:firstLineChars="200"/>
              <w:rPr>
                <w:color w:val="auto"/>
                <w:kern w:val="0"/>
                <w:highlight w:val="none"/>
                <w:lang w:val="zh-CN"/>
              </w:rPr>
            </w:pPr>
            <w:r>
              <w:rPr>
                <w:rFonts w:hint="eastAsia"/>
                <w:color w:val="auto"/>
                <w:highlight w:val="none"/>
                <w:lang w:val="en-US" w:eastAsia="zh-CN"/>
              </w:rPr>
              <w:t>C.</w:t>
            </w:r>
            <w:r>
              <w:rPr>
                <w:color w:val="auto"/>
                <w:highlight w:val="none"/>
                <w:lang w:val="zh-CN"/>
              </w:rPr>
              <w:t>在只考虑几何发散衰减时，可用</w:t>
            </w:r>
            <w:r>
              <w:rPr>
                <w:rFonts w:hint="eastAsia"/>
                <w:color w:val="auto"/>
                <w:highlight w:val="none"/>
                <w:lang w:val="zh-CN"/>
              </w:rPr>
              <w:t>下</w:t>
            </w:r>
            <w:r>
              <w:rPr>
                <w:color w:val="auto"/>
                <w:highlight w:val="none"/>
                <w:lang w:val="zh-CN"/>
              </w:rPr>
              <w:t>式计算：</w:t>
            </w:r>
          </w:p>
          <w:p>
            <w:pPr>
              <w:wordWrap w:val="0"/>
              <w:spacing w:line="360" w:lineRule="auto"/>
              <w:ind w:firstLine="420" w:firstLineChars="200"/>
              <w:jc w:val="right"/>
              <w:rPr>
                <w:color w:val="auto"/>
                <w:kern w:val="0"/>
                <w:sz w:val="24"/>
                <w:highlight w:val="none"/>
                <w:lang w:val="zh-CN"/>
              </w:rPr>
            </w:pPr>
            <m:oMathPara>
              <m:oMath>
                <m:sSub>
                  <m:sSubPr>
                    <m:ctrlPr>
                      <w:rPr>
                        <w:rFonts w:ascii="Cambria Math" w:hAnsi="Cambria Math"/>
                        <w:color w:val="auto"/>
                        <w:highlight w:val="none"/>
                      </w:rPr>
                    </m:ctrlPr>
                  </m:sSubPr>
                  <m:e>
                    <m:r>
                      <m:rPr/>
                      <w:rPr>
                        <w:rFonts w:ascii="Cambria Math" w:hAnsi="Cambria Math"/>
                        <w:color w:val="auto"/>
                        <w:highlight w:val="none"/>
                      </w:rPr>
                      <m:t>L</m:t>
                    </m:r>
                    <m:ctrlPr>
                      <w:rPr>
                        <w:rFonts w:ascii="Cambria Math" w:hAnsi="Cambria Math"/>
                        <w:color w:val="auto"/>
                        <w:highlight w:val="none"/>
                      </w:rPr>
                    </m:ctrlPr>
                  </m:e>
                  <m:sub>
                    <m:r>
                      <m:rPr/>
                      <w:rPr>
                        <w:rFonts w:ascii="Cambria Math" w:hAnsi="Cambria Math"/>
                        <w:color w:val="auto"/>
                        <w:highlight w:val="none"/>
                      </w:rPr>
                      <m:t>A</m:t>
                    </m:r>
                    <m:ctrlPr>
                      <w:rPr>
                        <w:rFonts w:ascii="Cambria Math" w:hAnsi="Cambria Math"/>
                        <w:color w:val="auto"/>
                        <w:highlight w:val="none"/>
                      </w:rPr>
                    </m:ctrlPr>
                  </m:sub>
                </m:sSub>
                <m:d>
                  <m:dPr>
                    <m:ctrlPr>
                      <w:rPr>
                        <w:rFonts w:ascii="Cambria Math" w:hAnsi="Cambria Math"/>
                        <w:i/>
                        <w:color w:val="auto"/>
                        <w:highlight w:val="none"/>
                      </w:rPr>
                    </m:ctrlPr>
                  </m:dPr>
                  <m:e>
                    <m:r>
                      <m:rPr/>
                      <w:rPr>
                        <w:rFonts w:ascii="Cambria Math" w:hAnsi="Cambria Math"/>
                        <w:color w:val="auto"/>
                        <w:highlight w:val="none"/>
                      </w:rPr>
                      <m:t>r</m:t>
                    </m:r>
                    <m:ctrlPr>
                      <w:rPr>
                        <w:rFonts w:ascii="Cambria Math" w:hAnsi="Cambria Math"/>
                        <w:i/>
                        <w:color w:val="auto"/>
                        <w:highlight w:val="none"/>
                      </w:rPr>
                    </m:ctrlPr>
                  </m:e>
                </m:d>
                <m:r>
                  <m:rPr/>
                  <w:rPr>
                    <w:rFonts w:ascii="Cambria Math" w:hAnsi="Cambria Math"/>
                    <w:color w:val="auto"/>
                    <w:highlight w:val="none"/>
                  </w:rPr>
                  <m:t>=</m:t>
                </m:r>
                <m:sSub>
                  <m:sSubPr>
                    <m:ctrlPr>
                      <w:rPr>
                        <w:rFonts w:ascii="Cambria Math" w:hAnsi="Cambria Math"/>
                        <w:i/>
                        <w:color w:val="auto"/>
                        <w:highlight w:val="none"/>
                      </w:rPr>
                    </m:ctrlPr>
                  </m:sSubPr>
                  <m:e>
                    <m:r>
                      <m:rPr/>
                      <w:rPr>
                        <w:rFonts w:ascii="Cambria Math" w:hAnsi="Cambria Math"/>
                        <w:color w:val="auto"/>
                        <w:highlight w:val="none"/>
                      </w:rPr>
                      <m:t>L</m:t>
                    </m:r>
                    <m:ctrlPr>
                      <w:rPr>
                        <w:rFonts w:ascii="Cambria Math" w:hAnsi="Cambria Math"/>
                        <w:i/>
                        <w:color w:val="auto"/>
                        <w:highlight w:val="none"/>
                      </w:rPr>
                    </m:ctrlPr>
                  </m:e>
                  <m:sub>
                    <m:r>
                      <m:rPr/>
                      <w:rPr>
                        <w:rFonts w:ascii="Cambria Math" w:hAnsi="Cambria Math"/>
                        <w:color w:val="auto"/>
                        <w:highlight w:val="none"/>
                      </w:rPr>
                      <m:t>A</m:t>
                    </m:r>
                    <m:ctrlPr>
                      <w:rPr>
                        <w:rFonts w:ascii="Cambria Math" w:hAnsi="Cambria Math"/>
                        <w:i/>
                        <w:color w:val="auto"/>
                        <w:highlight w:val="none"/>
                      </w:rPr>
                    </m:ctrlPr>
                  </m:sub>
                </m:sSub>
                <m:d>
                  <m:dPr>
                    <m:ctrlPr>
                      <w:rPr>
                        <w:rFonts w:ascii="Cambria Math" w:hAnsi="Cambria Math"/>
                        <w:i/>
                        <w:color w:val="auto"/>
                        <w:highlight w:val="none"/>
                      </w:rPr>
                    </m:ctrlPr>
                  </m:dPr>
                  <m:e>
                    <m:sSub>
                      <m:sSubPr>
                        <m:ctrlPr>
                          <w:rPr>
                            <w:rFonts w:ascii="Cambria Math" w:hAnsi="Cambria Math"/>
                            <w:i/>
                            <w:color w:val="auto"/>
                            <w:highlight w:val="none"/>
                          </w:rPr>
                        </m:ctrlPr>
                      </m:sSubPr>
                      <m:e>
                        <m:r>
                          <m:rPr/>
                          <w:rPr>
                            <w:rFonts w:ascii="Cambria Math" w:hAnsi="Cambria Math"/>
                            <w:color w:val="auto"/>
                            <w:highlight w:val="none"/>
                          </w:rPr>
                          <m:t>r</m:t>
                        </m:r>
                        <m:ctrlPr>
                          <w:rPr>
                            <w:rFonts w:ascii="Cambria Math" w:hAnsi="Cambria Math"/>
                            <w:i/>
                            <w:color w:val="auto"/>
                            <w:highlight w:val="none"/>
                          </w:rPr>
                        </m:ctrlPr>
                      </m:e>
                      <m:sub>
                        <m:r>
                          <m:rPr/>
                          <w:rPr>
                            <w:rFonts w:ascii="Cambria Math" w:hAnsi="Cambria Math"/>
                            <w:color w:val="auto"/>
                            <w:highlight w:val="none"/>
                          </w:rPr>
                          <m:t>0</m:t>
                        </m:r>
                        <m:ctrlPr>
                          <w:rPr>
                            <w:rFonts w:ascii="Cambria Math" w:hAnsi="Cambria Math"/>
                            <w:i/>
                            <w:color w:val="auto"/>
                            <w:highlight w:val="none"/>
                          </w:rPr>
                        </m:ctrlPr>
                      </m:sub>
                    </m:sSub>
                    <m:ctrlPr>
                      <w:rPr>
                        <w:rFonts w:ascii="Cambria Math" w:hAnsi="Cambria Math"/>
                        <w:i/>
                        <w:color w:val="auto"/>
                        <w:highlight w:val="none"/>
                      </w:rPr>
                    </m:ctrlPr>
                  </m:e>
                </m:d>
                <m:r>
                  <m:rPr/>
                  <w:rPr>
                    <w:rFonts w:ascii="Cambria Math" w:hAnsi="Cambria Math"/>
                    <w:color w:val="auto"/>
                    <w:highlight w:val="none"/>
                  </w:rPr>
                  <m:t>−</m:t>
                </m:r>
                <m:sSub>
                  <m:sSubPr>
                    <m:ctrlPr>
                      <w:rPr>
                        <w:rFonts w:ascii="Cambria Math" w:hAnsi="Cambria Math"/>
                        <w:i/>
                        <w:color w:val="auto"/>
                        <w:highlight w:val="none"/>
                      </w:rPr>
                    </m:ctrlPr>
                  </m:sSubPr>
                  <m:e>
                    <m:r>
                      <m:rPr/>
                      <w:rPr>
                        <w:rFonts w:ascii="Cambria Math" w:hAnsi="Cambria Math"/>
                        <w:color w:val="auto"/>
                        <w:highlight w:val="none"/>
                      </w:rPr>
                      <m:t>A</m:t>
                    </m:r>
                    <m:ctrlPr>
                      <w:rPr>
                        <w:rFonts w:ascii="Cambria Math" w:hAnsi="Cambria Math"/>
                        <w:i/>
                        <w:color w:val="auto"/>
                        <w:highlight w:val="none"/>
                      </w:rPr>
                    </m:ctrlPr>
                  </m:e>
                  <m:sub>
                    <m:r>
                      <m:rPr/>
                      <w:rPr>
                        <w:rFonts w:ascii="Cambria Math" w:hAnsi="Cambria Math"/>
                        <w:color w:val="auto"/>
                        <w:highlight w:val="none"/>
                      </w:rPr>
                      <m:t>div</m:t>
                    </m:r>
                    <m:ctrlPr>
                      <w:rPr>
                        <w:rFonts w:ascii="Cambria Math" w:hAnsi="Cambria Math"/>
                        <w:i/>
                        <w:color w:val="auto"/>
                        <w:highlight w:val="none"/>
                      </w:rPr>
                    </m:ctrlPr>
                  </m:sub>
                </m:sSub>
              </m:oMath>
            </m:oMathPara>
          </w:p>
          <w:p>
            <w:pPr>
              <w:spacing w:line="360" w:lineRule="auto"/>
              <w:ind w:firstLine="480" w:firstLineChars="200"/>
              <w:rPr>
                <w:color w:val="auto"/>
                <w:kern w:val="0"/>
                <w:sz w:val="24"/>
                <w:highlight w:val="none"/>
                <w:lang w:val="zh-CN"/>
              </w:rPr>
            </w:pPr>
            <w:r>
              <w:rPr>
                <w:rStyle w:val="73"/>
                <w:rFonts w:hint="eastAsia"/>
                <w:color w:val="auto"/>
                <w:highlight w:val="none"/>
                <w:lang w:val="en-US" w:eastAsia="zh-CN"/>
              </w:rPr>
              <w:t>2.</w:t>
            </w:r>
            <w:r>
              <w:rPr>
                <w:rStyle w:val="73"/>
                <w:color w:val="auto"/>
                <w:kern w:val="0"/>
                <w:sz w:val="24"/>
                <w:highlight w:val="none"/>
                <w:lang w:val="zh-CN"/>
              </w:rPr>
              <w:t>几何发散衰减</w:t>
            </w:r>
            <w:r>
              <w:rPr>
                <w:color w:val="auto"/>
                <w:kern w:val="0"/>
                <w:sz w:val="24"/>
                <w:highlight w:val="none"/>
                <w:lang w:val="zh-CN"/>
              </w:rPr>
              <w:t>（</w:t>
            </w:r>
            <w:r>
              <w:rPr>
                <w:rFonts w:ascii="Times New Roman" w:hAnsi="Times New Roman"/>
                <w:i/>
                <w:iCs/>
                <w:color w:val="auto"/>
                <w:kern w:val="0"/>
                <w:sz w:val="24"/>
                <w:highlight w:val="none"/>
                <w:lang w:val="zh-CN"/>
              </w:rPr>
              <w:t>A</w:t>
            </w:r>
            <w:r>
              <w:rPr>
                <w:rFonts w:hint="eastAsia" w:ascii="Times New Roman" w:hAnsi="Times New Roman"/>
                <w:i/>
                <w:iCs/>
                <w:color w:val="auto"/>
                <w:kern w:val="0"/>
                <w:sz w:val="14"/>
                <w:szCs w:val="14"/>
                <w:highlight w:val="none"/>
                <w:lang w:val="en-US" w:eastAsia="zh-CN"/>
              </w:rPr>
              <w:t>div</w:t>
            </w:r>
            <w:r>
              <w:rPr>
                <w:color w:val="auto"/>
                <w:kern w:val="0"/>
                <w:sz w:val="24"/>
                <w:highlight w:val="none"/>
                <w:lang w:val="zh-CN"/>
              </w:rPr>
              <w:t>）</w:t>
            </w:r>
          </w:p>
          <w:p>
            <w:pPr>
              <w:pStyle w:val="72"/>
              <w:spacing w:line="360" w:lineRule="auto"/>
              <w:ind w:firstLine="480" w:firstLineChars="200"/>
              <w:rPr>
                <w:color w:val="auto"/>
                <w:highlight w:val="none"/>
                <w:lang w:val="zh-CN"/>
              </w:rPr>
            </w:pPr>
            <w:r>
              <w:rPr>
                <w:rFonts w:hint="eastAsia"/>
                <w:color w:val="auto"/>
                <w:highlight w:val="none"/>
                <w:lang w:val="en-US" w:eastAsia="zh-CN"/>
              </w:rPr>
              <w:t>A.</w:t>
            </w:r>
            <w:r>
              <w:rPr>
                <w:color w:val="auto"/>
                <w:highlight w:val="none"/>
                <w:lang w:val="zh-CN"/>
              </w:rPr>
              <w:t>点声源的几何发散衰减</w:t>
            </w:r>
          </w:p>
          <w:p>
            <w:pPr>
              <w:pStyle w:val="72"/>
              <w:spacing w:line="360" w:lineRule="auto"/>
              <w:ind w:firstLine="480" w:firstLineChars="200"/>
              <w:rPr>
                <w:color w:val="auto"/>
                <w:kern w:val="0"/>
                <w:highlight w:val="none"/>
                <w:lang w:val="zh-CN"/>
              </w:rPr>
            </w:pPr>
            <w:r>
              <w:rPr>
                <w:color w:val="auto"/>
                <w:highlight w:val="none"/>
                <w:lang w:val="zh-CN"/>
              </w:rPr>
              <w:t>如果声源处于半自由声场，则等效为</w:t>
            </w:r>
            <w:r>
              <w:rPr>
                <w:rFonts w:hint="eastAsia"/>
                <w:color w:val="auto"/>
                <w:highlight w:val="none"/>
                <w:lang w:val="zh-CN"/>
              </w:rPr>
              <w:t>下式</w:t>
            </w:r>
            <w:r>
              <w:rPr>
                <w:color w:val="auto"/>
                <w:highlight w:val="none"/>
                <w:lang w:val="zh-CN"/>
              </w:rPr>
              <w:t>：</w:t>
            </w:r>
          </w:p>
          <w:p>
            <w:pPr>
              <w:spacing w:line="360" w:lineRule="auto"/>
              <w:ind w:firstLine="420" w:firstLineChars="200"/>
              <w:jc w:val="right"/>
              <w:rPr>
                <w:color w:val="auto"/>
                <w:kern w:val="0"/>
                <w:sz w:val="24"/>
                <w:highlight w:val="none"/>
                <w:lang w:val="zh-CN"/>
              </w:rPr>
            </w:pPr>
            <m:oMathPara>
              <m:oMath>
                <m:sSub>
                  <m:sSubPr>
                    <m:ctrlPr>
                      <w:rPr>
                        <w:rFonts w:ascii="Cambria Math" w:hAnsi="Cambria Math"/>
                        <w:color w:val="auto"/>
                        <w:highlight w:val="none"/>
                      </w:rPr>
                    </m:ctrlPr>
                  </m:sSubPr>
                  <m:e>
                    <m:r>
                      <m:rPr/>
                      <w:rPr>
                        <w:rFonts w:ascii="Cambria Math" w:hAnsi="Cambria Math"/>
                        <w:color w:val="auto"/>
                        <w:highlight w:val="none"/>
                      </w:rPr>
                      <m:t>L</m:t>
                    </m:r>
                    <m:ctrlPr>
                      <w:rPr>
                        <w:rFonts w:ascii="Cambria Math" w:hAnsi="Cambria Math"/>
                        <w:color w:val="auto"/>
                        <w:highlight w:val="none"/>
                      </w:rPr>
                    </m:ctrlPr>
                  </m:e>
                  <m:sub>
                    <m:r>
                      <m:rPr/>
                      <w:rPr>
                        <w:rFonts w:ascii="Cambria Math" w:hAnsi="Cambria Math"/>
                        <w:color w:val="auto"/>
                        <w:highlight w:val="none"/>
                      </w:rPr>
                      <m:t>p</m:t>
                    </m:r>
                    <m:ctrlPr>
                      <w:rPr>
                        <w:rFonts w:ascii="Cambria Math" w:hAnsi="Cambria Math"/>
                        <w:color w:val="auto"/>
                        <w:highlight w:val="none"/>
                      </w:rPr>
                    </m:ctrlPr>
                  </m:sub>
                </m:sSub>
                <m:d>
                  <m:dPr>
                    <m:ctrlPr>
                      <w:rPr>
                        <w:rFonts w:ascii="Cambria Math" w:hAnsi="Cambria Math"/>
                        <w:i/>
                        <w:color w:val="auto"/>
                        <w:highlight w:val="none"/>
                      </w:rPr>
                    </m:ctrlPr>
                  </m:dPr>
                  <m:e>
                    <m:r>
                      <m:rPr/>
                      <w:rPr>
                        <w:rFonts w:ascii="Cambria Math" w:hAnsi="Cambria Math"/>
                        <w:color w:val="auto"/>
                        <w:highlight w:val="none"/>
                      </w:rPr>
                      <m:t>r</m:t>
                    </m:r>
                    <m:ctrlPr>
                      <w:rPr>
                        <w:rFonts w:ascii="Cambria Math" w:hAnsi="Cambria Math"/>
                        <w:i/>
                        <w:color w:val="auto"/>
                        <w:highlight w:val="none"/>
                      </w:rPr>
                    </m:ctrlPr>
                  </m:e>
                </m:d>
                <m:r>
                  <m:rPr/>
                  <w:rPr>
                    <w:rFonts w:ascii="Cambria Math" w:hAnsi="Cambria Math"/>
                    <w:color w:val="auto"/>
                    <w:highlight w:val="none"/>
                  </w:rPr>
                  <m:t>=</m:t>
                </m:r>
                <m:sSub>
                  <m:sSubPr>
                    <m:ctrlPr>
                      <w:rPr>
                        <w:rFonts w:ascii="Cambria Math" w:hAnsi="Cambria Math"/>
                        <w:i/>
                        <w:color w:val="auto"/>
                        <w:highlight w:val="none"/>
                      </w:rPr>
                    </m:ctrlPr>
                  </m:sSubPr>
                  <m:e>
                    <m:r>
                      <m:rPr/>
                      <w:rPr>
                        <w:rFonts w:ascii="Cambria Math" w:hAnsi="Cambria Math"/>
                        <w:color w:val="auto"/>
                        <w:highlight w:val="none"/>
                      </w:rPr>
                      <m:t>L</m:t>
                    </m:r>
                    <m:ctrlPr>
                      <w:rPr>
                        <w:rFonts w:ascii="Cambria Math" w:hAnsi="Cambria Math"/>
                        <w:i/>
                        <w:color w:val="auto"/>
                        <w:highlight w:val="none"/>
                      </w:rPr>
                    </m:ctrlPr>
                  </m:e>
                  <m:sub>
                    <m:r>
                      <m:rPr/>
                      <w:rPr>
                        <w:rFonts w:ascii="Cambria Math" w:hAnsi="Cambria Math"/>
                        <w:color w:val="auto"/>
                        <w:highlight w:val="none"/>
                      </w:rPr>
                      <m:t>w</m:t>
                    </m:r>
                    <m:ctrlPr>
                      <w:rPr>
                        <w:rFonts w:ascii="Cambria Math" w:hAnsi="Cambria Math"/>
                        <w:i/>
                        <w:color w:val="auto"/>
                        <w:highlight w:val="none"/>
                      </w:rPr>
                    </m:ctrlPr>
                  </m:sub>
                </m:sSub>
                <m:r>
                  <m:rPr/>
                  <w:rPr>
                    <w:rFonts w:ascii="Cambria Math" w:hAnsi="Cambria Math"/>
                    <w:color w:val="auto"/>
                    <w:highlight w:val="none"/>
                  </w:rPr>
                  <m:t>−20</m:t>
                </m:r>
                <m:func>
                  <m:funcPr>
                    <m:ctrlPr>
                      <w:rPr>
                        <w:rFonts w:ascii="Cambria Math" w:hAnsi="Cambria Math"/>
                        <w:color w:val="auto"/>
                        <w:highlight w:val="none"/>
                      </w:rPr>
                    </m:ctrlPr>
                  </m:funcPr>
                  <m:fName>
                    <m:r>
                      <m:rPr>
                        <m:sty m:val="p"/>
                      </m:rPr>
                      <w:rPr>
                        <w:rFonts w:ascii="Cambria Math" w:hAnsi="Cambria Math"/>
                        <w:color w:val="auto"/>
                        <w:highlight w:val="none"/>
                      </w:rPr>
                      <m:t>lg</m:t>
                    </m:r>
                    <m:ctrlPr>
                      <w:rPr>
                        <w:rFonts w:ascii="Cambria Math" w:hAnsi="Cambria Math"/>
                        <w:color w:val="auto"/>
                        <w:highlight w:val="none"/>
                      </w:rPr>
                    </m:ctrlPr>
                  </m:fName>
                  <m:e>
                    <m:d>
                      <m:dPr>
                        <m:ctrlPr>
                          <w:rPr>
                            <w:rFonts w:ascii="Cambria Math" w:hAnsi="Cambria Math"/>
                            <w:i/>
                            <w:color w:val="auto"/>
                            <w:highlight w:val="none"/>
                          </w:rPr>
                        </m:ctrlPr>
                      </m:dPr>
                      <m:e>
                        <m:r>
                          <m:rPr/>
                          <w:rPr>
                            <w:rFonts w:ascii="Cambria Math" w:hAnsi="Cambria Math"/>
                            <w:color w:val="auto"/>
                            <w:highlight w:val="none"/>
                          </w:rPr>
                          <m:t>r</m:t>
                        </m:r>
                        <m:ctrlPr>
                          <w:rPr>
                            <w:rFonts w:ascii="Cambria Math" w:hAnsi="Cambria Math"/>
                            <w:i/>
                            <w:color w:val="auto"/>
                            <w:highlight w:val="none"/>
                          </w:rPr>
                        </m:ctrlPr>
                      </m:e>
                    </m:d>
                    <m:ctrlPr>
                      <w:rPr>
                        <w:rFonts w:ascii="Cambria Math" w:hAnsi="Cambria Math"/>
                        <w:color w:val="auto"/>
                        <w:highlight w:val="none"/>
                      </w:rPr>
                    </m:ctrlPr>
                  </m:e>
                </m:func>
                <m:r>
                  <m:rPr/>
                  <w:rPr>
                    <w:rFonts w:ascii="Cambria Math" w:hAnsi="Cambria Math"/>
                    <w:color w:val="auto"/>
                    <w:highlight w:val="none"/>
                  </w:rPr>
                  <m:t>−8</m:t>
                </m:r>
              </m:oMath>
            </m:oMathPara>
          </w:p>
          <w:p>
            <w:pPr>
              <w:pStyle w:val="72"/>
              <w:spacing w:line="360" w:lineRule="auto"/>
              <w:ind w:firstLine="480" w:firstLineChars="200"/>
              <w:rPr>
                <w:color w:val="auto"/>
                <w:kern w:val="0"/>
                <w:sz w:val="24"/>
                <w:highlight w:val="none"/>
                <w:lang w:val="zh-CN"/>
              </w:rPr>
            </w:pPr>
            <w:r>
              <w:rPr>
                <w:rFonts w:hint="eastAsia"/>
                <w:color w:val="auto"/>
                <w:highlight w:val="none"/>
                <w:lang w:val="en-US" w:eastAsia="zh-CN"/>
              </w:rPr>
              <w:t>B.</w:t>
            </w:r>
            <w:r>
              <w:rPr>
                <w:color w:val="auto"/>
                <w:kern w:val="0"/>
                <w:sz w:val="24"/>
                <w:highlight w:val="none"/>
                <w:lang w:val="zh-CN"/>
              </w:rPr>
              <w:t>反射体引起的修正</w:t>
            </w:r>
            <w:r>
              <w:rPr>
                <w:rFonts w:hint="eastAsia"/>
                <w:color w:val="auto"/>
                <w:kern w:val="0"/>
                <w:sz w:val="24"/>
                <w:highlight w:val="none"/>
                <w:lang w:val="zh-CN"/>
              </w:rPr>
              <w:t>（</w:t>
            </w:r>
            <w:r>
              <w:rPr>
                <w:color w:val="auto"/>
                <w:kern w:val="0"/>
                <w:sz w:val="24"/>
                <w:szCs w:val="14"/>
                <w:highlight w:val="none"/>
                <w:lang w:val="zh-CN"/>
              </w:rPr>
              <w:t>r</w:t>
            </w:r>
            <w:r>
              <w:rPr>
                <w:rFonts w:hint="eastAsia"/>
                <w:color w:val="auto"/>
                <w:kern w:val="0"/>
                <w:sz w:val="24"/>
                <w:szCs w:val="14"/>
                <w:highlight w:val="none"/>
                <w:lang w:val="zh-CN"/>
              </w:rPr>
              <w:t>）</w:t>
            </w:r>
            <w:r>
              <w:rPr>
                <w:color w:val="auto"/>
                <w:kern w:val="0"/>
                <w:sz w:val="24"/>
                <w:highlight w:val="none"/>
                <w:lang w:val="zh-CN"/>
              </w:rPr>
              <w:t>ΔL</w:t>
            </w:r>
          </w:p>
          <w:p>
            <w:pPr>
              <w:pStyle w:val="72"/>
              <w:spacing w:line="360" w:lineRule="auto"/>
              <w:ind w:firstLine="480" w:firstLineChars="200"/>
              <w:rPr>
                <w:color w:val="auto"/>
                <w:kern w:val="0"/>
                <w:highlight w:val="none"/>
                <w:lang w:val="zh-CN"/>
              </w:rPr>
            </w:pPr>
            <w:r>
              <w:rPr>
                <w:color w:val="auto"/>
                <w:highlight w:val="none"/>
                <w:lang w:val="zh-CN"/>
              </w:rPr>
              <w:t>如</w:t>
            </w:r>
            <w:r>
              <w:rPr>
                <w:rFonts w:hint="eastAsia"/>
                <w:color w:val="auto"/>
                <w:highlight w:val="none"/>
                <w:lang w:val="zh-CN"/>
              </w:rPr>
              <w:t>下图</w:t>
            </w:r>
            <w:r>
              <w:rPr>
                <w:color w:val="auto"/>
                <w:highlight w:val="none"/>
                <w:lang w:val="zh-CN"/>
              </w:rPr>
              <w:t>所示，当点声源与预测点处在反射体同侧附近时，到达预测点的声级是直达声与反射声叠加的结果，从而使预测点声级增高。</w:t>
            </w:r>
          </w:p>
          <w:p>
            <w:pPr>
              <w:adjustRightInd w:val="0"/>
              <w:snapToGrid w:val="0"/>
              <w:spacing w:line="360" w:lineRule="auto"/>
              <w:ind w:firstLine="280" w:firstLineChars="200"/>
              <w:jc w:val="center"/>
              <w:rPr>
                <w:color w:val="auto"/>
                <w:kern w:val="0"/>
                <w:sz w:val="14"/>
                <w:szCs w:val="14"/>
                <w:highlight w:val="none"/>
              </w:rPr>
            </w:pPr>
            <w:r>
              <w:rPr>
                <w:color w:val="auto"/>
                <w:kern w:val="0"/>
                <w:sz w:val="14"/>
                <w:szCs w:val="14"/>
                <w:highlight w:val="none"/>
              </w:rPr>
              <w:drawing>
                <wp:inline distT="0" distB="0" distL="0" distR="0">
                  <wp:extent cx="1926590" cy="1325880"/>
                  <wp:effectExtent l="0" t="0" r="1651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44370" cy="1338038"/>
                          </a:xfrm>
                          <a:prstGeom prst="rect">
                            <a:avLst/>
                          </a:prstGeom>
                          <a:noFill/>
                          <a:ln>
                            <a:noFill/>
                          </a:ln>
                        </pic:spPr>
                      </pic:pic>
                    </a:graphicData>
                  </a:graphic>
                </wp:inline>
              </w:drawing>
            </w:r>
          </w:p>
          <w:p>
            <w:pPr>
              <w:pStyle w:val="68"/>
              <w:adjustRightInd w:val="0"/>
              <w:snapToGrid w:val="0"/>
              <w:jc w:val="center"/>
              <w:outlineLvl w:val="4"/>
              <w:rPr>
                <w:rFonts w:eastAsia="黑体"/>
                <w:b/>
                <w:color w:val="auto"/>
                <w:szCs w:val="21"/>
                <w:highlight w:val="none"/>
              </w:rPr>
            </w:pPr>
            <w:r>
              <w:rPr>
                <w:rFonts w:hint="eastAsia"/>
                <w:color w:val="auto"/>
                <w:highlight w:val="none"/>
              </w:rPr>
              <w:t>图4.</w:t>
            </w:r>
            <w:r>
              <w:rPr>
                <w:rFonts w:hint="eastAsia"/>
                <w:color w:val="auto"/>
                <w:highlight w:val="none"/>
                <w:lang w:val="en-US" w:eastAsia="zh-CN"/>
              </w:rPr>
              <w:t>4</w:t>
            </w:r>
            <w:r>
              <w:rPr>
                <w:color w:val="auto"/>
                <w:highlight w:val="none"/>
              </w:rPr>
              <w:t>-</w:t>
            </w:r>
            <w:r>
              <w:rPr>
                <w:rFonts w:hint="eastAsia"/>
                <w:color w:val="auto"/>
                <w:highlight w:val="none"/>
                <w:lang w:val="en-US" w:eastAsia="zh-CN"/>
              </w:rPr>
              <w:t>1</w:t>
            </w:r>
            <w:r>
              <w:rPr>
                <w:color w:val="auto"/>
                <w:highlight w:val="none"/>
              </w:rPr>
              <w:t>反射体的影响</w:t>
            </w:r>
          </w:p>
          <w:p>
            <w:pPr>
              <w:pStyle w:val="72"/>
              <w:adjustRightInd w:val="0"/>
              <w:snapToGrid w:val="0"/>
              <w:spacing w:line="360" w:lineRule="auto"/>
              <w:ind w:firstLine="480" w:firstLineChars="200"/>
              <w:rPr>
                <w:color w:val="auto"/>
                <w:highlight w:val="none"/>
              </w:rPr>
            </w:pPr>
            <w:r>
              <w:rPr>
                <w:color w:val="auto"/>
                <w:highlight w:val="none"/>
              </w:rPr>
              <w:t>当满足下列条件时，需考虑反射体引起的声级增高：</w:t>
            </w:r>
          </w:p>
          <w:p>
            <w:pPr>
              <w:pStyle w:val="72"/>
              <w:adjustRightInd w:val="0"/>
              <w:snapToGrid w:val="0"/>
              <w:spacing w:line="360" w:lineRule="auto"/>
              <w:ind w:firstLine="480" w:firstLineChars="200"/>
              <w:rPr>
                <w:color w:val="auto"/>
                <w:highlight w:val="none"/>
              </w:rPr>
            </w:pPr>
            <w:r>
              <w:rPr>
                <w:color w:val="auto"/>
                <w:highlight w:val="none"/>
              </w:rPr>
              <w:t>1）反射体表面平整光滑，坚硬的。</w:t>
            </w:r>
          </w:p>
          <w:p>
            <w:pPr>
              <w:pStyle w:val="72"/>
              <w:adjustRightInd w:val="0"/>
              <w:snapToGrid w:val="0"/>
              <w:spacing w:line="360" w:lineRule="auto"/>
              <w:ind w:firstLine="480" w:firstLineChars="200"/>
              <w:rPr>
                <w:color w:val="auto"/>
                <w:highlight w:val="none"/>
              </w:rPr>
            </w:pPr>
            <w:r>
              <w:rPr>
                <w:color w:val="auto"/>
                <w:highlight w:val="none"/>
              </w:rPr>
              <w:t>2）反射体尺寸远远大于所有声波波长λ。</w:t>
            </w:r>
          </w:p>
          <w:p>
            <w:pPr>
              <w:pStyle w:val="72"/>
              <w:adjustRightInd w:val="0"/>
              <w:snapToGrid w:val="0"/>
              <w:spacing w:line="360" w:lineRule="auto"/>
              <w:ind w:firstLine="480" w:firstLineChars="200"/>
              <w:rPr>
                <w:color w:val="auto"/>
                <w:kern w:val="0"/>
                <w:szCs w:val="20"/>
                <w:highlight w:val="none"/>
              </w:rPr>
            </w:pPr>
            <w:r>
              <w:rPr>
                <w:color w:val="auto"/>
                <w:highlight w:val="none"/>
              </w:rPr>
              <w:t>3）入射角θ＜85º。</w:t>
            </w:r>
          </w:p>
          <w:p>
            <w:pPr>
              <w:pStyle w:val="72"/>
              <w:adjustRightInd w:val="0"/>
              <w:snapToGrid w:val="0"/>
              <w:spacing w:line="360" w:lineRule="auto"/>
              <w:ind w:firstLine="480" w:firstLineChars="200"/>
              <w:rPr>
                <w:color w:val="auto"/>
                <w:highlight w:val="none"/>
              </w:rPr>
            </w:pPr>
            <w:r>
              <w:rPr>
                <w:color w:val="auto"/>
                <w:highlight w:val="none"/>
              </w:rPr>
              <w:t>r</w:t>
            </w:r>
            <w:r>
              <w:rPr>
                <w:color w:val="auto"/>
                <w:highlight w:val="none"/>
                <w:vertAlign w:val="subscript"/>
              </w:rPr>
              <w:t>r</w:t>
            </w:r>
            <w:r>
              <w:rPr>
                <w:color w:val="auto"/>
                <w:highlight w:val="none"/>
              </w:rPr>
              <w:t>−r</w:t>
            </w:r>
            <w:r>
              <w:rPr>
                <w:color w:val="auto"/>
                <w:highlight w:val="none"/>
                <w:vertAlign w:val="subscript"/>
              </w:rPr>
              <w:t>d</w:t>
            </w:r>
            <w:r>
              <w:rPr>
                <w:color w:val="auto"/>
                <w:highlight w:val="none"/>
              </w:rPr>
              <w:t>&gt;&gt;λ反射引起的修正量ΔL</w:t>
            </w:r>
            <w:r>
              <w:rPr>
                <w:color w:val="auto"/>
                <w:highlight w:val="none"/>
                <w:vertAlign w:val="subscript"/>
              </w:rPr>
              <w:t>r</w:t>
            </w:r>
            <w:r>
              <w:rPr>
                <w:color w:val="auto"/>
                <w:highlight w:val="none"/>
              </w:rPr>
              <w:t>与r</w:t>
            </w:r>
            <w:r>
              <w:rPr>
                <w:color w:val="auto"/>
                <w:highlight w:val="none"/>
                <w:vertAlign w:val="subscript"/>
              </w:rPr>
              <w:t>r</w:t>
            </w:r>
            <w:r>
              <w:rPr>
                <w:color w:val="auto"/>
                <w:highlight w:val="none"/>
              </w:rPr>
              <w:t>/r</w:t>
            </w:r>
            <w:r>
              <w:rPr>
                <w:color w:val="auto"/>
                <w:highlight w:val="none"/>
                <w:vertAlign w:val="subscript"/>
              </w:rPr>
              <w:t>d</w:t>
            </w:r>
            <w:r>
              <w:rPr>
                <w:color w:val="auto"/>
                <w:highlight w:val="none"/>
              </w:rPr>
              <w:t>有关（r</w:t>
            </w:r>
            <w:r>
              <w:rPr>
                <w:color w:val="auto"/>
                <w:highlight w:val="none"/>
                <w:vertAlign w:val="subscript"/>
              </w:rPr>
              <w:t>r</w:t>
            </w:r>
            <w:r>
              <w:rPr>
                <w:color w:val="auto"/>
                <w:highlight w:val="none"/>
              </w:rPr>
              <w:t>=IP、r</w:t>
            </w:r>
            <w:r>
              <w:rPr>
                <w:color w:val="auto"/>
                <w:highlight w:val="none"/>
                <w:vertAlign w:val="subscript"/>
              </w:rPr>
              <w:t>d</w:t>
            </w:r>
            <w:r>
              <w:rPr>
                <w:color w:val="auto"/>
                <w:highlight w:val="none"/>
              </w:rPr>
              <w:t>=SP），可按</w:t>
            </w:r>
            <w:r>
              <w:rPr>
                <w:rFonts w:hint="eastAsia"/>
                <w:color w:val="auto"/>
                <w:highlight w:val="none"/>
              </w:rPr>
              <w:t>下表</w:t>
            </w:r>
            <w:r>
              <w:rPr>
                <w:color w:val="auto"/>
                <w:highlight w:val="none"/>
              </w:rPr>
              <w:t>计算：</w:t>
            </w:r>
          </w:p>
          <w:p>
            <w:pPr>
              <w:pStyle w:val="68"/>
              <w:adjustRightInd w:val="0"/>
              <w:snapToGrid w:val="0"/>
              <w:jc w:val="center"/>
              <w:outlineLvl w:val="4"/>
              <w:rPr>
                <w:color w:val="auto"/>
                <w:highlight w:val="none"/>
              </w:rPr>
            </w:pPr>
            <w:r>
              <w:rPr>
                <w:rFonts w:hint="eastAsia"/>
                <w:color w:val="auto"/>
                <w:highlight w:val="none"/>
              </w:rPr>
              <w:t>表4</w:t>
            </w:r>
            <w:r>
              <w:rPr>
                <w:rFonts w:hint="eastAsia"/>
                <w:color w:val="auto"/>
                <w:highlight w:val="none"/>
                <w:lang w:val="en-US" w:eastAsia="zh-CN"/>
              </w:rPr>
              <w:t>.4.2</w:t>
            </w:r>
            <w:r>
              <w:rPr>
                <w:color w:val="auto"/>
                <w:highlight w:val="none"/>
              </w:rPr>
              <w:t>反射体引起的修正量</w:t>
            </w:r>
          </w:p>
          <w:tbl>
            <w:tblPr>
              <w:tblStyle w:val="2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094"/>
              <w:gridCol w:w="40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7" w:hRule="atLeast"/>
                <w:jc w:val="center"/>
              </w:trPr>
              <w:tc>
                <w:tcPr>
                  <w:tcW w:w="2500" w:type="pct"/>
                  <w:tcBorders>
                    <w:tl2br w:val="nil"/>
                    <w:tr2bl w:val="nil"/>
                  </w:tcBorders>
                </w:tcPr>
                <w:p>
                  <w:pPr>
                    <w:pStyle w:val="70"/>
                    <w:adjustRightInd w:val="0"/>
                    <w:snapToGrid w:val="0"/>
                    <w:spacing w:before="100" w:beforeAutospacing="1" w:after="100" w:afterAutospacing="1"/>
                    <w:jc w:val="center"/>
                    <w:rPr>
                      <w:color w:val="auto"/>
                      <w:highlight w:val="none"/>
                    </w:rPr>
                  </w:pPr>
                  <w:r>
                    <w:rPr>
                      <w:color w:val="auto"/>
                      <w:highlight w:val="none"/>
                    </w:rPr>
                    <w:t>r</w:t>
                  </w:r>
                  <w:r>
                    <w:rPr>
                      <w:color w:val="auto"/>
                      <w:highlight w:val="none"/>
                      <w:vertAlign w:val="subscript"/>
                    </w:rPr>
                    <w:t>r</w:t>
                  </w:r>
                  <w:r>
                    <w:rPr>
                      <w:color w:val="auto"/>
                      <w:highlight w:val="none"/>
                    </w:rPr>
                    <w:t>/r</w:t>
                  </w:r>
                  <w:r>
                    <w:rPr>
                      <w:color w:val="auto"/>
                      <w:highlight w:val="none"/>
                      <w:vertAlign w:val="subscript"/>
                    </w:rPr>
                    <w:t>d</w:t>
                  </w:r>
                </w:p>
              </w:tc>
              <w:tc>
                <w:tcPr>
                  <w:tcW w:w="2500" w:type="pct"/>
                  <w:tcBorders>
                    <w:tl2br w:val="nil"/>
                    <w:tr2bl w:val="nil"/>
                  </w:tcBorders>
                </w:tcPr>
                <w:p>
                  <w:pPr>
                    <w:pStyle w:val="70"/>
                    <w:adjustRightInd w:val="0"/>
                    <w:snapToGrid w:val="0"/>
                    <w:spacing w:before="100" w:beforeAutospacing="1" w:after="100" w:afterAutospacing="1"/>
                    <w:jc w:val="center"/>
                    <w:rPr>
                      <w:color w:val="auto"/>
                      <w:highlight w:val="none"/>
                    </w:rPr>
                  </w:pPr>
                  <w:r>
                    <w:rPr>
                      <w:color w:val="auto"/>
                      <w:highlight w:val="none"/>
                    </w:rPr>
                    <w:t>（dB）</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00" w:type="pct"/>
                  <w:tcBorders>
                    <w:tl2br w:val="nil"/>
                    <w:tr2bl w:val="nil"/>
                  </w:tcBorders>
                </w:tcPr>
                <w:p>
                  <w:pPr>
                    <w:pStyle w:val="70"/>
                    <w:adjustRightInd w:val="0"/>
                    <w:snapToGrid w:val="0"/>
                    <w:spacing w:before="100" w:beforeAutospacing="1" w:after="100" w:afterAutospacing="1"/>
                    <w:jc w:val="center"/>
                    <w:rPr>
                      <w:color w:val="auto"/>
                      <w:highlight w:val="none"/>
                    </w:rPr>
                  </w:pPr>
                  <w:r>
                    <w:rPr>
                      <w:color w:val="auto"/>
                      <w:highlight w:val="none"/>
                    </w:rPr>
                    <w:t>≈1</w:t>
                  </w:r>
                </w:p>
              </w:tc>
              <w:tc>
                <w:tcPr>
                  <w:tcW w:w="2500" w:type="pct"/>
                  <w:tcBorders>
                    <w:tl2br w:val="nil"/>
                    <w:tr2bl w:val="nil"/>
                  </w:tcBorders>
                </w:tcPr>
                <w:p>
                  <w:pPr>
                    <w:pStyle w:val="70"/>
                    <w:adjustRightInd w:val="0"/>
                    <w:snapToGrid w:val="0"/>
                    <w:spacing w:before="100" w:beforeAutospacing="1" w:after="100" w:afterAutospacing="1"/>
                    <w:jc w:val="center"/>
                    <w:rPr>
                      <w:color w:val="auto"/>
                      <w:highlight w:val="none"/>
                    </w:rPr>
                  </w:pPr>
                  <w:r>
                    <w:rPr>
                      <w:color w:val="auto"/>
                      <w:highlight w:val="none"/>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00" w:type="pct"/>
                  <w:tcBorders>
                    <w:tl2br w:val="nil"/>
                    <w:tr2bl w:val="nil"/>
                  </w:tcBorders>
                </w:tcPr>
                <w:p>
                  <w:pPr>
                    <w:pStyle w:val="70"/>
                    <w:adjustRightInd w:val="0"/>
                    <w:snapToGrid w:val="0"/>
                    <w:spacing w:before="100" w:beforeAutospacing="1" w:after="100" w:afterAutospacing="1"/>
                    <w:jc w:val="center"/>
                    <w:rPr>
                      <w:color w:val="auto"/>
                      <w:highlight w:val="none"/>
                    </w:rPr>
                  </w:pPr>
                  <w:r>
                    <w:rPr>
                      <w:color w:val="auto"/>
                      <w:highlight w:val="none"/>
                    </w:rPr>
                    <w:t>≈1.4</w:t>
                  </w:r>
                </w:p>
              </w:tc>
              <w:tc>
                <w:tcPr>
                  <w:tcW w:w="2500" w:type="pct"/>
                  <w:tcBorders>
                    <w:tl2br w:val="nil"/>
                    <w:tr2bl w:val="nil"/>
                  </w:tcBorders>
                </w:tcPr>
                <w:p>
                  <w:pPr>
                    <w:pStyle w:val="70"/>
                    <w:adjustRightInd w:val="0"/>
                    <w:snapToGrid w:val="0"/>
                    <w:spacing w:before="100" w:beforeAutospacing="1" w:after="100" w:afterAutospacing="1"/>
                    <w:jc w:val="center"/>
                    <w:rPr>
                      <w:color w:val="auto"/>
                      <w:highlight w:val="none"/>
                    </w:rPr>
                  </w:pPr>
                  <w:r>
                    <w:rPr>
                      <w:color w:val="auto"/>
                      <w:highlight w:val="none"/>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00" w:type="pct"/>
                  <w:tcBorders>
                    <w:tl2br w:val="nil"/>
                    <w:tr2bl w:val="nil"/>
                  </w:tcBorders>
                </w:tcPr>
                <w:p>
                  <w:pPr>
                    <w:pStyle w:val="70"/>
                    <w:adjustRightInd w:val="0"/>
                    <w:snapToGrid w:val="0"/>
                    <w:spacing w:before="100" w:beforeAutospacing="1" w:after="100" w:afterAutospacing="1"/>
                    <w:jc w:val="center"/>
                    <w:rPr>
                      <w:color w:val="auto"/>
                      <w:highlight w:val="none"/>
                    </w:rPr>
                  </w:pPr>
                  <w:r>
                    <w:rPr>
                      <w:color w:val="auto"/>
                      <w:highlight w:val="none"/>
                    </w:rPr>
                    <w:t>≈2</w:t>
                  </w:r>
                </w:p>
              </w:tc>
              <w:tc>
                <w:tcPr>
                  <w:tcW w:w="2500" w:type="pct"/>
                  <w:tcBorders>
                    <w:tl2br w:val="nil"/>
                    <w:tr2bl w:val="nil"/>
                  </w:tcBorders>
                </w:tcPr>
                <w:p>
                  <w:pPr>
                    <w:pStyle w:val="70"/>
                    <w:adjustRightInd w:val="0"/>
                    <w:snapToGrid w:val="0"/>
                    <w:spacing w:before="100" w:beforeAutospacing="1" w:after="100" w:afterAutospacing="1"/>
                    <w:jc w:val="center"/>
                    <w:rPr>
                      <w:color w:val="auto"/>
                      <w:highlight w:val="none"/>
                    </w:rPr>
                  </w:pPr>
                  <w:r>
                    <w:rPr>
                      <w:color w:val="auto"/>
                      <w:highlight w:val="none"/>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00" w:type="pct"/>
                  <w:tcBorders>
                    <w:tl2br w:val="nil"/>
                    <w:tr2bl w:val="nil"/>
                  </w:tcBorders>
                </w:tcPr>
                <w:p>
                  <w:pPr>
                    <w:pStyle w:val="70"/>
                    <w:adjustRightInd w:val="0"/>
                    <w:snapToGrid w:val="0"/>
                    <w:spacing w:before="100" w:beforeAutospacing="1" w:after="100" w:afterAutospacing="1"/>
                    <w:jc w:val="center"/>
                    <w:rPr>
                      <w:color w:val="auto"/>
                      <w:highlight w:val="none"/>
                    </w:rPr>
                  </w:pPr>
                  <w:r>
                    <w:rPr>
                      <w:color w:val="auto"/>
                      <w:highlight w:val="none"/>
                    </w:rPr>
                    <w:t>2.5</w:t>
                  </w:r>
                </w:p>
              </w:tc>
              <w:tc>
                <w:tcPr>
                  <w:tcW w:w="2500" w:type="pct"/>
                  <w:tcBorders>
                    <w:tl2br w:val="nil"/>
                    <w:tr2bl w:val="nil"/>
                  </w:tcBorders>
                </w:tcPr>
                <w:p>
                  <w:pPr>
                    <w:pStyle w:val="70"/>
                    <w:adjustRightInd w:val="0"/>
                    <w:snapToGrid w:val="0"/>
                    <w:spacing w:before="100" w:beforeAutospacing="1" w:after="100" w:afterAutospacing="1"/>
                    <w:jc w:val="center"/>
                    <w:rPr>
                      <w:color w:val="auto"/>
                      <w:highlight w:val="none"/>
                    </w:rPr>
                  </w:pPr>
                  <w:r>
                    <w:rPr>
                      <w:color w:val="auto"/>
                      <w:highlight w:val="none"/>
                    </w:rPr>
                    <w:t>0</w:t>
                  </w:r>
                </w:p>
              </w:tc>
            </w:tr>
          </w:tbl>
          <w:p>
            <w:pPr>
              <w:pStyle w:val="72"/>
              <w:spacing w:line="360" w:lineRule="auto"/>
              <w:ind w:firstLine="480" w:firstLineChars="200"/>
              <w:rPr>
                <w:color w:val="auto"/>
                <w:highlight w:val="none"/>
                <w:lang w:val="zh-CN"/>
              </w:rPr>
            </w:pPr>
            <w:r>
              <w:rPr>
                <w:rFonts w:hint="eastAsia"/>
                <w:color w:val="auto"/>
                <w:highlight w:val="none"/>
                <w:lang w:val="en-US" w:eastAsia="zh-CN"/>
              </w:rPr>
              <w:t>C.</w:t>
            </w:r>
            <w:r>
              <w:rPr>
                <w:color w:val="auto"/>
                <w:highlight w:val="none"/>
                <w:lang w:val="zh-CN"/>
              </w:rPr>
              <w:t>面声源的几何发散衰减</w:t>
            </w:r>
          </w:p>
          <w:p>
            <w:pPr>
              <w:pStyle w:val="72"/>
              <w:spacing w:line="360" w:lineRule="auto"/>
              <w:ind w:firstLine="480" w:firstLineChars="200"/>
              <w:rPr>
                <w:color w:val="auto"/>
                <w:highlight w:val="none"/>
                <w:lang w:val="zh-CN"/>
              </w:rPr>
            </w:pPr>
            <w:r>
              <w:rPr>
                <w:color w:val="auto"/>
                <w:highlight w:val="none"/>
                <w:lang w:val="zh-CN"/>
              </w:rPr>
              <w:t>一个大型机器设备的振动表面，车间透声的墙壁，均可以认为是面声源。如果已知面声源单位面积的声功率为W，各面积元噪声的位相是随机的，面声源可看作由无数点声源连续分布组合而成，其合成声级可按能量叠加法求出。</w:t>
            </w:r>
          </w:p>
          <w:p>
            <w:pPr>
              <w:pStyle w:val="72"/>
              <w:spacing w:line="360" w:lineRule="auto"/>
              <w:ind w:firstLine="480" w:firstLineChars="200"/>
              <w:rPr>
                <w:color w:val="auto"/>
                <w:kern w:val="0"/>
                <w:highlight w:val="none"/>
                <w:lang w:val="zh-CN"/>
              </w:rPr>
            </w:pPr>
            <w:r>
              <w:rPr>
                <w:rFonts w:hint="eastAsia"/>
                <w:color w:val="auto"/>
                <w:highlight w:val="none"/>
                <w:lang w:val="zh-CN"/>
              </w:rPr>
              <w:t>下图</w:t>
            </w:r>
            <w:r>
              <w:rPr>
                <w:color w:val="auto"/>
                <w:highlight w:val="none"/>
                <w:lang w:val="zh-CN"/>
              </w:rPr>
              <w:t>给出了长方形面声源中心轴线上的声衰减曲线。当预测点和面声源中心距离r处于以下条件时，可按下述方法近似计算：r&lt;a/π时，几乎不衰减</w:t>
            </w:r>
            <w:r>
              <w:rPr>
                <w:color w:val="auto"/>
                <w:kern w:val="0"/>
                <w:highlight w:val="none"/>
                <w:lang w:val="zh-CN"/>
              </w:rPr>
              <w:t>（</w:t>
            </w:r>
            <w:r>
              <w:rPr>
                <w:i/>
                <w:iCs/>
                <w:color w:val="auto"/>
                <w:kern w:val="0"/>
                <w:highlight w:val="none"/>
                <w:lang w:val="zh-CN"/>
              </w:rPr>
              <w:t>A</w:t>
            </w:r>
            <w:r>
              <w:rPr>
                <w:i/>
                <w:iCs/>
                <w:color w:val="auto"/>
                <w:kern w:val="0"/>
                <w:szCs w:val="14"/>
                <w:highlight w:val="none"/>
                <w:vertAlign w:val="subscript"/>
                <w:lang w:val="zh-CN"/>
              </w:rPr>
              <w:t>div</w:t>
            </w:r>
            <w:r>
              <w:rPr>
                <w:color w:val="auto"/>
                <w:kern w:val="0"/>
                <w:highlight w:val="none"/>
                <w:lang w:val="zh-CN"/>
              </w:rPr>
              <w:t>≈0）；当</w:t>
            </w:r>
            <w:r>
              <w:rPr>
                <w:i/>
                <w:iCs/>
                <w:color w:val="auto"/>
                <w:kern w:val="0"/>
                <w:highlight w:val="none"/>
                <w:lang w:val="zh-CN"/>
              </w:rPr>
              <w:t>a/</w:t>
            </w:r>
            <w:r>
              <w:rPr>
                <w:rFonts w:eastAsia="SymbolMT"/>
                <w:color w:val="auto"/>
                <w:kern w:val="0"/>
                <w:highlight w:val="none"/>
                <w:lang w:val="zh-CN"/>
              </w:rPr>
              <w:t>π</w:t>
            </w:r>
            <w:r>
              <w:rPr>
                <w:i/>
                <w:iCs/>
                <w:color w:val="auto"/>
                <w:kern w:val="0"/>
                <w:highlight w:val="none"/>
                <w:lang w:val="zh-CN"/>
              </w:rPr>
              <w:t>&lt;r&lt;b/</w:t>
            </w:r>
            <w:r>
              <w:rPr>
                <w:rFonts w:eastAsia="SymbolMT"/>
                <w:color w:val="auto"/>
                <w:kern w:val="0"/>
                <w:highlight w:val="none"/>
                <w:lang w:val="zh-CN"/>
              </w:rPr>
              <w:t>π</w:t>
            </w:r>
            <w:r>
              <w:rPr>
                <w:color w:val="auto"/>
                <w:kern w:val="0"/>
                <w:highlight w:val="none"/>
                <w:lang w:val="zh-CN"/>
              </w:rPr>
              <w:t>，距离加倍衰减3dB左右，类似线声源衰减特性（</w:t>
            </w:r>
            <w:r>
              <w:rPr>
                <w:i/>
                <w:iCs/>
                <w:color w:val="auto"/>
                <w:kern w:val="0"/>
                <w:highlight w:val="none"/>
                <w:lang w:val="zh-CN"/>
              </w:rPr>
              <w:t>A</w:t>
            </w:r>
            <w:r>
              <w:rPr>
                <w:i/>
                <w:iCs/>
                <w:color w:val="auto"/>
                <w:kern w:val="0"/>
                <w:szCs w:val="14"/>
                <w:highlight w:val="none"/>
                <w:vertAlign w:val="subscript"/>
                <w:lang w:val="zh-CN"/>
              </w:rPr>
              <w:t>div</w:t>
            </w:r>
            <w:r>
              <w:rPr>
                <w:color w:val="auto"/>
                <w:kern w:val="0"/>
                <w:highlight w:val="none"/>
                <w:lang w:val="zh-CN"/>
              </w:rPr>
              <w:t>≈10lg（</w:t>
            </w:r>
            <w:r>
              <w:rPr>
                <w:i/>
                <w:iCs/>
                <w:color w:val="auto"/>
                <w:kern w:val="0"/>
                <w:highlight w:val="none"/>
                <w:lang w:val="zh-CN"/>
              </w:rPr>
              <w:t>r</w:t>
            </w:r>
            <w:r>
              <w:rPr>
                <w:color w:val="auto"/>
                <w:kern w:val="0"/>
                <w:highlight w:val="none"/>
                <w:lang w:val="zh-CN"/>
              </w:rPr>
              <w:t>/</w:t>
            </w:r>
            <w:r>
              <w:rPr>
                <w:i/>
                <w:iCs/>
                <w:color w:val="auto"/>
                <w:kern w:val="0"/>
                <w:highlight w:val="none"/>
                <w:lang w:val="zh-CN"/>
              </w:rPr>
              <w:t>r</w:t>
            </w:r>
            <w:r>
              <w:rPr>
                <w:color w:val="auto"/>
                <w:kern w:val="0"/>
                <w:szCs w:val="16"/>
                <w:highlight w:val="none"/>
                <w:vertAlign w:val="subscript"/>
                <w:lang w:val="zh-CN"/>
              </w:rPr>
              <w:t>0</w:t>
            </w:r>
            <w:r>
              <w:rPr>
                <w:color w:val="auto"/>
                <w:kern w:val="0"/>
                <w:highlight w:val="none"/>
                <w:lang w:val="zh-CN"/>
              </w:rPr>
              <w:t>））；当</w:t>
            </w:r>
            <w:r>
              <w:rPr>
                <w:i/>
                <w:iCs/>
                <w:color w:val="auto"/>
                <w:kern w:val="0"/>
                <w:highlight w:val="none"/>
                <w:lang w:val="zh-CN"/>
              </w:rPr>
              <w:t>r&gt;b/</w:t>
            </w:r>
            <w:r>
              <w:rPr>
                <w:rFonts w:eastAsia="SymbolMT"/>
                <w:color w:val="auto"/>
                <w:kern w:val="0"/>
                <w:highlight w:val="none"/>
                <w:lang w:val="zh-CN"/>
              </w:rPr>
              <w:t>π</w:t>
            </w:r>
            <w:r>
              <w:rPr>
                <w:color w:val="auto"/>
                <w:kern w:val="0"/>
                <w:highlight w:val="none"/>
                <w:lang w:val="zh-CN"/>
              </w:rPr>
              <w:t>时，距离加倍衰减趋近于6dB，类似点声源衰减特性（</w:t>
            </w:r>
            <w:r>
              <w:rPr>
                <w:i/>
                <w:iCs/>
                <w:color w:val="auto"/>
                <w:kern w:val="0"/>
                <w:highlight w:val="none"/>
                <w:lang w:val="zh-CN"/>
              </w:rPr>
              <w:t>A</w:t>
            </w:r>
            <w:r>
              <w:rPr>
                <w:i/>
                <w:iCs/>
                <w:color w:val="auto"/>
                <w:kern w:val="0"/>
                <w:szCs w:val="14"/>
                <w:highlight w:val="none"/>
                <w:vertAlign w:val="subscript"/>
                <w:lang w:val="zh-CN"/>
              </w:rPr>
              <w:t>div</w:t>
            </w:r>
            <w:r>
              <w:rPr>
                <w:color w:val="auto"/>
                <w:kern w:val="0"/>
                <w:highlight w:val="none"/>
                <w:lang w:val="zh-CN"/>
              </w:rPr>
              <w:t>≈20lg（</w:t>
            </w:r>
            <w:r>
              <w:rPr>
                <w:i/>
                <w:iCs/>
                <w:color w:val="auto"/>
                <w:kern w:val="0"/>
                <w:highlight w:val="none"/>
                <w:lang w:val="zh-CN"/>
              </w:rPr>
              <w:t>r</w:t>
            </w:r>
            <w:r>
              <w:rPr>
                <w:color w:val="auto"/>
                <w:kern w:val="0"/>
                <w:highlight w:val="none"/>
                <w:lang w:val="zh-CN"/>
              </w:rPr>
              <w:t>/</w:t>
            </w:r>
            <w:r>
              <w:rPr>
                <w:i/>
                <w:iCs/>
                <w:color w:val="auto"/>
                <w:kern w:val="0"/>
                <w:highlight w:val="none"/>
                <w:lang w:val="zh-CN"/>
              </w:rPr>
              <w:t>r</w:t>
            </w:r>
            <w:r>
              <w:rPr>
                <w:color w:val="auto"/>
                <w:kern w:val="0"/>
                <w:szCs w:val="16"/>
                <w:highlight w:val="none"/>
                <w:vertAlign w:val="subscript"/>
                <w:lang w:val="zh-CN"/>
              </w:rPr>
              <w:t>0</w:t>
            </w:r>
            <w:r>
              <w:rPr>
                <w:color w:val="auto"/>
                <w:kern w:val="0"/>
                <w:highlight w:val="none"/>
                <w:lang w:val="zh-CN"/>
              </w:rPr>
              <w:t>））。其中面声源的</w:t>
            </w:r>
            <w:r>
              <w:rPr>
                <w:i/>
                <w:iCs/>
                <w:color w:val="auto"/>
                <w:kern w:val="0"/>
                <w:highlight w:val="none"/>
                <w:lang w:val="zh-CN"/>
              </w:rPr>
              <w:t>b&gt;a</w:t>
            </w:r>
            <w:r>
              <w:rPr>
                <w:color w:val="auto"/>
                <w:kern w:val="0"/>
                <w:highlight w:val="none"/>
                <w:lang w:val="zh-CN"/>
              </w:rPr>
              <w:t>。图中虚线为实际衰减量。</w:t>
            </w:r>
          </w:p>
          <w:p>
            <w:pPr>
              <w:adjustRightInd w:val="0"/>
              <w:snapToGrid w:val="0"/>
              <w:spacing w:line="360" w:lineRule="auto"/>
              <w:ind w:firstLine="480" w:firstLineChars="200"/>
              <w:jc w:val="center"/>
              <w:rPr>
                <w:color w:val="auto"/>
                <w:sz w:val="24"/>
                <w:szCs w:val="20"/>
                <w:highlight w:val="none"/>
              </w:rPr>
            </w:pPr>
            <w:r>
              <w:rPr>
                <w:color w:val="auto"/>
                <w:sz w:val="24"/>
                <w:szCs w:val="20"/>
                <w:highlight w:val="none"/>
              </w:rPr>
              <w:drawing>
                <wp:inline distT="0" distB="0" distL="0" distR="0">
                  <wp:extent cx="3093085" cy="2305685"/>
                  <wp:effectExtent l="0" t="0" r="12065" b="18415"/>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93085" cy="2305685"/>
                          </a:xfrm>
                          <a:prstGeom prst="rect">
                            <a:avLst/>
                          </a:prstGeom>
                          <a:noFill/>
                          <a:ln>
                            <a:noFill/>
                          </a:ln>
                        </pic:spPr>
                      </pic:pic>
                    </a:graphicData>
                  </a:graphic>
                </wp:inline>
              </w:drawing>
            </w:r>
          </w:p>
          <w:p>
            <w:pPr>
              <w:pStyle w:val="68"/>
              <w:adjustRightInd w:val="0"/>
              <w:snapToGrid w:val="0"/>
              <w:jc w:val="center"/>
              <w:outlineLvl w:val="4"/>
              <w:rPr>
                <w:rFonts w:eastAsia="黑体"/>
                <w:b/>
                <w:color w:val="auto"/>
                <w:szCs w:val="21"/>
                <w:highlight w:val="none"/>
              </w:rPr>
            </w:pPr>
            <w:r>
              <w:rPr>
                <w:rFonts w:hint="eastAsia"/>
                <w:color w:val="auto"/>
                <w:highlight w:val="none"/>
              </w:rPr>
              <w:t>图4.</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2</w:t>
            </w:r>
            <w:r>
              <w:rPr>
                <w:color w:val="auto"/>
                <w:highlight w:val="none"/>
              </w:rPr>
              <w:t>长方形面声源中心轴线上的衰减特性</w:t>
            </w:r>
          </w:p>
          <w:p>
            <w:pPr>
              <w:pStyle w:val="72"/>
              <w:spacing w:line="360" w:lineRule="auto"/>
              <w:ind w:firstLine="480" w:firstLineChars="200"/>
              <w:rPr>
                <w:color w:val="auto"/>
                <w:highlight w:val="none"/>
                <w:lang w:val="zh-CN"/>
              </w:rPr>
            </w:pPr>
            <w:r>
              <w:rPr>
                <w:rFonts w:hint="eastAsia"/>
                <w:color w:val="auto"/>
                <w:highlight w:val="none"/>
                <w:lang w:val="en-US" w:eastAsia="zh-CN"/>
              </w:rPr>
              <w:t>D.</w:t>
            </w:r>
            <w:r>
              <w:rPr>
                <w:color w:val="auto"/>
                <w:highlight w:val="none"/>
                <w:lang w:val="zh-CN"/>
              </w:rPr>
              <w:t>空气吸收引起的衰减（</w:t>
            </w:r>
            <w:r>
              <w:rPr>
                <w:i/>
                <w:iCs/>
                <w:color w:val="auto"/>
                <w:highlight w:val="none"/>
                <w:lang w:val="zh-CN"/>
              </w:rPr>
              <w:t>A</w:t>
            </w:r>
            <w:r>
              <w:rPr>
                <w:i/>
                <w:iCs/>
                <w:color w:val="auto"/>
                <w:highlight w:val="none"/>
                <w:vertAlign w:val="subscript"/>
                <w:lang w:val="zh-CN"/>
              </w:rPr>
              <w:t>atm</w:t>
            </w:r>
            <w:r>
              <w:rPr>
                <w:color w:val="auto"/>
                <w:highlight w:val="none"/>
                <w:lang w:val="zh-CN"/>
              </w:rPr>
              <w:t>）</w:t>
            </w:r>
          </w:p>
          <w:p>
            <w:pPr>
              <w:pStyle w:val="72"/>
              <w:spacing w:line="360" w:lineRule="auto"/>
              <w:ind w:firstLine="480" w:firstLineChars="200"/>
              <w:rPr>
                <w:color w:val="auto"/>
                <w:highlight w:val="none"/>
                <w:lang w:val="zh-CN"/>
              </w:rPr>
            </w:pPr>
            <w:r>
              <w:rPr>
                <w:color w:val="auto"/>
                <w:highlight w:val="none"/>
                <w:lang w:val="zh-CN"/>
              </w:rPr>
              <w:t>空气吸收引起的衰减按</w:t>
            </w:r>
            <w:r>
              <w:rPr>
                <w:rFonts w:hint="eastAsia"/>
                <w:color w:val="auto"/>
                <w:highlight w:val="none"/>
                <w:lang w:val="zh-CN"/>
              </w:rPr>
              <w:t>下式</w:t>
            </w:r>
            <w:r>
              <w:rPr>
                <w:color w:val="auto"/>
                <w:highlight w:val="none"/>
                <w:lang w:val="zh-CN"/>
              </w:rPr>
              <w:t>计算：</w:t>
            </w:r>
          </w:p>
          <w:p>
            <w:pPr>
              <w:wordWrap w:val="0"/>
              <w:spacing w:line="360" w:lineRule="auto"/>
              <w:ind w:firstLine="420" w:firstLineChars="200"/>
              <w:jc w:val="right"/>
              <w:rPr>
                <w:color w:val="auto"/>
                <w:kern w:val="0"/>
                <w:sz w:val="24"/>
                <w:highlight w:val="none"/>
                <w:lang w:val="zh-CN"/>
              </w:rPr>
            </w:pPr>
            <m:oMathPara>
              <m:oMath>
                <m:r>
                  <m:rPr>
                    <m:sty m:val="p"/>
                  </m:rPr>
                  <w:rPr>
                    <w:rFonts w:ascii="Cambria Math" w:hAnsi="Cambria Math"/>
                    <w:color w:val="auto"/>
                    <w:highlight w:val="none"/>
                  </w:rPr>
                  <m:t>Aatm=</m:t>
                </m:r>
                <m:f>
                  <m:fPr>
                    <m:ctrlPr>
                      <w:rPr>
                        <w:rFonts w:ascii="Cambria Math" w:hAnsi="Cambria Math"/>
                        <w:color w:val="auto"/>
                        <w:highlight w:val="none"/>
                      </w:rPr>
                    </m:ctrlPr>
                  </m:fPr>
                  <m:num>
                    <m:r>
                      <m:rPr/>
                      <w:rPr>
                        <w:rFonts w:ascii="Cambria Math" w:hAnsi="Cambria Math"/>
                        <w:color w:val="auto"/>
                        <w:highlight w:val="none"/>
                      </w:rPr>
                      <m:t>a(r−</m:t>
                    </m:r>
                    <m:sSub>
                      <m:sSubPr>
                        <m:ctrlPr>
                          <w:rPr>
                            <w:rFonts w:ascii="Cambria Math" w:hAnsi="Cambria Math"/>
                            <w:i/>
                            <w:color w:val="auto"/>
                            <w:highlight w:val="none"/>
                          </w:rPr>
                        </m:ctrlPr>
                      </m:sSubPr>
                      <m:e>
                        <m:r>
                          <m:rPr/>
                          <w:rPr>
                            <w:rFonts w:ascii="Cambria Math" w:hAnsi="Cambria Math"/>
                            <w:color w:val="auto"/>
                            <w:highlight w:val="none"/>
                          </w:rPr>
                          <m:t>r</m:t>
                        </m:r>
                        <m:ctrlPr>
                          <w:rPr>
                            <w:rFonts w:ascii="Cambria Math" w:hAnsi="Cambria Math"/>
                            <w:i/>
                            <w:color w:val="auto"/>
                            <w:highlight w:val="none"/>
                          </w:rPr>
                        </m:ctrlPr>
                      </m:e>
                      <m:sub>
                        <m:r>
                          <m:rPr/>
                          <w:rPr>
                            <w:rFonts w:ascii="Cambria Math" w:hAnsi="Cambria Math"/>
                            <w:color w:val="auto"/>
                            <w:highlight w:val="none"/>
                          </w:rPr>
                          <m:t>0</m:t>
                        </m:r>
                        <m:ctrlPr>
                          <w:rPr>
                            <w:rFonts w:ascii="Cambria Math" w:hAnsi="Cambria Math"/>
                            <w:i/>
                            <w:color w:val="auto"/>
                            <w:highlight w:val="none"/>
                          </w:rPr>
                        </m:ctrlPr>
                      </m:sub>
                    </m:sSub>
                    <m:r>
                      <m:rPr/>
                      <w:rPr>
                        <w:rFonts w:ascii="Cambria Math" w:hAnsi="Cambria Math"/>
                        <w:color w:val="auto"/>
                        <w:highlight w:val="none"/>
                      </w:rPr>
                      <m:t>)</m:t>
                    </m:r>
                    <m:ctrlPr>
                      <w:rPr>
                        <w:rFonts w:ascii="Cambria Math" w:hAnsi="Cambria Math"/>
                        <w:color w:val="auto"/>
                        <w:highlight w:val="none"/>
                      </w:rPr>
                    </m:ctrlPr>
                  </m:num>
                  <m:den>
                    <m:r>
                      <m:rPr/>
                      <w:rPr>
                        <w:rFonts w:ascii="Cambria Math" w:hAnsi="Cambria Math"/>
                        <w:color w:val="auto"/>
                        <w:highlight w:val="none"/>
                      </w:rPr>
                      <m:t>1000</m:t>
                    </m:r>
                    <m:ctrlPr>
                      <w:rPr>
                        <w:rFonts w:ascii="Cambria Math" w:hAnsi="Cambria Math"/>
                        <w:color w:val="auto"/>
                        <w:highlight w:val="none"/>
                      </w:rPr>
                    </m:ctrlPr>
                  </m:den>
                </m:f>
              </m:oMath>
            </m:oMathPara>
          </w:p>
          <w:p>
            <w:pPr>
              <w:pStyle w:val="72"/>
              <w:spacing w:line="360" w:lineRule="auto"/>
              <w:ind w:firstLine="480" w:firstLineChars="200"/>
              <w:rPr>
                <w:color w:val="auto"/>
                <w:highlight w:val="none"/>
                <w:lang w:val="zh-CN"/>
              </w:rPr>
            </w:pPr>
            <w:r>
              <w:rPr>
                <w:color w:val="auto"/>
                <w:highlight w:val="none"/>
                <w:lang w:val="zh-CN"/>
              </w:rPr>
              <w:t>式中：a为温度、湿度和声波频率的函数，预测计算中一般根据建设项目所处区域常年平均气温和湿度选择相应的空气吸收系数，见</w:t>
            </w:r>
            <w:r>
              <w:rPr>
                <w:rFonts w:hint="eastAsia"/>
                <w:color w:val="auto"/>
                <w:highlight w:val="none"/>
                <w:lang w:val="zh-CN"/>
              </w:rPr>
              <w:t>下表</w:t>
            </w:r>
            <w:r>
              <w:rPr>
                <w:color w:val="auto"/>
                <w:highlight w:val="none"/>
                <w:lang w:val="zh-CN"/>
              </w:rPr>
              <w:t>。</w:t>
            </w:r>
          </w:p>
          <w:p>
            <w:pPr>
              <w:pStyle w:val="68"/>
              <w:adjustRightInd w:val="0"/>
              <w:jc w:val="center"/>
              <w:outlineLvl w:val="4"/>
              <w:rPr>
                <w:color w:val="auto"/>
                <w:highlight w:val="none"/>
              </w:rPr>
            </w:pPr>
            <w:r>
              <w:rPr>
                <w:rFonts w:hint="eastAsia"/>
                <w:color w:val="auto"/>
                <w:highlight w:val="none"/>
              </w:rPr>
              <w:t>表4.</w:t>
            </w:r>
            <w:r>
              <w:rPr>
                <w:rFonts w:hint="eastAsia"/>
                <w:color w:val="auto"/>
                <w:highlight w:val="none"/>
                <w:lang w:val="en-US" w:eastAsia="zh-CN"/>
              </w:rPr>
              <w:t>4.3</w:t>
            </w:r>
            <w:r>
              <w:rPr>
                <w:color w:val="auto"/>
                <w:highlight w:val="none"/>
              </w:rPr>
              <w:t>倍频带噪声的大气吸收衰减系数</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930"/>
              <w:gridCol w:w="777"/>
              <w:gridCol w:w="786"/>
              <w:gridCol w:w="786"/>
              <w:gridCol w:w="786"/>
              <w:gridCol w:w="809"/>
              <w:gridCol w:w="809"/>
              <w:gridCol w:w="810"/>
              <w:gridCol w:w="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温度℃</w:t>
                  </w:r>
                </w:p>
              </w:tc>
              <w:tc>
                <w:tcPr>
                  <w:tcW w:w="569"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相对湿度％</w:t>
                  </w:r>
                </w:p>
              </w:tc>
              <w:tc>
                <w:tcPr>
                  <w:tcW w:w="3907" w:type="pct"/>
                  <w:gridSpan w:val="8"/>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大气吸收衰减系数a，dB/km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24"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p>
              </w:tc>
              <w:tc>
                <w:tcPr>
                  <w:tcW w:w="569"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p>
              </w:tc>
              <w:tc>
                <w:tcPr>
                  <w:tcW w:w="3907" w:type="pct"/>
                  <w:gridSpan w:val="8"/>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倍频带中心频率Hz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24"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p>
              </w:tc>
              <w:tc>
                <w:tcPr>
                  <w:tcW w:w="569"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p>
              </w:tc>
              <w:tc>
                <w:tcPr>
                  <w:tcW w:w="47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63</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125</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250</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500</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1000</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2000</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4000</w:t>
                  </w:r>
                </w:p>
              </w:tc>
              <w:tc>
                <w:tcPr>
                  <w:tcW w:w="50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10</w:t>
                  </w:r>
                </w:p>
              </w:tc>
              <w:tc>
                <w:tcPr>
                  <w:tcW w:w="569"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70</w:t>
                  </w:r>
                </w:p>
              </w:tc>
              <w:tc>
                <w:tcPr>
                  <w:tcW w:w="47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0.1</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0.4</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1.0</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1.9</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3.7</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9.7</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32.8</w:t>
                  </w:r>
                </w:p>
              </w:tc>
              <w:tc>
                <w:tcPr>
                  <w:tcW w:w="50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20</w:t>
                  </w:r>
                </w:p>
              </w:tc>
              <w:tc>
                <w:tcPr>
                  <w:tcW w:w="569"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70</w:t>
                  </w:r>
                </w:p>
              </w:tc>
              <w:tc>
                <w:tcPr>
                  <w:tcW w:w="47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0.1</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0.3</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1.1</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2.8</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5.0</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9.0</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22.9</w:t>
                  </w:r>
                </w:p>
              </w:tc>
              <w:tc>
                <w:tcPr>
                  <w:tcW w:w="50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76.6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30</w:t>
                  </w:r>
                </w:p>
              </w:tc>
              <w:tc>
                <w:tcPr>
                  <w:tcW w:w="569"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70</w:t>
                  </w:r>
                </w:p>
              </w:tc>
              <w:tc>
                <w:tcPr>
                  <w:tcW w:w="47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0.1</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0.3</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1.0</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3.1</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7.4</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12.7</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23.1</w:t>
                  </w:r>
                </w:p>
              </w:tc>
              <w:tc>
                <w:tcPr>
                  <w:tcW w:w="50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59.3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2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15</w:t>
                  </w:r>
                </w:p>
              </w:tc>
              <w:tc>
                <w:tcPr>
                  <w:tcW w:w="569"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20</w:t>
                  </w:r>
                </w:p>
              </w:tc>
              <w:tc>
                <w:tcPr>
                  <w:tcW w:w="47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0.3</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0.6</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1.2</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2.7</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8.2</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28.2</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28.8</w:t>
                  </w:r>
                </w:p>
              </w:tc>
              <w:tc>
                <w:tcPr>
                  <w:tcW w:w="50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15</w:t>
                  </w:r>
                </w:p>
              </w:tc>
              <w:tc>
                <w:tcPr>
                  <w:tcW w:w="569"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50</w:t>
                  </w:r>
                </w:p>
              </w:tc>
              <w:tc>
                <w:tcPr>
                  <w:tcW w:w="47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0.1</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0.5</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1.2</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2.2</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4.2</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10.8</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36.2</w:t>
                  </w:r>
                </w:p>
              </w:tc>
              <w:tc>
                <w:tcPr>
                  <w:tcW w:w="50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2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15</w:t>
                  </w:r>
                </w:p>
              </w:tc>
              <w:tc>
                <w:tcPr>
                  <w:tcW w:w="569"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80</w:t>
                  </w:r>
                </w:p>
              </w:tc>
              <w:tc>
                <w:tcPr>
                  <w:tcW w:w="47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0.1</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0.3</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1.1</w:t>
                  </w:r>
                </w:p>
              </w:tc>
              <w:tc>
                <w:tcPr>
                  <w:tcW w:w="48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2.4</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4.1</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8.3</w:t>
                  </w:r>
                </w:p>
              </w:tc>
              <w:tc>
                <w:tcPr>
                  <w:tcW w:w="49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23.7</w:t>
                  </w:r>
                </w:p>
              </w:tc>
              <w:tc>
                <w:tcPr>
                  <w:tcW w:w="504"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adjustRightInd w:val="0"/>
                    <w:snapToGrid w:val="0"/>
                    <w:spacing w:before="100" w:beforeAutospacing="1" w:after="100" w:afterAutospacing="1"/>
                    <w:jc w:val="center"/>
                    <w:rPr>
                      <w:b w:val="0"/>
                      <w:color w:val="auto"/>
                      <w:highlight w:val="none"/>
                    </w:rPr>
                  </w:pPr>
                  <w:r>
                    <w:rPr>
                      <w:b w:val="0"/>
                      <w:color w:val="auto"/>
                      <w:highlight w:val="none"/>
                    </w:rPr>
                    <w:t>82.8</w:t>
                  </w:r>
                </w:p>
              </w:tc>
            </w:tr>
          </w:tbl>
          <w:p>
            <w:pPr>
              <w:pStyle w:val="72"/>
              <w:spacing w:line="360" w:lineRule="auto"/>
              <w:ind w:firstLine="480" w:firstLineChars="200"/>
              <w:rPr>
                <w:color w:val="auto"/>
                <w:highlight w:val="none"/>
                <w:lang w:val="zh-CN"/>
              </w:rPr>
            </w:pPr>
            <w:r>
              <w:rPr>
                <w:rFonts w:hint="eastAsia"/>
                <w:color w:val="auto"/>
                <w:highlight w:val="none"/>
                <w:lang w:val="en-US" w:eastAsia="zh-CN"/>
              </w:rPr>
              <w:t>E.</w:t>
            </w:r>
            <w:r>
              <w:rPr>
                <w:color w:val="auto"/>
                <w:highlight w:val="none"/>
                <w:lang w:val="zh-CN"/>
              </w:rPr>
              <w:t>屏障引起的衰减（</w:t>
            </w:r>
            <w:r>
              <w:rPr>
                <w:i/>
                <w:iCs/>
                <w:color w:val="auto"/>
                <w:highlight w:val="none"/>
                <w:lang w:val="zh-CN"/>
              </w:rPr>
              <w:t>A</w:t>
            </w:r>
            <w:r>
              <w:rPr>
                <w:i/>
                <w:iCs/>
                <w:color w:val="auto"/>
                <w:highlight w:val="none"/>
                <w:vertAlign w:val="subscript"/>
                <w:lang w:val="zh-CN"/>
              </w:rPr>
              <w:t>bar</w:t>
            </w:r>
            <w:r>
              <w:rPr>
                <w:color w:val="auto"/>
                <w:highlight w:val="none"/>
                <w:lang w:val="zh-CN"/>
              </w:rPr>
              <w:t>）</w:t>
            </w:r>
          </w:p>
          <w:p>
            <w:pPr>
              <w:pStyle w:val="72"/>
              <w:spacing w:line="360" w:lineRule="auto"/>
              <w:ind w:firstLine="480" w:firstLineChars="200"/>
              <w:rPr>
                <w:color w:val="auto"/>
                <w:highlight w:val="none"/>
                <w:lang w:val="zh-CN"/>
              </w:rPr>
            </w:pPr>
            <w:r>
              <w:rPr>
                <w:color w:val="auto"/>
                <w:highlight w:val="none"/>
                <w:lang w:val="zh-CN"/>
              </w:rPr>
              <w:t>位于声源和预测点之间的实体障碍物，如围墙、建筑物、土坡或地堑等起声屏障作用，从而引起声能量的较大衰减。在环境影响评价中，可将各种形式的屏障简化为具有一定高度的薄屏障。</w:t>
            </w:r>
          </w:p>
          <w:p>
            <w:pPr>
              <w:pStyle w:val="72"/>
              <w:spacing w:line="360" w:lineRule="auto"/>
              <w:ind w:firstLine="480" w:firstLineChars="200"/>
              <w:rPr>
                <w:color w:val="auto"/>
                <w:highlight w:val="none"/>
                <w:lang w:val="zh-CN"/>
              </w:rPr>
            </w:pPr>
            <w:r>
              <w:rPr>
                <w:color w:val="auto"/>
                <w:highlight w:val="none"/>
                <w:lang w:val="zh-CN"/>
              </w:rPr>
              <w:t>如</w:t>
            </w:r>
            <w:r>
              <w:rPr>
                <w:rFonts w:hint="eastAsia"/>
                <w:color w:val="auto"/>
                <w:highlight w:val="none"/>
                <w:lang w:val="zh-CN"/>
              </w:rPr>
              <w:t>下图</w:t>
            </w:r>
            <w:r>
              <w:rPr>
                <w:color w:val="auto"/>
                <w:highlight w:val="none"/>
                <w:lang w:val="zh-CN"/>
              </w:rPr>
              <w:t>所示，S、O、P三点在同一平面内且垂直于地面。</w:t>
            </w:r>
          </w:p>
          <w:p>
            <w:pPr>
              <w:pStyle w:val="72"/>
              <w:spacing w:line="360" w:lineRule="auto"/>
              <w:ind w:firstLine="480" w:firstLineChars="200"/>
              <w:rPr>
                <w:color w:val="auto"/>
                <w:highlight w:val="none"/>
                <w:lang w:val="zh-CN"/>
              </w:rPr>
            </w:pPr>
            <w:r>
              <w:rPr>
                <w:color w:val="auto"/>
                <w:highlight w:val="none"/>
                <w:lang w:val="zh-CN"/>
              </w:rPr>
              <w:t>定义δ=SO＋OP－SP为声程差，N=2δ/λ为菲涅尔数，其中λ为声波波长。</w:t>
            </w:r>
          </w:p>
          <w:p>
            <w:pPr>
              <w:pStyle w:val="72"/>
              <w:spacing w:line="360" w:lineRule="auto"/>
              <w:ind w:firstLine="480" w:firstLineChars="200"/>
              <w:rPr>
                <w:color w:val="auto"/>
                <w:highlight w:val="none"/>
                <w:lang w:val="zh-CN"/>
              </w:rPr>
            </w:pPr>
            <w:r>
              <w:rPr>
                <w:color w:val="auto"/>
                <w:highlight w:val="none"/>
                <w:lang w:val="zh-CN"/>
              </w:rPr>
              <w:t>在噪声预测中，声屏障插入损失的计算方法应</w:t>
            </w:r>
            <w:r>
              <w:rPr>
                <w:rFonts w:hint="eastAsia"/>
                <w:color w:val="auto"/>
                <w:highlight w:val="none"/>
                <w:lang w:val="zh-CN"/>
              </w:rPr>
              <w:t>要</w:t>
            </w:r>
            <w:r>
              <w:rPr>
                <w:color w:val="auto"/>
                <w:highlight w:val="none"/>
                <w:lang w:val="zh-CN"/>
              </w:rPr>
              <w:t>根据实际情况</w:t>
            </w:r>
            <w:r>
              <w:rPr>
                <w:rFonts w:hint="eastAsia"/>
                <w:color w:val="auto"/>
                <w:highlight w:val="none"/>
                <w:lang w:val="zh-CN"/>
              </w:rPr>
              <w:t>做</w:t>
            </w:r>
            <w:r>
              <w:rPr>
                <w:color w:val="auto"/>
                <w:highlight w:val="none"/>
                <w:lang w:val="zh-CN"/>
              </w:rPr>
              <w:t>简化处理。</w:t>
            </w:r>
          </w:p>
          <w:p>
            <w:pPr>
              <w:adjustRightInd w:val="0"/>
              <w:snapToGrid w:val="0"/>
              <w:spacing w:line="360" w:lineRule="auto"/>
              <w:ind w:firstLine="480" w:firstLineChars="200"/>
              <w:jc w:val="center"/>
              <w:rPr>
                <w:color w:val="auto"/>
                <w:kern w:val="0"/>
                <w:sz w:val="24"/>
                <w:szCs w:val="20"/>
                <w:highlight w:val="none"/>
              </w:rPr>
            </w:pPr>
            <w:r>
              <w:rPr>
                <w:color w:val="auto"/>
                <w:kern w:val="0"/>
                <w:sz w:val="24"/>
                <w:szCs w:val="20"/>
                <w:highlight w:val="none"/>
              </w:rPr>
              <w:drawing>
                <wp:inline distT="0" distB="0" distL="0" distR="0">
                  <wp:extent cx="2772410" cy="1838325"/>
                  <wp:effectExtent l="0" t="0" r="8890" b="9525"/>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72410" cy="1838325"/>
                          </a:xfrm>
                          <a:prstGeom prst="rect">
                            <a:avLst/>
                          </a:prstGeom>
                          <a:noFill/>
                          <a:ln>
                            <a:noFill/>
                          </a:ln>
                        </pic:spPr>
                      </pic:pic>
                    </a:graphicData>
                  </a:graphic>
                </wp:inline>
              </w:drawing>
            </w:r>
          </w:p>
          <w:p>
            <w:pPr>
              <w:pStyle w:val="68"/>
              <w:adjustRightInd w:val="0"/>
              <w:snapToGrid w:val="0"/>
              <w:spacing w:line="360" w:lineRule="auto"/>
              <w:jc w:val="center"/>
              <w:outlineLvl w:val="4"/>
              <w:rPr>
                <w:rFonts w:eastAsia="黑体"/>
                <w:b/>
                <w:color w:val="auto"/>
                <w:szCs w:val="21"/>
                <w:highlight w:val="none"/>
              </w:rPr>
            </w:pPr>
            <w:r>
              <w:rPr>
                <w:rFonts w:hint="eastAsia"/>
                <w:color w:val="auto"/>
                <w:highlight w:val="none"/>
              </w:rPr>
              <w:t>图4.</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3</w:t>
            </w:r>
            <w:r>
              <w:rPr>
                <w:color w:val="auto"/>
                <w:highlight w:val="none"/>
              </w:rPr>
              <w:t>无限长声屏障示意图</w:t>
            </w:r>
          </w:p>
          <w:p>
            <w:pPr>
              <w:adjustRightInd w:val="0"/>
              <w:snapToGrid w:val="0"/>
              <w:spacing w:line="360" w:lineRule="auto"/>
              <w:ind w:firstLine="480" w:firstLineChars="200"/>
              <w:rPr>
                <w:color w:val="auto"/>
                <w:kern w:val="0"/>
                <w:sz w:val="24"/>
                <w:highlight w:val="none"/>
                <w:lang w:val="zh-CN"/>
              </w:rPr>
            </w:pPr>
            <w:r>
              <w:rPr>
                <w:color w:val="auto"/>
                <w:kern w:val="0"/>
                <w:sz w:val="24"/>
                <w:highlight w:val="none"/>
                <w:lang w:val="zh-CN"/>
              </w:rPr>
              <w:t>参数的选择：参数选取项目所在区域的年平均温度为25℃，湿度为70%。计算过程考虑了建筑物的屏障作用和室内源向室外的传播。</w:t>
            </w:r>
          </w:p>
          <w:p>
            <w:pPr>
              <w:adjustRightInd w:val="0"/>
              <w:snapToGrid w:val="0"/>
              <w:spacing w:line="360" w:lineRule="auto"/>
              <w:ind w:firstLine="480" w:firstLineChars="200"/>
              <w:rPr>
                <w:color w:val="auto"/>
                <w:kern w:val="0"/>
                <w:sz w:val="24"/>
                <w:highlight w:val="none"/>
                <w:lang w:val="zh-CN"/>
              </w:rPr>
            </w:pPr>
            <w:r>
              <w:rPr>
                <w:rFonts w:hint="eastAsia"/>
                <w:color w:val="auto"/>
                <w:kern w:val="0"/>
                <w:sz w:val="24"/>
                <w:highlight w:val="none"/>
                <w:lang w:val="en-US" w:eastAsia="zh-CN"/>
              </w:rPr>
              <w:t>②</w:t>
            </w:r>
            <w:r>
              <w:rPr>
                <w:rFonts w:hint="eastAsia"/>
                <w:color w:val="auto"/>
                <w:kern w:val="0"/>
                <w:sz w:val="24"/>
                <w:highlight w:val="none"/>
                <w:lang w:val="zh-CN"/>
              </w:rPr>
              <w:t>室内声源</w:t>
            </w:r>
          </w:p>
          <w:p>
            <w:pPr>
              <w:adjustRightInd w:val="0"/>
              <w:snapToGrid w:val="0"/>
              <w:spacing w:line="360" w:lineRule="auto"/>
              <w:ind w:firstLine="480" w:firstLineChars="200"/>
              <w:rPr>
                <w:color w:val="auto"/>
                <w:kern w:val="0"/>
                <w:sz w:val="24"/>
                <w:highlight w:val="none"/>
                <w:lang w:val="zh-CN"/>
              </w:rPr>
            </w:pPr>
            <w:r>
              <w:rPr>
                <w:rStyle w:val="73"/>
                <w:rFonts w:hint="eastAsia"/>
                <w:color w:val="auto"/>
                <w:kern w:val="0"/>
                <w:sz w:val="24"/>
                <w:highlight w:val="none"/>
                <w:lang w:val="zh-CN"/>
              </w:rPr>
              <w:t>声源位于室内，室内声源可采用等效室外声源声功率级法进行计算。设靠近开口处（或窗户）室内、室外某倍频带的声压级或</w:t>
            </w:r>
            <w:r>
              <w:rPr>
                <w:rStyle w:val="73"/>
                <w:color w:val="auto"/>
                <w:kern w:val="0"/>
                <w:sz w:val="24"/>
                <w:highlight w:val="none"/>
                <w:lang w:val="zh-CN"/>
              </w:rPr>
              <w:t>A</w:t>
            </w:r>
            <w:r>
              <w:rPr>
                <w:rStyle w:val="73"/>
                <w:rFonts w:hint="eastAsia"/>
                <w:color w:val="auto"/>
                <w:kern w:val="0"/>
                <w:sz w:val="24"/>
                <w:highlight w:val="none"/>
                <w:lang w:val="zh-CN"/>
              </w:rPr>
              <w:t>声级分别为</w:t>
            </w:r>
            <w:r>
              <w:rPr>
                <w:rStyle w:val="73"/>
                <w:color w:val="auto"/>
                <w:kern w:val="0"/>
                <w:sz w:val="24"/>
                <w:highlight w:val="none"/>
                <w:lang w:val="zh-CN"/>
              </w:rPr>
              <w:t>L</w:t>
            </w:r>
            <w:r>
              <w:rPr>
                <w:rStyle w:val="73"/>
                <w:color w:val="auto"/>
                <w:kern w:val="0"/>
                <w:sz w:val="24"/>
                <w:highlight w:val="none"/>
                <w:vertAlign w:val="subscript"/>
                <w:lang w:val="zh-CN"/>
              </w:rPr>
              <w:t>p1</w:t>
            </w:r>
            <w:r>
              <w:rPr>
                <w:rStyle w:val="73"/>
                <w:rFonts w:hint="eastAsia"/>
                <w:color w:val="auto"/>
                <w:kern w:val="0"/>
                <w:sz w:val="24"/>
                <w:highlight w:val="none"/>
                <w:lang w:val="zh-CN"/>
              </w:rPr>
              <w:t>和</w:t>
            </w:r>
            <w:r>
              <w:rPr>
                <w:rStyle w:val="73"/>
                <w:color w:val="auto"/>
                <w:kern w:val="0"/>
                <w:sz w:val="24"/>
                <w:highlight w:val="none"/>
                <w:lang w:val="zh-CN"/>
              </w:rPr>
              <w:t>L</w:t>
            </w:r>
            <w:r>
              <w:rPr>
                <w:rStyle w:val="73"/>
                <w:color w:val="auto"/>
                <w:kern w:val="0"/>
                <w:sz w:val="24"/>
                <w:highlight w:val="none"/>
                <w:vertAlign w:val="subscript"/>
                <w:lang w:val="zh-CN"/>
              </w:rPr>
              <w:t>p2</w:t>
            </w:r>
            <w:r>
              <w:rPr>
                <w:rStyle w:val="73"/>
                <w:rFonts w:hint="eastAsia"/>
                <w:color w:val="auto"/>
                <w:kern w:val="0"/>
                <w:sz w:val="24"/>
                <w:highlight w:val="none"/>
                <w:lang w:val="zh-CN"/>
              </w:rPr>
              <w:t>。若声源所在室内声场为近似扩散声场，则室外的倍频带声压级可按下式近似求出：</w:t>
            </w:r>
          </w:p>
          <w:p>
            <w:pPr>
              <w:adjustRightInd w:val="0"/>
              <w:snapToGrid w:val="0"/>
              <w:spacing w:line="360" w:lineRule="auto"/>
              <w:ind w:firstLine="480" w:firstLineChars="200"/>
              <w:rPr>
                <w:color w:val="auto"/>
                <w:kern w:val="0"/>
                <w:sz w:val="24"/>
                <w:highlight w:val="none"/>
                <w:lang w:val="zh-CN"/>
              </w:rPr>
            </w:pPr>
            <m:oMathPara>
              <m:oMath>
                <m:sSub>
                  <m:sSubPr>
                    <m:ctrlPr>
                      <w:rPr>
                        <w:rFonts w:ascii="Cambria Math" w:hAnsi="Cambria Math"/>
                        <w:color w:val="auto"/>
                        <w:kern w:val="0"/>
                        <w:sz w:val="24"/>
                        <w:highlight w:val="none"/>
                        <w:lang w:val="zh-CN"/>
                      </w:rPr>
                    </m:ctrlPr>
                  </m:sSubPr>
                  <m:e>
                    <m:r>
                      <m:rPr/>
                      <w:rPr>
                        <w:rFonts w:ascii="Cambria Math" w:hAnsi="Cambria Math"/>
                        <w:color w:val="auto"/>
                        <w:kern w:val="0"/>
                        <w:sz w:val="24"/>
                        <w:highlight w:val="none"/>
                        <w:lang w:val="zh-CN"/>
                      </w:rPr>
                      <m:t>L</m:t>
                    </m:r>
                    <m:ctrlPr>
                      <w:rPr>
                        <w:rFonts w:ascii="Cambria Math" w:hAnsi="Cambria Math"/>
                        <w:color w:val="auto"/>
                        <w:kern w:val="0"/>
                        <w:sz w:val="24"/>
                        <w:highlight w:val="none"/>
                        <w:lang w:val="zh-CN"/>
                      </w:rPr>
                    </m:ctrlPr>
                  </m:e>
                  <m:sub>
                    <m:r>
                      <m:rPr/>
                      <w:rPr>
                        <w:rFonts w:ascii="Cambria Math" w:hAnsi="Cambria Math"/>
                        <w:color w:val="auto"/>
                        <w:kern w:val="0"/>
                        <w:sz w:val="24"/>
                        <w:highlight w:val="none"/>
                        <w:lang w:val="zh-CN"/>
                      </w:rPr>
                      <m:t>p2</m:t>
                    </m:r>
                    <m:ctrlPr>
                      <w:rPr>
                        <w:rFonts w:ascii="Cambria Math" w:hAnsi="Cambria Math"/>
                        <w:color w:val="auto"/>
                        <w:kern w:val="0"/>
                        <w:sz w:val="24"/>
                        <w:highlight w:val="none"/>
                        <w:lang w:val="zh-CN"/>
                      </w:rPr>
                    </m:ctrlPr>
                  </m:sub>
                </m:sSub>
                <m:r>
                  <m:rPr/>
                  <w:rPr>
                    <w:rFonts w:ascii="Cambria Math" w:hAnsi="Cambria Math"/>
                    <w:color w:val="auto"/>
                    <w:kern w:val="0"/>
                    <w:sz w:val="24"/>
                    <w:highlight w:val="none"/>
                    <w:lang w:val="zh-CN"/>
                  </w:rPr>
                  <m:t>=</m:t>
                </m:r>
                <m:sSub>
                  <m:sSubPr>
                    <m:ctrlPr>
                      <w:rPr>
                        <w:rFonts w:ascii="Cambria Math" w:hAnsi="Cambria Math"/>
                        <w:color w:val="auto"/>
                        <w:kern w:val="0"/>
                        <w:sz w:val="24"/>
                        <w:highlight w:val="none"/>
                        <w:lang w:val="zh-CN"/>
                      </w:rPr>
                    </m:ctrlPr>
                  </m:sSubPr>
                  <m:e>
                    <m:r>
                      <m:rPr/>
                      <w:rPr>
                        <w:rFonts w:ascii="Cambria Math" w:hAnsi="Cambria Math"/>
                        <w:color w:val="auto"/>
                        <w:kern w:val="0"/>
                        <w:sz w:val="24"/>
                        <w:highlight w:val="none"/>
                        <w:lang w:val="zh-CN"/>
                      </w:rPr>
                      <m:t>L</m:t>
                    </m:r>
                    <m:ctrlPr>
                      <w:rPr>
                        <w:rFonts w:ascii="Cambria Math" w:hAnsi="Cambria Math"/>
                        <w:color w:val="auto"/>
                        <w:kern w:val="0"/>
                        <w:sz w:val="24"/>
                        <w:highlight w:val="none"/>
                        <w:lang w:val="zh-CN"/>
                      </w:rPr>
                    </m:ctrlPr>
                  </m:e>
                  <m:sub>
                    <m:r>
                      <m:rPr/>
                      <w:rPr>
                        <w:rFonts w:ascii="Cambria Math" w:hAnsi="Cambria Math"/>
                        <w:color w:val="auto"/>
                        <w:kern w:val="0"/>
                        <w:sz w:val="24"/>
                        <w:highlight w:val="none"/>
                        <w:lang w:val="zh-CN"/>
                      </w:rPr>
                      <m:t>p1</m:t>
                    </m:r>
                    <m:ctrlPr>
                      <w:rPr>
                        <w:rFonts w:ascii="Cambria Math" w:hAnsi="Cambria Math"/>
                        <w:color w:val="auto"/>
                        <w:kern w:val="0"/>
                        <w:sz w:val="24"/>
                        <w:highlight w:val="none"/>
                        <w:lang w:val="zh-CN"/>
                      </w:rPr>
                    </m:ctrlPr>
                  </m:sub>
                </m:sSub>
                <m:r>
                  <m:rPr/>
                  <w:rPr>
                    <w:rFonts w:ascii="Cambria Math" w:hAnsi="Cambria Math"/>
                    <w:color w:val="auto"/>
                    <w:kern w:val="0"/>
                    <w:sz w:val="24"/>
                    <w:highlight w:val="none"/>
                    <w:lang w:val="zh-CN"/>
                  </w:rPr>
                  <m:t>−(TL+6)</m:t>
                </m:r>
              </m:oMath>
            </m:oMathPara>
          </w:p>
          <w:p>
            <w:pPr>
              <w:pStyle w:val="72"/>
              <w:adjustRightInd w:val="0"/>
              <w:snapToGrid w:val="0"/>
              <w:spacing w:line="360" w:lineRule="auto"/>
              <w:ind w:firstLine="480" w:firstLineChars="200"/>
              <w:rPr>
                <w:color w:val="auto"/>
                <w:highlight w:val="none"/>
                <w:lang w:val="zh-CN"/>
              </w:rPr>
            </w:pPr>
            <w:r>
              <w:rPr>
                <w:rFonts w:hint="eastAsia"/>
                <w:color w:val="auto"/>
                <w:highlight w:val="none"/>
                <w:lang w:val="zh-CN"/>
              </w:rPr>
              <w:t>式中：</w:t>
            </w:r>
            <w:r>
              <w:rPr>
                <w:color w:val="auto"/>
                <w:highlight w:val="none"/>
                <w:lang w:val="zh-CN"/>
              </w:rPr>
              <w:t>L</w:t>
            </w:r>
            <w:r>
              <w:rPr>
                <w:color w:val="auto"/>
                <w:highlight w:val="none"/>
                <w:vertAlign w:val="subscript"/>
                <w:lang w:val="zh-CN"/>
              </w:rPr>
              <w:t>p1</w:t>
            </w:r>
            <w:r>
              <w:rPr>
                <w:color w:val="auto"/>
                <w:highlight w:val="none"/>
                <w:lang w:val="zh-CN"/>
              </w:rPr>
              <w:t>——</w:t>
            </w:r>
            <w:r>
              <w:rPr>
                <w:rFonts w:hint="eastAsia"/>
                <w:color w:val="auto"/>
                <w:highlight w:val="none"/>
                <w:lang w:val="zh-CN"/>
              </w:rPr>
              <w:t>靠近开口处（或窗户）室内某倍频带的声压级或</w:t>
            </w:r>
            <w:r>
              <w:rPr>
                <w:color w:val="auto"/>
                <w:highlight w:val="none"/>
                <w:lang w:val="zh-CN"/>
              </w:rPr>
              <w:t>A</w:t>
            </w:r>
            <w:r>
              <w:rPr>
                <w:rFonts w:hint="eastAsia"/>
                <w:color w:val="auto"/>
                <w:highlight w:val="none"/>
                <w:lang w:val="zh-CN"/>
              </w:rPr>
              <w:t>声级，</w:t>
            </w:r>
            <w:r>
              <w:rPr>
                <w:color w:val="auto"/>
                <w:highlight w:val="none"/>
                <w:lang w:val="zh-CN"/>
              </w:rPr>
              <w:t>dB</w:t>
            </w:r>
            <w:r>
              <w:rPr>
                <w:rFonts w:hint="eastAsia"/>
                <w:color w:val="auto"/>
                <w:highlight w:val="none"/>
                <w:lang w:val="zh-CN"/>
              </w:rPr>
              <w:t>；</w:t>
            </w:r>
          </w:p>
          <w:p>
            <w:pPr>
              <w:pStyle w:val="72"/>
              <w:adjustRightInd w:val="0"/>
              <w:snapToGrid w:val="0"/>
              <w:spacing w:line="360" w:lineRule="auto"/>
              <w:ind w:firstLine="480" w:firstLineChars="200"/>
              <w:rPr>
                <w:color w:val="auto"/>
                <w:highlight w:val="none"/>
                <w:lang w:val="zh-CN"/>
              </w:rPr>
            </w:pPr>
            <w:r>
              <w:rPr>
                <w:color w:val="auto"/>
                <w:highlight w:val="none"/>
                <w:lang w:val="zh-CN"/>
              </w:rPr>
              <w:t>L</w:t>
            </w:r>
            <w:r>
              <w:rPr>
                <w:color w:val="auto"/>
                <w:highlight w:val="none"/>
                <w:vertAlign w:val="subscript"/>
                <w:lang w:val="zh-CN"/>
              </w:rPr>
              <w:t>p2</w:t>
            </w:r>
            <w:r>
              <w:rPr>
                <w:color w:val="auto"/>
                <w:highlight w:val="none"/>
                <w:lang w:val="zh-CN"/>
              </w:rPr>
              <w:t>——</w:t>
            </w:r>
            <w:r>
              <w:rPr>
                <w:rFonts w:hint="eastAsia"/>
                <w:color w:val="auto"/>
                <w:highlight w:val="none"/>
                <w:lang w:val="zh-CN"/>
              </w:rPr>
              <w:t>靠近开口处（或窗户）室外某倍频带的声压级或</w:t>
            </w:r>
            <w:r>
              <w:rPr>
                <w:color w:val="auto"/>
                <w:highlight w:val="none"/>
                <w:lang w:val="zh-CN"/>
              </w:rPr>
              <w:t>A</w:t>
            </w:r>
            <w:r>
              <w:rPr>
                <w:rFonts w:hint="eastAsia"/>
                <w:color w:val="auto"/>
                <w:highlight w:val="none"/>
                <w:lang w:val="zh-CN"/>
              </w:rPr>
              <w:t>声级，</w:t>
            </w:r>
            <w:r>
              <w:rPr>
                <w:color w:val="auto"/>
                <w:highlight w:val="none"/>
                <w:lang w:val="zh-CN"/>
              </w:rPr>
              <w:t>dB</w:t>
            </w:r>
            <w:r>
              <w:rPr>
                <w:rFonts w:hint="eastAsia"/>
                <w:color w:val="auto"/>
                <w:highlight w:val="none"/>
                <w:lang w:val="zh-CN"/>
              </w:rPr>
              <w:t>；</w:t>
            </w:r>
          </w:p>
          <w:p>
            <w:pPr>
              <w:pStyle w:val="72"/>
              <w:adjustRightInd w:val="0"/>
              <w:snapToGrid w:val="0"/>
              <w:spacing w:line="360" w:lineRule="auto"/>
              <w:ind w:firstLine="480" w:firstLineChars="200"/>
              <w:rPr>
                <w:color w:val="auto"/>
                <w:highlight w:val="none"/>
                <w:lang w:val="zh-CN"/>
              </w:rPr>
            </w:pPr>
            <w:r>
              <w:rPr>
                <w:color w:val="auto"/>
                <w:highlight w:val="none"/>
                <w:lang w:val="zh-CN"/>
              </w:rPr>
              <w:t>TL——</w:t>
            </w:r>
            <w:r>
              <w:rPr>
                <w:rFonts w:hint="eastAsia"/>
                <w:color w:val="auto"/>
                <w:highlight w:val="none"/>
                <w:lang w:val="zh-CN"/>
              </w:rPr>
              <w:t>隔墙（或窗户）倍频带或</w:t>
            </w:r>
            <w:r>
              <w:rPr>
                <w:color w:val="auto"/>
                <w:highlight w:val="none"/>
                <w:lang w:val="zh-CN"/>
              </w:rPr>
              <w:t>A</w:t>
            </w:r>
            <w:r>
              <w:rPr>
                <w:rFonts w:hint="eastAsia"/>
                <w:color w:val="auto"/>
                <w:highlight w:val="none"/>
                <w:lang w:val="zh-CN"/>
              </w:rPr>
              <w:t>声级的隔声量，</w:t>
            </w:r>
            <w:r>
              <w:rPr>
                <w:color w:val="auto"/>
                <w:highlight w:val="none"/>
                <w:lang w:val="zh-CN"/>
              </w:rPr>
              <w:t>dB</w:t>
            </w:r>
            <w:r>
              <w:rPr>
                <w:rFonts w:hint="eastAsia"/>
                <w:color w:val="auto"/>
                <w:highlight w:val="none"/>
                <w:lang w:val="zh-CN"/>
              </w:rPr>
              <w:t>。</w:t>
            </w:r>
          </w:p>
          <w:p>
            <w:pPr>
              <w:pStyle w:val="72"/>
              <w:adjustRightInd w:val="0"/>
              <w:snapToGrid w:val="0"/>
              <w:spacing w:line="360" w:lineRule="auto"/>
              <w:ind w:firstLine="480" w:firstLineChars="200"/>
              <w:rPr>
                <w:color w:val="auto"/>
                <w:highlight w:val="none"/>
                <w:lang w:val="zh-CN"/>
              </w:rPr>
            </w:pPr>
            <w:r>
              <w:rPr>
                <w:rFonts w:hint="eastAsia"/>
                <w:color w:val="auto"/>
                <w:highlight w:val="none"/>
                <w:lang w:val="en-US" w:eastAsia="zh-CN"/>
              </w:rPr>
              <w:t>③</w:t>
            </w:r>
            <w:r>
              <w:rPr>
                <w:rFonts w:hint="eastAsia"/>
                <w:color w:val="auto"/>
                <w:highlight w:val="none"/>
                <w:lang w:val="zh-CN"/>
              </w:rPr>
              <w:t>工业企业噪声计算</w:t>
            </w:r>
          </w:p>
          <w:p>
            <w:pPr>
              <w:pStyle w:val="72"/>
              <w:adjustRightInd w:val="0"/>
              <w:snapToGrid w:val="0"/>
              <w:spacing w:line="360" w:lineRule="auto"/>
              <w:ind w:firstLine="480" w:firstLineChars="200"/>
              <w:rPr>
                <w:color w:val="auto"/>
                <w:highlight w:val="none"/>
                <w:lang w:val="zh-CN"/>
              </w:rPr>
            </w:pPr>
            <w:r>
              <w:rPr>
                <w:color w:val="auto"/>
                <w:highlight w:val="none"/>
                <w:lang w:val="zh-CN"/>
              </w:rPr>
              <w:t>设第i个室外声源在预测点产生的A声级为L</w:t>
            </w:r>
            <w:r>
              <w:rPr>
                <w:rFonts w:hint="eastAsia"/>
                <w:color w:val="auto"/>
                <w:highlight w:val="none"/>
                <w:vertAlign w:val="subscript"/>
                <w:lang w:val="zh-CN"/>
              </w:rPr>
              <w:t>Ai</w:t>
            </w:r>
            <w:r>
              <w:rPr>
                <w:color w:val="auto"/>
                <w:highlight w:val="none"/>
                <w:lang w:val="zh-CN"/>
              </w:rPr>
              <w:t>，在T时间内该声源工作时间为</w:t>
            </w:r>
            <w:r>
              <w:rPr>
                <w:rFonts w:hint="eastAsia"/>
                <w:color w:val="auto"/>
                <w:highlight w:val="none"/>
                <w:lang w:val="zh-CN"/>
              </w:rPr>
              <w:t>t</w:t>
            </w:r>
            <w:r>
              <w:rPr>
                <w:rFonts w:hint="eastAsia"/>
                <w:color w:val="auto"/>
                <w:highlight w:val="none"/>
                <w:vertAlign w:val="subscript"/>
                <w:lang w:val="zh-CN"/>
              </w:rPr>
              <w:t>i</w:t>
            </w:r>
            <w:r>
              <w:rPr>
                <w:rFonts w:hint="eastAsia"/>
                <w:color w:val="auto"/>
                <w:highlight w:val="none"/>
                <w:lang w:val="zh-CN"/>
              </w:rPr>
              <w:t>；</w:t>
            </w:r>
            <w:r>
              <w:rPr>
                <w:color w:val="auto"/>
                <w:highlight w:val="none"/>
                <w:lang w:val="zh-CN"/>
              </w:rPr>
              <w:t>第j个等效室外声源在预测点产生的A声级为L</w:t>
            </w:r>
            <w:r>
              <w:rPr>
                <w:rFonts w:hint="eastAsia"/>
                <w:color w:val="auto"/>
                <w:highlight w:val="none"/>
                <w:vertAlign w:val="subscript"/>
                <w:lang w:val="zh-CN"/>
              </w:rPr>
              <w:t>Aj</w:t>
            </w:r>
            <w:r>
              <w:rPr>
                <w:color w:val="auto"/>
                <w:highlight w:val="none"/>
                <w:lang w:val="zh-CN"/>
              </w:rPr>
              <w:t>，在T时间内该声源工作时间为t</w:t>
            </w:r>
            <w:r>
              <w:rPr>
                <w:rFonts w:hint="eastAsia"/>
                <w:color w:val="auto"/>
                <w:highlight w:val="none"/>
                <w:vertAlign w:val="subscript"/>
                <w:lang w:val="zh-CN"/>
              </w:rPr>
              <w:t>j</w:t>
            </w:r>
            <w:r>
              <w:rPr>
                <w:color w:val="auto"/>
                <w:highlight w:val="none"/>
                <w:lang w:val="zh-CN"/>
              </w:rPr>
              <w:t>，则拟建工程声源对预测点产生的贡献值</w:t>
            </w:r>
            <w:r>
              <w:rPr>
                <w:rFonts w:hint="eastAsia"/>
                <w:color w:val="auto"/>
                <w:highlight w:val="none"/>
                <w:lang w:val="zh-CN"/>
              </w:rPr>
              <w:t>（</w:t>
            </w:r>
            <w:r>
              <w:rPr>
                <w:color w:val="auto"/>
                <w:highlight w:val="none"/>
                <w:lang w:val="zh-CN"/>
              </w:rPr>
              <w:t>L</w:t>
            </w:r>
            <w:r>
              <w:rPr>
                <w:color w:val="auto"/>
                <w:highlight w:val="none"/>
                <w:vertAlign w:val="subscript"/>
                <w:lang w:val="zh-CN"/>
              </w:rPr>
              <w:t>eqg</w:t>
            </w:r>
            <w:r>
              <w:rPr>
                <w:rFonts w:hint="eastAsia"/>
                <w:color w:val="auto"/>
                <w:highlight w:val="none"/>
                <w:lang w:val="zh-CN"/>
              </w:rPr>
              <w:t>）</w:t>
            </w:r>
            <w:r>
              <w:rPr>
                <w:color w:val="auto"/>
                <w:highlight w:val="none"/>
                <w:lang w:val="zh-CN"/>
              </w:rPr>
              <w:t>为：</w:t>
            </w:r>
          </w:p>
          <w:p>
            <w:pPr>
              <w:pStyle w:val="72"/>
              <w:adjustRightInd w:val="0"/>
              <w:snapToGrid w:val="0"/>
              <w:spacing w:line="360" w:lineRule="auto"/>
              <w:ind w:firstLine="480" w:firstLineChars="200"/>
              <w:rPr>
                <w:color w:val="auto"/>
                <w:highlight w:val="none"/>
                <w:lang w:val="zh-CN"/>
              </w:rPr>
            </w:pPr>
            <m:oMathPara>
              <m:oMath>
                <m:sSub>
                  <m:sSubPr>
                    <m:ctrlPr>
                      <w:rPr>
                        <w:rFonts w:ascii="Cambria Math" w:hAnsi="Cambria Math"/>
                        <w:color w:val="auto"/>
                        <w:highlight w:val="none"/>
                        <w:lang w:val="zh-CN"/>
                      </w:rPr>
                    </m:ctrlPr>
                  </m:sSubPr>
                  <m:e>
                    <m:r>
                      <m:rPr>
                        <m:sty m:val="p"/>
                      </m:rPr>
                      <w:rPr>
                        <w:rFonts w:ascii="Cambria Math" w:hAnsi="Cambria Math"/>
                        <w:color w:val="auto"/>
                        <w:highlight w:val="none"/>
                        <w:lang w:val="zh-CN"/>
                      </w:rPr>
                      <m:t>L</m:t>
                    </m:r>
                    <m:ctrlPr>
                      <w:rPr>
                        <w:rFonts w:ascii="Cambria Math" w:hAnsi="Cambria Math"/>
                        <w:color w:val="auto"/>
                        <w:highlight w:val="none"/>
                        <w:lang w:val="zh-CN"/>
                      </w:rPr>
                    </m:ctrlPr>
                  </m:e>
                  <m:sub>
                    <m:r>
                      <m:rPr>
                        <m:sty m:val="p"/>
                      </m:rPr>
                      <w:rPr>
                        <w:rFonts w:ascii="Cambria Math" w:hAnsi="Cambria Math"/>
                        <w:color w:val="auto"/>
                        <w:highlight w:val="none"/>
                        <w:lang w:val="zh-CN"/>
                      </w:rPr>
                      <m:t>eqg</m:t>
                    </m:r>
                    <m:ctrlPr>
                      <w:rPr>
                        <w:rFonts w:ascii="Cambria Math" w:hAnsi="Cambria Math"/>
                        <w:color w:val="auto"/>
                        <w:highlight w:val="none"/>
                        <w:lang w:val="zh-CN"/>
                      </w:rPr>
                    </m:ctrlPr>
                  </m:sub>
                </m:sSub>
                <m:r>
                  <m:rPr>
                    <m:sty m:val="p"/>
                  </m:rPr>
                  <w:rPr>
                    <w:rFonts w:ascii="Cambria Math" w:hAnsi="Cambria Math"/>
                    <w:color w:val="auto"/>
                    <w:highlight w:val="none"/>
                    <w:lang w:val="zh-CN"/>
                  </w:rPr>
                  <m:t>=10lg</m:t>
                </m:r>
                <m:d>
                  <m:dPr>
                    <m:begChr m:val="["/>
                    <m:endChr m:val="]"/>
                    <m:ctrlPr>
                      <w:rPr>
                        <w:rFonts w:ascii="Cambria Math" w:hAnsi="Cambria Math"/>
                        <w:color w:val="auto"/>
                        <w:highlight w:val="none"/>
                        <w:lang w:val="zh-CN"/>
                      </w:rPr>
                    </m:ctrlPr>
                  </m:dPr>
                  <m:e>
                    <m:f>
                      <m:fPr>
                        <m:ctrlPr>
                          <w:rPr>
                            <w:rFonts w:ascii="Cambria Math" w:hAnsi="Cambria Math"/>
                            <w:color w:val="auto"/>
                            <w:highlight w:val="none"/>
                            <w:lang w:val="zh-CN"/>
                          </w:rPr>
                        </m:ctrlPr>
                      </m:fPr>
                      <m:num>
                        <m:r>
                          <m:rPr>
                            <m:sty m:val="p"/>
                          </m:rPr>
                          <w:rPr>
                            <w:rFonts w:ascii="Cambria Math" w:hAnsi="Cambria Math"/>
                            <w:color w:val="auto"/>
                            <w:highlight w:val="none"/>
                            <w:lang w:val="zh-CN"/>
                          </w:rPr>
                          <m:t>1</m:t>
                        </m:r>
                        <m:ctrlPr>
                          <w:rPr>
                            <w:rFonts w:ascii="Cambria Math" w:hAnsi="Cambria Math"/>
                            <w:color w:val="auto"/>
                            <w:highlight w:val="none"/>
                            <w:lang w:val="zh-CN"/>
                          </w:rPr>
                        </m:ctrlPr>
                      </m:num>
                      <m:den>
                        <m:r>
                          <m:rPr>
                            <m:sty m:val="p"/>
                          </m:rPr>
                          <w:rPr>
                            <w:rFonts w:ascii="Cambria Math" w:hAnsi="Cambria Math"/>
                            <w:color w:val="auto"/>
                            <w:highlight w:val="none"/>
                            <w:lang w:val="zh-CN"/>
                          </w:rPr>
                          <m:t>T</m:t>
                        </m:r>
                        <m:ctrlPr>
                          <w:rPr>
                            <w:rFonts w:ascii="Cambria Math" w:hAnsi="Cambria Math"/>
                            <w:color w:val="auto"/>
                            <w:highlight w:val="none"/>
                            <w:lang w:val="zh-CN"/>
                          </w:rPr>
                        </m:ctrlPr>
                      </m:den>
                    </m:f>
                    <m:d>
                      <m:dPr>
                        <m:ctrlPr>
                          <w:rPr>
                            <w:rFonts w:ascii="Cambria Math" w:hAnsi="Cambria Math"/>
                            <w:color w:val="auto"/>
                            <w:highlight w:val="none"/>
                            <w:lang w:val="zh-CN"/>
                          </w:rPr>
                        </m:ctrlPr>
                      </m:dPr>
                      <m:e>
                        <m:nary>
                          <m:naryPr>
                            <m:chr m:val="∑"/>
                            <m:limLoc m:val="undOvr"/>
                            <m:ctrlPr>
                              <w:rPr>
                                <w:rFonts w:ascii="Cambria Math" w:hAnsi="Cambria Math"/>
                                <w:color w:val="auto"/>
                                <w:highlight w:val="none"/>
                                <w:lang w:val="zh-CN"/>
                              </w:rPr>
                            </m:ctrlPr>
                          </m:naryPr>
                          <m:sub>
                            <m:r>
                              <m:rPr>
                                <m:sty m:val="p"/>
                              </m:rPr>
                              <w:rPr>
                                <w:rFonts w:ascii="Cambria Math" w:hAnsi="Cambria Math"/>
                                <w:color w:val="auto"/>
                                <w:highlight w:val="none"/>
                                <w:lang w:val="zh-CN"/>
                              </w:rPr>
                              <m:t>i=1</m:t>
                            </m:r>
                            <m:ctrlPr>
                              <w:rPr>
                                <w:rFonts w:ascii="Cambria Math" w:hAnsi="Cambria Math"/>
                                <w:color w:val="auto"/>
                                <w:highlight w:val="none"/>
                                <w:lang w:val="zh-CN"/>
                              </w:rPr>
                            </m:ctrlPr>
                          </m:sub>
                          <m:sup>
                            <m:r>
                              <m:rPr>
                                <m:sty m:val="p"/>
                              </m:rPr>
                              <w:rPr>
                                <w:rFonts w:ascii="Cambria Math" w:hAnsi="Cambria Math"/>
                                <w:color w:val="auto"/>
                                <w:highlight w:val="none"/>
                                <w:lang w:val="zh-CN"/>
                              </w:rPr>
                              <m:t>N</m:t>
                            </m:r>
                            <m:ctrlPr>
                              <w:rPr>
                                <w:rFonts w:ascii="Cambria Math" w:hAnsi="Cambria Math"/>
                                <w:color w:val="auto"/>
                                <w:highlight w:val="none"/>
                                <w:lang w:val="zh-CN"/>
                              </w:rPr>
                            </m:ctrlPr>
                          </m:sup>
                          <m:e>
                            <m:sSub>
                              <m:sSubPr>
                                <m:ctrlPr>
                                  <w:rPr>
                                    <w:rFonts w:ascii="Cambria Math" w:hAnsi="Cambria Math"/>
                                    <w:color w:val="auto"/>
                                    <w:highlight w:val="none"/>
                                    <w:lang w:val="zh-CN"/>
                                  </w:rPr>
                                </m:ctrlPr>
                              </m:sSubPr>
                              <m:e>
                                <m:r>
                                  <m:rPr>
                                    <m:sty m:val="p"/>
                                  </m:rPr>
                                  <w:rPr>
                                    <w:rFonts w:ascii="Cambria Math" w:hAnsi="Cambria Math"/>
                                    <w:color w:val="auto"/>
                                    <w:highlight w:val="none"/>
                                    <w:lang w:val="zh-CN"/>
                                  </w:rPr>
                                  <m:t>t</m:t>
                                </m:r>
                                <m:ctrlPr>
                                  <w:rPr>
                                    <w:rFonts w:ascii="Cambria Math" w:hAnsi="Cambria Math"/>
                                    <w:color w:val="auto"/>
                                    <w:highlight w:val="none"/>
                                    <w:lang w:val="zh-CN"/>
                                  </w:rPr>
                                </m:ctrlPr>
                              </m:e>
                              <m:sub>
                                <m:r>
                                  <m:rPr>
                                    <m:sty m:val="p"/>
                                  </m:rPr>
                                  <w:rPr>
                                    <w:rFonts w:ascii="Cambria Math" w:hAnsi="Cambria Math"/>
                                    <w:color w:val="auto"/>
                                    <w:highlight w:val="none"/>
                                    <w:lang w:val="zh-CN"/>
                                  </w:rPr>
                                  <m:t>i</m:t>
                                </m:r>
                                <m:ctrlPr>
                                  <w:rPr>
                                    <w:rFonts w:ascii="Cambria Math" w:hAnsi="Cambria Math"/>
                                    <w:color w:val="auto"/>
                                    <w:highlight w:val="none"/>
                                    <w:lang w:val="zh-CN"/>
                                  </w:rPr>
                                </m:ctrlPr>
                              </m:sub>
                            </m:sSub>
                            <m:sSup>
                              <m:sSupPr>
                                <m:ctrlPr>
                                  <w:rPr>
                                    <w:rFonts w:ascii="Cambria Math" w:hAnsi="Cambria Math"/>
                                    <w:color w:val="auto"/>
                                    <w:highlight w:val="none"/>
                                    <w:lang w:val="zh-CN"/>
                                  </w:rPr>
                                </m:ctrlPr>
                              </m:sSupPr>
                              <m:e>
                                <m:r>
                                  <m:rPr>
                                    <m:sty m:val="p"/>
                                  </m:rPr>
                                  <w:rPr>
                                    <w:rFonts w:ascii="Cambria Math" w:hAnsi="Cambria Math"/>
                                    <w:color w:val="auto"/>
                                    <w:highlight w:val="none"/>
                                    <w:lang w:val="zh-CN"/>
                                  </w:rPr>
                                  <m:t>10</m:t>
                                </m:r>
                                <m:ctrlPr>
                                  <w:rPr>
                                    <w:rFonts w:ascii="Cambria Math" w:hAnsi="Cambria Math"/>
                                    <w:color w:val="auto"/>
                                    <w:highlight w:val="none"/>
                                    <w:lang w:val="zh-CN"/>
                                  </w:rPr>
                                </m:ctrlPr>
                              </m:e>
                              <m:sup>
                                <m:r>
                                  <m:rPr>
                                    <m:sty m:val="p"/>
                                  </m:rPr>
                                  <w:rPr>
                                    <w:rFonts w:ascii="Cambria Math" w:hAnsi="Cambria Math"/>
                                    <w:color w:val="auto"/>
                                    <w:highlight w:val="none"/>
                                    <w:lang w:val="zh-CN"/>
                                  </w:rPr>
                                  <m:t>0.1</m:t>
                                </m:r>
                                <m:sSub>
                                  <m:sSubPr>
                                    <m:ctrlPr>
                                      <w:rPr>
                                        <w:rFonts w:ascii="Cambria Math" w:hAnsi="Cambria Math"/>
                                        <w:color w:val="auto"/>
                                        <w:highlight w:val="none"/>
                                        <w:lang w:val="zh-CN"/>
                                      </w:rPr>
                                    </m:ctrlPr>
                                  </m:sSubPr>
                                  <m:e>
                                    <m:r>
                                      <m:rPr>
                                        <m:sty m:val="p"/>
                                      </m:rPr>
                                      <w:rPr>
                                        <w:rFonts w:ascii="Cambria Math" w:hAnsi="Cambria Math"/>
                                        <w:color w:val="auto"/>
                                        <w:highlight w:val="none"/>
                                        <w:lang w:val="zh-CN"/>
                                      </w:rPr>
                                      <m:t>L</m:t>
                                    </m:r>
                                    <m:ctrlPr>
                                      <w:rPr>
                                        <w:rFonts w:ascii="Cambria Math" w:hAnsi="Cambria Math"/>
                                        <w:color w:val="auto"/>
                                        <w:highlight w:val="none"/>
                                        <w:lang w:val="zh-CN"/>
                                      </w:rPr>
                                    </m:ctrlPr>
                                  </m:e>
                                  <m:sub>
                                    <m:r>
                                      <m:rPr>
                                        <m:sty m:val="p"/>
                                      </m:rPr>
                                      <w:rPr>
                                        <w:rFonts w:ascii="Cambria Math" w:hAnsi="Cambria Math"/>
                                        <w:color w:val="auto"/>
                                        <w:highlight w:val="none"/>
                                        <w:lang w:val="zh-CN"/>
                                      </w:rPr>
                                      <m:t>Ai</m:t>
                                    </m:r>
                                    <m:ctrlPr>
                                      <w:rPr>
                                        <w:rFonts w:ascii="Cambria Math" w:hAnsi="Cambria Math"/>
                                        <w:color w:val="auto"/>
                                        <w:highlight w:val="none"/>
                                        <w:lang w:val="zh-CN"/>
                                      </w:rPr>
                                    </m:ctrlPr>
                                  </m:sub>
                                </m:sSub>
                                <m:ctrlPr>
                                  <w:rPr>
                                    <w:rFonts w:ascii="Cambria Math" w:hAnsi="Cambria Math"/>
                                    <w:color w:val="auto"/>
                                    <w:highlight w:val="none"/>
                                    <w:lang w:val="zh-CN"/>
                                  </w:rPr>
                                </m:ctrlPr>
                              </m:sup>
                            </m:sSup>
                            <m:ctrlPr>
                              <w:rPr>
                                <w:rFonts w:ascii="Cambria Math" w:hAnsi="Cambria Math"/>
                                <w:color w:val="auto"/>
                                <w:highlight w:val="none"/>
                                <w:lang w:val="zh-CN"/>
                              </w:rPr>
                            </m:ctrlPr>
                          </m:e>
                        </m:nary>
                        <m:r>
                          <m:rPr>
                            <m:sty m:val="p"/>
                          </m:rPr>
                          <w:rPr>
                            <w:rFonts w:ascii="Cambria Math" w:hAnsi="Cambria Math"/>
                            <w:color w:val="auto"/>
                            <w:highlight w:val="none"/>
                            <w:lang w:val="zh-CN"/>
                          </w:rPr>
                          <m:t>+</m:t>
                        </m:r>
                        <m:nary>
                          <m:naryPr>
                            <m:chr m:val="∑"/>
                            <m:limLoc m:val="undOvr"/>
                            <m:ctrlPr>
                              <w:rPr>
                                <w:rFonts w:ascii="Cambria Math" w:hAnsi="Cambria Math"/>
                                <w:color w:val="auto"/>
                                <w:highlight w:val="none"/>
                                <w:lang w:val="zh-CN"/>
                              </w:rPr>
                            </m:ctrlPr>
                          </m:naryPr>
                          <m:sub>
                            <m:r>
                              <m:rPr>
                                <m:sty m:val="p"/>
                              </m:rPr>
                              <w:rPr>
                                <w:rFonts w:ascii="Cambria Math" w:hAnsi="Cambria Math"/>
                                <w:color w:val="auto"/>
                                <w:highlight w:val="none"/>
                                <w:lang w:val="zh-CN"/>
                              </w:rPr>
                              <m:t>j=1</m:t>
                            </m:r>
                            <m:ctrlPr>
                              <w:rPr>
                                <w:rFonts w:ascii="Cambria Math" w:hAnsi="Cambria Math"/>
                                <w:color w:val="auto"/>
                                <w:highlight w:val="none"/>
                                <w:lang w:val="zh-CN"/>
                              </w:rPr>
                            </m:ctrlPr>
                          </m:sub>
                          <m:sup>
                            <m:r>
                              <m:rPr>
                                <m:sty m:val="p"/>
                              </m:rPr>
                              <w:rPr>
                                <w:rFonts w:ascii="Cambria Math" w:hAnsi="Cambria Math"/>
                                <w:color w:val="auto"/>
                                <w:highlight w:val="none"/>
                                <w:lang w:val="zh-CN"/>
                              </w:rPr>
                              <m:t>M</m:t>
                            </m:r>
                            <m:ctrlPr>
                              <w:rPr>
                                <w:rFonts w:ascii="Cambria Math" w:hAnsi="Cambria Math"/>
                                <w:color w:val="auto"/>
                                <w:highlight w:val="none"/>
                                <w:lang w:val="zh-CN"/>
                              </w:rPr>
                            </m:ctrlPr>
                          </m:sup>
                          <m:e>
                            <m:sSub>
                              <m:sSubPr>
                                <m:ctrlPr>
                                  <w:rPr>
                                    <w:rFonts w:ascii="Cambria Math" w:hAnsi="Cambria Math"/>
                                    <w:color w:val="auto"/>
                                    <w:highlight w:val="none"/>
                                    <w:lang w:val="zh-CN"/>
                                  </w:rPr>
                                </m:ctrlPr>
                              </m:sSubPr>
                              <m:e>
                                <m:r>
                                  <m:rPr>
                                    <m:sty m:val="p"/>
                                  </m:rPr>
                                  <w:rPr>
                                    <w:rFonts w:ascii="Cambria Math" w:hAnsi="Cambria Math"/>
                                    <w:color w:val="auto"/>
                                    <w:highlight w:val="none"/>
                                    <w:lang w:val="zh-CN"/>
                                  </w:rPr>
                                  <m:t>t</m:t>
                                </m:r>
                                <m:ctrlPr>
                                  <w:rPr>
                                    <w:rFonts w:ascii="Cambria Math" w:hAnsi="Cambria Math"/>
                                    <w:color w:val="auto"/>
                                    <w:highlight w:val="none"/>
                                    <w:lang w:val="zh-CN"/>
                                  </w:rPr>
                                </m:ctrlPr>
                              </m:e>
                              <m:sub>
                                <m:r>
                                  <m:rPr>
                                    <m:sty m:val="p"/>
                                  </m:rPr>
                                  <w:rPr>
                                    <w:rFonts w:ascii="Cambria Math" w:hAnsi="Cambria Math"/>
                                    <w:color w:val="auto"/>
                                    <w:highlight w:val="none"/>
                                    <w:lang w:val="zh-CN"/>
                                  </w:rPr>
                                  <m:t>j</m:t>
                                </m:r>
                                <m:ctrlPr>
                                  <w:rPr>
                                    <w:rFonts w:ascii="Cambria Math" w:hAnsi="Cambria Math"/>
                                    <w:color w:val="auto"/>
                                    <w:highlight w:val="none"/>
                                    <w:lang w:val="zh-CN"/>
                                  </w:rPr>
                                </m:ctrlPr>
                              </m:sub>
                            </m:sSub>
                            <m:sSup>
                              <m:sSupPr>
                                <m:ctrlPr>
                                  <w:rPr>
                                    <w:rFonts w:ascii="Cambria Math" w:hAnsi="Cambria Math"/>
                                    <w:color w:val="auto"/>
                                    <w:highlight w:val="none"/>
                                    <w:lang w:val="zh-CN"/>
                                  </w:rPr>
                                </m:ctrlPr>
                              </m:sSupPr>
                              <m:e>
                                <m:r>
                                  <m:rPr>
                                    <m:sty m:val="p"/>
                                  </m:rPr>
                                  <w:rPr>
                                    <w:rFonts w:ascii="Cambria Math" w:hAnsi="Cambria Math"/>
                                    <w:color w:val="auto"/>
                                    <w:highlight w:val="none"/>
                                    <w:lang w:val="zh-CN"/>
                                  </w:rPr>
                                  <m:t>10</m:t>
                                </m:r>
                                <m:ctrlPr>
                                  <w:rPr>
                                    <w:rFonts w:ascii="Cambria Math" w:hAnsi="Cambria Math"/>
                                    <w:color w:val="auto"/>
                                    <w:highlight w:val="none"/>
                                    <w:lang w:val="zh-CN"/>
                                  </w:rPr>
                                </m:ctrlPr>
                              </m:e>
                              <m:sup>
                                <m:r>
                                  <m:rPr>
                                    <m:sty m:val="p"/>
                                  </m:rPr>
                                  <w:rPr>
                                    <w:rFonts w:ascii="Cambria Math" w:hAnsi="Cambria Math"/>
                                    <w:color w:val="auto"/>
                                    <w:highlight w:val="none"/>
                                    <w:lang w:val="zh-CN"/>
                                  </w:rPr>
                                  <m:t>0.1</m:t>
                                </m:r>
                                <m:sSub>
                                  <m:sSubPr>
                                    <m:ctrlPr>
                                      <w:rPr>
                                        <w:rFonts w:ascii="Cambria Math" w:hAnsi="Cambria Math"/>
                                        <w:color w:val="auto"/>
                                        <w:highlight w:val="none"/>
                                        <w:lang w:val="zh-CN"/>
                                      </w:rPr>
                                    </m:ctrlPr>
                                  </m:sSubPr>
                                  <m:e>
                                    <m:r>
                                      <m:rPr>
                                        <m:sty m:val="p"/>
                                      </m:rPr>
                                      <w:rPr>
                                        <w:rFonts w:ascii="Cambria Math" w:hAnsi="Cambria Math"/>
                                        <w:color w:val="auto"/>
                                        <w:highlight w:val="none"/>
                                        <w:lang w:val="zh-CN"/>
                                      </w:rPr>
                                      <m:t>L</m:t>
                                    </m:r>
                                    <m:ctrlPr>
                                      <w:rPr>
                                        <w:rFonts w:ascii="Cambria Math" w:hAnsi="Cambria Math"/>
                                        <w:color w:val="auto"/>
                                        <w:highlight w:val="none"/>
                                        <w:lang w:val="zh-CN"/>
                                      </w:rPr>
                                    </m:ctrlPr>
                                  </m:e>
                                  <m:sub>
                                    <m:r>
                                      <m:rPr>
                                        <m:sty m:val="p"/>
                                      </m:rPr>
                                      <w:rPr>
                                        <w:rFonts w:ascii="Cambria Math" w:hAnsi="Cambria Math"/>
                                        <w:color w:val="auto"/>
                                        <w:highlight w:val="none"/>
                                        <w:lang w:val="zh-CN"/>
                                      </w:rPr>
                                      <m:t>Aj</m:t>
                                    </m:r>
                                    <m:ctrlPr>
                                      <w:rPr>
                                        <w:rFonts w:ascii="Cambria Math" w:hAnsi="Cambria Math"/>
                                        <w:color w:val="auto"/>
                                        <w:highlight w:val="none"/>
                                        <w:lang w:val="zh-CN"/>
                                      </w:rPr>
                                    </m:ctrlPr>
                                  </m:sub>
                                </m:sSub>
                                <m:ctrlPr>
                                  <w:rPr>
                                    <w:rFonts w:ascii="Cambria Math" w:hAnsi="Cambria Math"/>
                                    <w:color w:val="auto"/>
                                    <w:highlight w:val="none"/>
                                    <w:lang w:val="zh-CN"/>
                                  </w:rPr>
                                </m:ctrlPr>
                              </m:sup>
                            </m:sSup>
                            <m:ctrlPr>
                              <w:rPr>
                                <w:rFonts w:ascii="Cambria Math" w:hAnsi="Cambria Math"/>
                                <w:color w:val="auto"/>
                                <w:highlight w:val="none"/>
                                <w:lang w:val="zh-CN"/>
                              </w:rPr>
                            </m:ctrlPr>
                          </m:e>
                        </m:nary>
                        <m:ctrlPr>
                          <w:rPr>
                            <w:rFonts w:ascii="Cambria Math" w:hAnsi="Cambria Math"/>
                            <w:color w:val="auto"/>
                            <w:highlight w:val="none"/>
                            <w:lang w:val="zh-CN"/>
                          </w:rPr>
                        </m:ctrlPr>
                      </m:e>
                    </m:d>
                    <m:ctrlPr>
                      <w:rPr>
                        <w:rFonts w:ascii="Cambria Math" w:hAnsi="Cambria Math"/>
                        <w:color w:val="auto"/>
                        <w:highlight w:val="none"/>
                        <w:lang w:val="zh-CN"/>
                      </w:rPr>
                    </m:ctrlPr>
                  </m:e>
                </m:d>
              </m:oMath>
            </m:oMathPara>
          </w:p>
          <w:p>
            <w:pPr>
              <w:pStyle w:val="72"/>
              <w:adjustRightInd w:val="0"/>
              <w:snapToGrid w:val="0"/>
              <w:spacing w:line="360" w:lineRule="auto"/>
              <w:ind w:firstLine="480" w:firstLineChars="200"/>
              <w:rPr>
                <w:color w:val="auto"/>
                <w:highlight w:val="none"/>
                <w:lang w:val="zh-CN"/>
              </w:rPr>
            </w:pPr>
            <w:r>
              <w:rPr>
                <w:color w:val="auto"/>
                <w:highlight w:val="none"/>
                <w:lang w:val="zh-CN"/>
              </w:rPr>
              <w:t>式中：</w:t>
            </w:r>
          </w:p>
          <w:p>
            <w:pPr>
              <w:pStyle w:val="72"/>
              <w:adjustRightInd w:val="0"/>
              <w:snapToGrid w:val="0"/>
              <w:spacing w:line="360" w:lineRule="auto"/>
              <w:ind w:firstLine="480" w:firstLineChars="200"/>
              <w:rPr>
                <w:color w:val="auto"/>
                <w:highlight w:val="none"/>
                <w:lang w:val="zh-CN"/>
              </w:rPr>
            </w:pPr>
            <w:r>
              <w:rPr>
                <w:color w:val="auto"/>
                <w:highlight w:val="none"/>
                <w:lang w:val="zh-CN"/>
              </w:rPr>
              <w:t>L</w:t>
            </w:r>
            <w:r>
              <w:rPr>
                <w:color w:val="auto"/>
                <w:highlight w:val="none"/>
                <w:vertAlign w:val="subscript"/>
                <w:lang w:val="zh-CN"/>
              </w:rPr>
              <w:t>eqg</w:t>
            </w:r>
            <w:r>
              <w:rPr>
                <w:color w:val="auto"/>
                <w:highlight w:val="none"/>
                <w:lang w:val="zh-CN"/>
              </w:rPr>
              <w:t>—建设项目声源在预测点产生的噪声贡献值，dB；</w:t>
            </w:r>
          </w:p>
          <w:p>
            <w:pPr>
              <w:pStyle w:val="72"/>
              <w:adjustRightInd w:val="0"/>
              <w:snapToGrid w:val="0"/>
              <w:spacing w:line="360" w:lineRule="auto"/>
              <w:ind w:firstLine="480" w:firstLineChars="200"/>
              <w:rPr>
                <w:color w:val="auto"/>
                <w:highlight w:val="none"/>
                <w:lang w:val="zh-CN"/>
              </w:rPr>
            </w:pPr>
            <w:r>
              <w:rPr>
                <w:color w:val="auto"/>
                <w:highlight w:val="none"/>
                <w:lang w:val="zh-CN"/>
              </w:rPr>
              <w:t>T——用于计算等效声级的时间，s；</w:t>
            </w:r>
          </w:p>
          <w:p>
            <w:pPr>
              <w:pStyle w:val="72"/>
              <w:adjustRightInd w:val="0"/>
              <w:snapToGrid w:val="0"/>
              <w:spacing w:line="360" w:lineRule="auto"/>
              <w:ind w:firstLine="480" w:firstLineChars="200"/>
              <w:rPr>
                <w:color w:val="auto"/>
                <w:highlight w:val="none"/>
                <w:lang w:val="zh-CN"/>
              </w:rPr>
            </w:pPr>
            <w:r>
              <w:rPr>
                <w:color w:val="auto"/>
                <w:highlight w:val="none"/>
                <w:lang w:val="zh-CN"/>
              </w:rPr>
              <w:t>N——室外声源个数；</w:t>
            </w:r>
          </w:p>
          <w:p>
            <w:pPr>
              <w:pStyle w:val="72"/>
              <w:adjustRightInd w:val="0"/>
              <w:snapToGrid w:val="0"/>
              <w:spacing w:line="360" w:lineRule="auto"/>
              <w:ind w:firstLine="480" w:firstLineChars="200"/>
              <w:rPr>
                <w:color w:val="auto"/>
                <w:highlight w:val="none"/>
                <w:lang w:val="zh-CN"/>
              </w:rPr>
            </w:pPr>
            <w:r>
              <w:rPr>
                <w:color w:val="auto"/>
                <w:highlight w:val="none"/>
                <w:lang w:val="zh-CN"/>
              </w:rPr>
              <w:t>M——等效室外声源个数；</w:t>
            </w:r>
          </w:p>
          <w:p>
            <w:pPr>
              <w:pStyle w:val="72"/>
              <w:adjustRightInd w:val="0"/>
              <w:snapToGrid w:val="0"/>
              <w:spacing w:line="360" w:lineRule="auto"/>
              <w:ind w:firstLine="480" w:firstLineChars="200"/>
              <w:rPr>
                <w:color w:val="auto"/>
                <w:highlight w:val="none"/>
                <w:lang w:val="zh-CN"/>
              </w:rPr>
            </w:pPr>
            <w:r>
              <w:rPr>
                <w:color w:val="auto"/>
                <w:highlight w:val="none"/>
                <w:lang w:val="zh-CN"/>
              </w:rPr>
              <w:t>t</w:t>
            </w:r>
            <w:r>
              <w:rPr>
                <w:color w:val="auto"/>
                <w:highlight w:val="none"/>
                <w:vertAlign w:val="subscript"/>
                <w:lang w:val="zh-CN"/>
              </w:rPr>
              <w:t>i</w:t>
            </w:r>
            <w:r>
              <w:rPr>
                <w:color w:val="auto"/>
                <w:highlight w:val="none"/>
                <w:lang w:val="zh-CN"/>
              </w:rPr>
              <w:t>——在T时间内i声源工作时间，s；</w:t>
            </w:r>
          </w:p>
          <w:p>
            <w:pPr>
              <w:pStyle w:val="72"/>
              <w:adjustRightInd/>
              <w:snapToGrid/>
              <w:ind w:firstLine="0"/>
              <w:rPr>
                <w:color w:val="auto"/>
                <w:highlight w:val="none"/>
                <w:lang w:val="zh-CN"/>
              </w:rPr>
            </w:pPr>
            <w:r>
              <w:rPr>
                <w:color w:val="auto"/>
                <w:highlight w:val="none"/>
                <w:lang w:val="zh-CN"/>
              </w:rPr>
              <w:t>t</w:t>
            </w:r>
            <w:r>
              <w:rPr>
                <w:color w:val="auto"/>
                <w:highlight w:val="none"/>
                <w:vertAlign w:val="subscript"/>
                <w:lang w:val="zh-CN"/>
              </w:rPr>
              <w:t>j</w:t>
            </w:r>
            <w:r>
              <w:rPr>
                <w:color w:val="auto"/>
                <w:highlight w:val="none"/>
                <w:lang w:val="zh-CN"/>
              </w:rPr>
              <w:t>——在T时间内j声源工作时间，s。</w:t>
            </w:r>
          </w:p>
          <w:p>
            <w:pPr>
              <w:pStyle w:val="72"/>
              <w:ind w:firstLine="48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hAnsi="Cambria Math"/>
                <w:i w:val="0"/>
                <w:color w:val="auto"/>
                <w:highlight w:val="none"/>
                <w:lang w:val="en-US" w:eastAsia="zh-CN"/>
              </w:rPr>
              <w:t>厂界噪声环境影响分析</w:t>
            </w:r>
          </w:p>
          <w:p>
            <w:pPr>
              <w:pStyle w:val="72"/>
              <w:ind w:firstLine="480"/>
              <w:rPr>
                <w:color w:val="auto"/>
                <w:highlight w:val="none"/>
              </w:rPr>
            </w:pPr>
            <w:r>
              <w:rPr>
                <w:rFonts w:hint="eastAsia"/>
                <w:color w:val="auto"/>
                <w:highlight w:val="none"/>
              </w:rPr>
              <w:t>项目夜间不生产，不预测夜间噪声。项目厂界噪声预测结果见表4.</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4</w:t>
            </w:r>
            <w:r>
              <w:rPr>
                <w:rFonts w:hint="eastAsia"/>
                <w:color w:val="auto"/>
                <w:highlight w:val="none"/>
              </w:rPr>
              <w:t>。</w:t>
            </w:r>
          </w:p>
          <w:p>
            <w:pPr>
              <w:pStyle w:val="68"/>
              <w:rPr>
                <w:color w:val="auto"/>
                <w:highlight w:val="none"/>
              </w:rPr>
            </w:pPr>
            <w:r>
              <w:rPr>
                <w:rFonts w:hint="eastAsia"/>
                <w:color w:val="auto"/>
                <w:highlight w:val="none"/>
              </w:rPr>
              <w:t>表4.</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4</w:t>
            </w:r>
            <w:r>
              <w:rPr>
                <w:rFonts w:hint="eastAsia"/>
                <w:color w:val="auto"/>
                <w:highlight w:val="none"/>
              </w:rPr>
              <w:t>噪声预测结果单位：dB（A）</w:t>
            </w:r>
          </w:p>
          <w:tbl>
            <w:tblPr>
              <w:tblStyle w:val="29"/>
              <w:tblW w:w="497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13"/>
              <w:gridCol w:w="1850"/>
              <w:gridCol w:w="1480"/>
              <w:gridCol w:w="1850"/>
              <w:gridCol w:w="18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683" w:type="pct"/>
                  <w:vMerge w:val="restart"/>
                  <w:tcBorders>
                    <w:tl2br w:val="nil"/>
                    <w:tr2bl w:val="nil"/>
                  </w:tcBorders>
                  <w:vAlign w:val="center"/>
                </w:tcPr>
                <w:p>
                  <w:pPr>
                    <w:pStyle w:val="70"/>
                    <w:jc w:val="center"/>
                    <w:rPr>
                      <w:color w:val="auto"/>
                      <w:highlight w:val="none"/>
                    </w:rPr>
                  </w:pPr>
                  <w:r>
                    <w:rPr>
                      <w:rFonts w:hint="eastAsia"/>
                      <w:color w:val="auto"/>
                      <w:highlight w:val="none"/>
                    </w:rPr>
                    <w:t>编号</w:t>
                  </w:r>
                </w:p>
              </w:tc>
              <w:tc>
                <w:tcPr>
                  <w:tcW w:w="1135" w:type="pct"/>
                  <w:vMerge w:val="restart"/>
                  <w:tcBorders>
                    <w:tl2br w:val="nil"/>
                    <w:tr2bl w:val="nil"/>
                  </w:tcBorders>
                  <w:vAlign w:val="center"/>
                </w:tcPr>
                <w:p>
                  <w:pPr>
                    <w:pStyle w:val="70"/>
                    <w:jc w:val="center"/>
                    <w:rPr>
                      <w:color w:val="auto"/>
                      <w:highlight w:val="none"/>
                    </w:rPr>
                  </w:pPr>
                  <w:r>
                    <w:rPr>
                      <w:rFonts w:hint="eastAsia"/>
                      <w:color w:val="auto"/>
                      <w:highlight w:val="none"/>
                    </w:rPr>
                    <w:t>点位</w:t>
                  </w:r>
                </w:p>
              </w:tc>
              <w:tc>
                <w:tcPr>
                  <w:tcW w:w="909" w:type="pct"/>
                  <w:tcBorders>
                    <w:tl2br w:val="nil"/>
                    <w:tr2bl w:val="nil"/>
                  </w:tcBorders>
                  <w:vAlign w:val="center"/>
                </w:tcPr>
                <w:p>
                  <w:pPr>
                    <w:pStyle w:val="70"/>
                    <w:jc w:val="center"/>
                    <w:rPr>
                      <w:color w:val="auto"/>
                      <w:highlight w:val="none"/>
                    </w:rPr>
                  </w:pPr>
                  <w:r>
                    <w:rPr>
                      <w:rFonts w:hint="eastAsia"/>
                      <w:color w:val="auto"/>
                      <w:highlight w:val="none"/>
                    </w:rPr>
                    <w:t>贡献值</w:t>
                  </w:r>
                </w:p>
              </w:tc>
              <w:tc>
                <w:tcPr>
                  <w:tcW w:w="1135" w:type="pct"/>
                  <w:tcBorders>
                    <w:tl2br w:val="nil"/>
                    <w:tr2bl w:val="nil"/>
                  </w:tcBorders>
                  <w:vAlign w:val="center"/>
                </w:tcPr>
                <w:p>
                  <w:pPr>
                    <w:pStyle w:val="70"/>
                    <w:jc w:val="center"/>
                    <w:rPr>
                      <w:color w:val="auto"/>
                      <w:highlight w:val="none"/>
                    </w:rPr>
                  </w:pPr>
                  <w:r>
                    <w:rPr>
                      <w:rFonts w:hint="eastAsia"/>
                      <w:color w:val="auto"/>
                      <w:highlight w:val="none"/>
                    </w:rPr>
                    <w:t>执行标准</w:t>
                  </w:r>
                </w:p>
              </w:tc>
              <w:tc>
                <w:tcPr>
                  <w:tcW w:w="1136" w:type="pct"/>
                  <w:tcBorders>
                    <w:tl2br w:val="nil"/>
                    <w:tr2bl w:val="nil"/>
                  </w:tcBorders>
                  <w:vAlign w:val="center"/>
                </w:tcPr>
                <w:p>
                  <w:pPr>
                    <w:pStyle w:val="70"/>
                    <w:jc w:val="center"/>
                    <w:rPr>
                      <w:color w:val="auto"/>
                      <w:highlight w:val="none"/>
                    </w:rPr>
                  </w:pPr>
                  <w:r>
                    <w:rPr>
                      <w:rFonts w:hint="eastAsia"/>
                      <w:color w:val="auto"/>
                      <w:highlight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683" w:type="pct"/>
                  <w:vMerge w:val="continue"/>
                  <w:tcBorders>
                    <w:tl2br w:val="nil"/>
                    <w:tr2bl w:val="nil"/>
                  </w:tcBorders>
                  <w:vAlign w:val="center"/>
                </w:tcPr>
                <w:p>
                  <w:pPr>
                    <w:pStyle w:val="70"/>
                    <w:jc w:val="center"/>
                    <w:rPr>
                      <w:color w:val="auto"/>
                      <w:highlight w:val="none"/>
                    </w:rPr>
                  </w:pPr>
                </w:p>
              </w:tc>
              <w:tc>
                <w:tcPr>
                  <w:tcW w:w="1135" w:type="pct"/>
                  <w:vMerge w:val="continue"/>
                  <w:tcBorders>
                    <w:tl2br w:val="nil"/>
                    <w:tr2bl w:val="nil"/>
                  </w:tcBorders>
                  <w:vAlign w:val="center"/>
                </w:tcPr>
                <w:p>
                  <w:pPr>
                    <w:pStyle w:val="70"/>
                    <w:jc w:val="center"/>
                    <w:rPr>
                      <w:color w:val="auto"/>
                      <w:highlight w:val="none"/>
                    </w:rPr>
                  </w:pPr>
                </w:p>
              </w:tc>
              <w:tc>
                <w:tcPr>
                  <w:tcW w:w="909" w:type="pct"/>
                  <w:tcBorders>
                    <w:tl2br w:val="nil"/>
                    <w:tr2bl w:val="nil"/>
                  </w:tcBorders>
                  <w:vAlign w:val="center"/>
                </w:tcPr>
                <w:p>
                  <w:pPr>
                    <w:pStyle w:val="70"/>
                    <w:jc w:val="center"/>
                    <w:rPr>
                      <w:color w:val="auto"/>
                      <w:highlight w:val="none"/>
                    </w:rPr>
                  </w:pPr>
                  <w:r>
                    <w:rPr>
                      <w:rFonts w:hint="eastAsia"/>
                      <w:color w:val="auto"/>
                      <w:highlight w:val="none"/>
                    </w:rPr>
                    <w:t>昼间</w:t>
                  </w:r>
                </w:p>
              </w:tc>
              <w:tc>
                <w:tcPr>
                  <w:tcW w:w="1135" w:type="pct"/>
                  <w:tcBorders>
                    <w:tl2br w:val="nil"/>
                    <w:tr2bl w:val="nil"/>
                  </w:tcBorders>
                  <w:vAlign w:val="center"/>
                </w:tcPr>
                <w:p>
                  <w:pPr>
                    <w:pStyle w:val="70"/>
                    <w:jc w:val="center"/>
                    <w:rPr>
                      <w:color w:val="auto"/>
                      <w:highlight w:val="none"/>
                    </w:rPr>
                  </w:pPr>
                  <w:r>
                    <w:rPr>
                      <w:rFonts w:hint="eastAsia"/>
                      <w:color w:val="auto"/>
                      <w:highlight w:val="none"/>
                    </w:rPr>
                    <w:t>昼间</w:t>
                  </w:r>
                </w:p>
              </w:tc>
              <w:tc>
                <w:tcPr>
                  <w:tcW w:w="1136" w:type="pct"/>
                  <w:tcBorders>
                    <w:tl2br w:val="nil"/>
                    <w:tr2bl w:val="nil"/>
                  </w:tcBorders>
                  <w:vAlign w:val="center"/>
                </w:tcPr>
                <w:p>
                  <w:pPr>
                    <w:pStyle w:val="70"/>
                    <w:jc w:val="center"/>
                    <w:rPr>
                      <w:color w:val="auto"/>
                      <w:highlight w:val="none"/>
                    </w:rPr>
                  </w:pPr>
                  <w:r>
                    <w:rPr>
                      <w:rFonts w:hint="eastAsia"/>
                      <w:color w:val="auto"/>
                      <w:highlight w:val="none"/>
                    </w:rPr>
                    <w:t>昼间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683" w:type="pct"/>
                  <w:tcBorders>
                    <w:tl2br w:val="nil"/>
                    <w:tr2bl w:val="nil"/>
                  </w:tcBorders>
                  <w:vAlign w:val="center"/>
                </w:tcPr>
                <w:p>
                  <w:pPr>
                    <w:pStyle w:val="70"/>
                    <w:jc w:val="center"/>
                    <w:rPr>
                      <w:color w:val="auto"/>
                      <w:highlight w:val="none"/>
                    </w:rPr>
                  </w:pPr>
                  <w:r>
                    <w:rPr>
                      <w:rFonts w:hint="eastAsia"/>
                      <w:color w:val="auto"/>
                      <w:highlight w:val="none"/>
                    </w:rPr>
                    <w:t>1</w:t>
                  </w:r>
                </w:p>
              </w:tc>
              <w:tc>
                <w:tcPr>
                  <w:tcW w:w="1135" w:type="pct"/>
                  <w:tcBorders>
                    <w:tl2br w:val="nil"/>
                    <w:tr2bl w:val="nil"/>
                  </w:tcBorders>
                  <w:vAlign w:val="center"/>
                </w:tcPr>
                <w:p>
                  <w:pPr>
                    <w:pStyle w:val="70"/>
                    <w:jc w:val="center"/>
                    <w:rPr>
                      <w:color w:val="auto"/>
                      <w:highlight w:val="none"/>
                    </w:rPr>
                  </w:pPr>
                  <w:r>
                    <w:rPr>
                      <w:rFonts w:hint="eastAsia"/>
                      <w:color w:val="auto"/>
                      <w:highlight w:val="none"/>
                    </w:rPr>
                    <w:t>厂界北侧</w:t>
                  </w:r>
                </w:p>
              </w:tc>
              <w:tc>
                <w:tcPr>
                  <w:tcW w:w="909" w:type="pct"/>
                  <w:tcBorders>
                    <w:tl2br w:val="nil"/>
                    <w:tr2bl w:val="nil"/>
                  </w:tcBorders>
                  <w:shd w:val="clear" w:color="auto" w:fill="auto"/>
                  <w:vAlign w:val="center"/>
                </w:tcPr>
                <w:p>
                  <w:pPr>
                    <w:pStyle w:val="70"/>
                    <w:jc w:val="center"/>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5</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9</w:t>
                  </w:r>
                </w:p>
              </w:tc>
              <w:tc>
                <w:tcPr>
                  <w:tcW w:w="1135" w:type="pct"/>
                  <w:tcBorders>
                    <w:tl2br w:val="nil"/>
                    <w:tr2bl w:val="nil"/>
                  </w:tcBorders>
                  <w:vAlign w:val="center"/>
                </w:tcPr>
                <w:p>
                  <w:pPr>
                    <w:pStyle w:val="70"/>
                    <w:jc w:val="center"/>
                    <w:rPr>
                      <w:color w:val="auto"/>
                      <w:highlight w:val="none"/>
                    </w:rPr>
                  </w:pPr>
                  <w:r>
                    <w:rPr>
                      <w:rFonts w:hint="eastAsia"/>
                      <w:color w:val="auto"/>
                      <w:highlight w:val="none"/>
                    </w:rPr>
                    <w:t>65</w:t>
                  </w:r>
                </w:p>
              </w:tc>
              <w:tc>
                <w:tcPr>
                  <w:tcW w:w="1136" w:type="pct"/>
                  <w:tcBorders>
                    <w:tl2br w:val="nil"/>
                    <w:tr2bl w:val="nil"/>
                  </w:tcBorders>
                  <w:vAlign w:val="center"/>
                </w:tcPr>
                <w:p>
                  <w:pPr>
                    <w:pStyle w:val="70"/>
                    <w:jc w:val="center"/>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683" w:type="pct"/>
                  <w:tcBorders>
                    <w:tl2br w:val="nil"/>
                    <w:tr2bl w:val="nil"/>
                  </w:tcBorders>
                  <w:vAlign w:val="center"/>
                </w:tcPr>
                <w:p>
                  <w:pPr>
                    <w:pStyle w:val="70"/>
                    <w:jc w:val="center"/>
                    <w:rPr>
                      <w:color w:val="auto"/>
                      <w:highlight w:val="none"/>
                    </w:rPr>
                  </w:pPr>
                  <w:r>
                    <w:rPr>
                      <w:rFonts w:hint="eastAsia"/>
                      <w:color w:val="auto"/>
                      <w:highlight w:val="none"/>
                    </w:rPr>
                    <w:t>2</w:t>
                  </w:r>
                </w:p>
              </w:tc>
              <w:tc>
                <w:tcPr>
                  <w:tcW w:w="1135" w:type="pct"/>
                  <w:tcBorders>
                    <w:tl2br w:val="nil"/>
                    <w:tr2bl w:val="nil"/>
                  </w:tcBorders>
                  <w:vAlign w:val="center"/>
                </w:tcPr>
                <w:p>
                  <w:pPr>
                    <w:pStyle w:val="70"/>
                    <w:jc w:val="center"/>
                    <w:rPr>
                      <w:color w:val="auto"/>
                      <w:highlight w:val="none"/>
                    </w:rPr>
                  </w:pPr>
                  <w:r>
                    <w:rPr>
                      <w:rFonts w:hint="eastAsia"/>
                      <w:color w:val="auto"/>
                      <w:highlight w:val="none"/>
                    </w:rPr>
                    <w:t>厂界西侧</w:t>
                  </w:r>
                </w:p>
              </w:tc>
              <w:tc>
                <w:tcPr>
                  <w:tcW w:w="909" w:type="pct"/>
                  <w:tcBorders>
                    <w:tl2br w:val="nil"/>
                    <w:tr2bl w:val="nil"/>
                  </w:tcBorders>
                  <w:shd w:val="clear" w:color="auto" w:fill="auto"/>
                  <w:vAlign w:val="center"/>
                </w:tcPr>
                <w:p>
                  <w:pPr>
                    <w:pStyle w:val="70"/>
                    <w:jc w:val="center"/>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53.</w:t>
                  </w:r>
                  <w:r>
                    <w:rPr>
                      <w:rFonts w:hint="eastAsia"/>
                      <w:color w:val="auto"/>
                      <w:highlight w:val="none"/>
                      <w:lang w:val="en-US" w:eastAsia="zh-CN"/>
                    </w:rPr>
                    <w:t>8</w:t>
                  </w:r>
                </w:p>
              </w:tc>
              <w:tc>
                <w:tcPr>
                  <w:tcW w:w="1135" w:type="pct"/>
                  <w:tcBorders>
                    <w:tl2br w:val="nil"/>
                    <w:tr2bl w:val="nil"/>
                  </w:tcBorders>
                  <w:vAlign w:val="center"/>
                </w:tcPr>
                <w:p>
                  <w:pPr>
                    <w:pStyle w:val="70"/>
                    <w:jc w:val="center"/>
                    <w:rPr>
                      <w:color w:val="auto"/>
                      <w:highlight w:val="none"/>
                    </w:rPr>
                  </w:pPr>
                  <w:r>
                    <w:rPr>
                      <w:rFonts w:hint="eastAsia"/>
                      <w:color w:val="auto"/>
                      <w:highlight w:val="none"/>
                    </w:rPr>
                    <w:t>65</w:t>
                  </w:r>
                </w:p>
              </w:tc>
              <w:tc>
                <w:tcPr>
                  <w:tcW w:w="1136" w:type="pct"/>
                  <w:tcBorders>
                    <w:tl2br w:val="nil"/>
                    <w:tr2bl w:val="nil"/>
                  </w:tcBorders>
                  <w:vAlign w:val="center"/>
                </w:tcPr>
                <w:p>
                  <w:pPr>
                    <w:pStyle w:val="70"/>
                    <w:jc w:val="center"/>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683" w:type="pct"/>
                  <w:tcBorders>
                    <w:tl2br w:val="nil"/>
                    <w:tr2bl w:val="nil"/>
                  </w:tcBorders>
                  <w:vAlign w:val="center"/>
                </w:tcPr>
                <w:p>
                  <w:pPr>
                    <w:pStyle w:val="70"/>
                    <w:jc w:val="center"/>
                    <w:rPr>
                      <w:color w:val="auto"/>
                      <w:highlight w:val="none"/>
                    </w:rPr>
                  </w:pPr>
                  <w:r>
                    <w:rPr>
                      <w:rFonts w:hint="eastAsia"/>
                      <w:color w:val="auto"/>
                      <w:highlight w:val="none"/>
                    </w:rPr>
                    <w:t>3</w:t>
                  </w:r>
                </w:p>
              </w:tc>
              <w:tc>
                <w:tcPr>
                  <w:tcW w:w="1135" w:type="pct"/>
                  <w:tcBorders>
                    <w:tl2br w:val="nil"/>
                    <w:tr2bl w:val="nil"/>
                  </w:tcBorders>
                  <w:vAlign w:val="center"/>
                </w:tcPr>
                <w:p>
                  <w:pPr>
                    <w:pStyle w:val="70"/>
                    <w:jc w:val="center"/>
                    <w:rPr>
                      <w:color w:val="auto"/>
                      <w:highlight w:val="none"/>
                    </w:rPr>
                  </w:pPr>
                  <w:r>
                    <w:rPr>
                      <w:rFonts w:hint="eastAsia"/>
                      <w:color w:val="auto"/>
                      <w:highlight w:val="none"/>
                    </w:rPr>
                    <w:t>厂界南侧</w:t>
                  </w:r>
                </w:p>
              </w:tc>
              <w:tc>
                <w:tcPr>
                  <w:tcW w:w="909" w:type="pct"/>
                  <w:tcBorders>
                    <w:tl2br w:val="nil"/>
                    <w:tr2bl w:val="nil"/>
                  </w:tcBorders>
                  <w:vAlign w:val="center"/>
                </w:tcPr>
                <w:p>
                  <w:pPr>
                    <w:pStyle w:val="70"/>
                    <w:jc w:val="center"/>
                    <w:rPr>
                      <w:rFonts w:hint="default" w:eastAsia="宋体"/>
                      <w:color w:val="auto"/>
                      <w:highlight w:val="none"/>
                      <w:lang w:val="en-US" w:eastAsia="zh-CN"/>
                    </w:rPr>
                  </w:pPr>
                  <w:r>
                    <w:rPr>
                      <w:rFonts w:hint="eastAsia"/>
                      <w:color w:val="auto"/>
                      <w:highlight w:val="none"/>
                      <w:lang w:val="en-US" w:eastAsia="zh-CN"/>
                    </w:rPr>
                    <w:t>47.1</w:t>
                  </w:r>
                </w:p>
              </w:tc>
              <w:tc>
                <w:tcPr>
                  <w:tcW w:w="1135" w:type="pct"/>
                  <w:tcBorders>
                    <w:tl2br w:val="nil"/>
                    <w:tr2bl w:val="nil"/>
                  </w:tcBorders>
                  <w:vAlign w:val="center"/>
                </w:tcPr>
                <w:p>
                  <w:pPr>
                    <w:pStyle w:val="70"/>
                    <w:jc w:val="center"/>
                    <w:rPr>
                      <w:color w:val="auto"/>
                      <w:highlight w:val="none"/>
                    </w:rPr>
                  </w:pPr>
                  <w:r>
                    <w:rPr>
                      <w:rFonts w:hint="eastAsia"/>
                      <w:color w:val="auto"/>
                      <w:highlight w:val="none"/>
                    </w:rPr>
                    <w:t>70</w:t>
                  </w:r>
                </w:p>
              </w:tc>
              <w:tc>
                <w:tcPr>
                  <w:tcW w:w="1136" w:type="pct"/>
                  <w:tcBorders>
                    <w:tl2br w:val="nil"/>
                    <w:tr2bl w:val="nil"/>
                  </w:tcBorders>
                  <w:vAlign w:val="center"/>
                </w:tcPr>
                <w:p>
                  <w:pPr>
                    <w:pStyle w:val="70"/>
                    <w:jc w:val="center"/>
                    <w:rPr>
                      <w:color w:val="auto"/>
                      <w:highlight w:val="none"/>
                    </w:rPr>
                  </w:pPr>
                  <w:r>
                    <w:rPr>
                      <w:rFonts w:hint="eastAsia"/>
                      <w:color w:val="auto"/>
                      <w:highlight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83" w:type="pct"/>
                  <w:tcBorders>
                    <w:tl2br w:val="nil"/>
                    <w:tr2bl w:val="nil"/>
                  </w:tcBorders>
                  <w:vAlign w:val="center"/>
                </w:tcPr>
                <w:p>
                  <w:pPr>
                    <w:pStyle w:val="70"/>
                    <w:jc w:val="center"/>
                    <w:rPr>
                      <w:color w:val="auto"/>
                      <w:highlight w:val="none"/>
                    </w:rPr>
                  </w:pPr>
                  <w:r>
                    <w:rPr>
                      <w:rFonts w:hint="eastAsia"/>
                      <w:color w:val="auto"/>
                      <w:highlight w:val="none"/>
                    </w:rPr>
                    <w:t>4</w:t>
                  </w:r>
                </w:p>
              </w:tc>
              <w:tc>
                <w:tcPr>
                  <w:tcW w:w="1135" w:type="pct"/>
                  <w:tcBorders>
                    <w:tl2br w:val="nil"/>
                    <w:tr2bl w:val="nil"/>
                  </w:tcBorders>
                  <w:vAlign w:val="center"/>
                </w:tcPr>
                <w:p>
                  <w:pPr>
                    <w:pStyle w:val="70"/>
                    <w:jc w:val="center"/>
                    <w:rPr>
                      <w:color w:val="auto"/>
                      <w:highlight w:val="none"/>
                    </w:rPr>
                  </w:pPr>
                  <w:r>
                    <w:rPr>
                      <w:rFonts w:hint="eastAsia"/>
                      <w:color w:val="auto"/>
                      <w:highlight w:val="none"/>
                    </w:rPr>
                    <w:t>厂界东侧</w:t>
                  </w:r>
                </w:p>
              </w:tc>
              <w:tc>
                <w:tcPr>
                  <w:tcW w:w="909" w:type="pct"/>
                  <w:tcBorders>
                    <w:tl2br w:val="nil"/>
                    <w:tr2bl w:val="nil"/>
                  </w:tcBorders>
                  <w:vAlign w:val="center"/>
                </w:tcPr>
                <w:p>
                  <w:pPr>
                    <w:pStyle w:val="70"/>
                    <w:jc w:val="center"/>
                    <w:rPr>
                      <w:rFonts w:hint="default" w:eastAsia="宋体"/>
                      <w:color w:val="auto"/>
                      <w:highlight w:val="none"/>
                      <w:lang w:val="en-US" w:eastAsia="zh-CN"/>
                    </w:rPr>
                  </w:pPr>
                  <w:r>
                    <w:rPr>
                      <w:rFonts w:hint="eastAsia"/>
                      <w:color w:val="auto"/>
                      <w:highlight w:val="none"/>
                      <w:lang w:val="en-US" w:eastAsia="zh-CN"/>
                    </w:rPr>
                    <w:t>30.6</w:t>
                  </w:r>
                </w:p>
              </w:tc>
              <w:tc>
                <w:tcPr>
                  <w:tcW w:w="1135" w:type="pct"/>
                  <w:tcBorders>
                    <w:tl2br w:val="nil"/>
                    <w:tr2bl w:val="nil"/>
                  </w:tcBorders>
                  <w:vAlign w:val="center"/>
                </w:tcPr>
                <w:p>
                  <w:pPr>
                    <w:pStyle w:val="70"/>
                    <w:jc w:val="center"/>
                    <w:rPr>
                      <w:color w:val="auto"/>
                      <w:highlight w:val="none"/>
                    </w:rPr>
                  </w:pPr>
                  <w:r>
                    <w:rPr>
                      <w:rFonts w:hint="eastAsia"/>
                      <w:color w:val="auto"/>
                      <w:highlight w:val="none"/>
                    </w:rPr>
                    <w:t>65</w:t>
                  </w:r>
                </w:p>
              </w:tc>
              <w:tc>
                <w:tcPr>
                  <w:tcW w:w="1136" w:type="pct"/>
                  <w:tcBorders>
                    <w:tl2br w:val="nil"/>
                    <w:tr2bl w:val="nil"/>
                  </w:tcBorders>
                  <w:vAlign w:val="center"/>
                </w:tcPr>
                <w:p>
                  <w:pPr>
                    <w:pStyle w:val="70"/>
                    <w:jc w:val="center"/>
                    <w:rPr>
                      <w:color w:val="auto"/>
                      <w:highlight w:val="none"/>
                    </w:rPr>
                  </w:pPr>
                  <w:r>
                    <w:rPr>
                      <w:rFonts w:hint="eastAsia"/>
                      <w:color w:val="auto"/>
                      <w:highlight w:val="none"/>
                    </w:rPr>
                    <w:t>达标</w:t>
                  </w:r>
                </w:p>
              </w:tc>
            </w:tr>
          </w:tbl>
          <w:p>
            <w:pPr>
              <w:pStyle w:val="70"/>
              <w:rPr>
                <w:color w:val="auto"/>
                <w:highlight w:val="none"/>
              </w:rPr>
            </w:pPr>
          </w:p>
          <w:p>
            <w:pPr>
              <w:pStyle w:val="72"/>
              <w:ind w:firstLine="480"/>
              <w:rPr>
                <w:rFonts w:hint="eastAsia"/>
                <w:color w:val="auto"/>
                <w:highlight w:val="none"/>
              </w:rPr>
            </w:pPr>
            <w:r>
              <w:rPr>
                <w:rFonts w:hint="eastAsia"/>
                <w:color w:val="auto"/>
                <w:highlight w:val="none"/>
                <w:lang w:val="en-US" w:eastAsia="zh-CN"/>
              </w:rPr>
              <w:t>项目噪声经厂房隔声、距离衰减后</w:t>
            </w:r>
            <w:r>
              <w:rPr>
                <w:rFonts w:hint="eastAsia"/>
                <w:color w:val="auto"/>
                <w:kern w:val="0"/>
                <w:sz w:val="24"/>
                <w:highlight w:val="none"/>
                <w:lang w:val="zh-CN"/>
              </w:rPr>
              <w:t>，</w:t>
            </w:r>
            <w:r>
              <w:rPr>
                <w:rFonts w:hint="eastAsia"/>
                <w:color w:val="auto"/>
                <w:highlight w:val="none"/>
              </w:rPr>
              <w:t>临漳湖路一侧厂界噪声</w:t>
            </w:r>
            <w:r>
              <w:rPr>
                <w:color w:val="auto"/>
                <w:kern w:val="0"/>
                <w:sz w:val="24"/>
                <w:highlight w:val="none"/>
                <w:lang w:val="zh-CN"/>
              </w:rPr>
              <w:t>厂界昼</w:t>
            </w:r>
            <w:r>
              <w:rPr>
                <w:rFonts w:hint="eastAsia"/>
                <w:color w:val="auto"/>
                <w:kern w:val="0"/>
                <w:sz w:val="24"/>
                <w:highlight w:val="none"/>
                <w:lang w:val="zh-CN"/>
              </w:rPr>
              <w:t>间</w:t>
            </w:r>
            <w:r>
              <w:rPr>
                <w:color w:val="auto"/>
                <w:kern w:val="0"/>
                <w:sz w:val="24"/>
                <w:highlight w:val="none"/>
                <w:lang w:val="zh-CN"/>
              </w:rPr>
              <w:t>噪声贡献值不超过</w:t>
            </w:r>
            <w:r>
              <w:rPr>
                <w:rFonts w:hint="eastAsia"/>
                <w:color w:val="auto"/>
                <w:kern w:val="0"/>
                <w:sz w:val="24"/>
                <w:highlight w:val="none"/>
                <w:lang w:val="en-US" w:eastAsia="zh-CN"/>
              </w:rPr>
              <w:t>70</w:t>
            </w:r>
            <w:r>
              <w:rPr>
                <w:color w:val="auto"/>
                <w:kern w:val="0"/>
                <w:sz w:val="24"/>
                <w:highlight w:val="none"/>
                <w:lang w:val="zh-CN"/>
              </w:rPr>
              <w:t>dB（A）</w:t>
            </w:r>
            <w:r>
              <w:rPr>
                <w:rFonts w:hint="eastAsia"/>
                <w:color w:val="auto"/>
                <w:kern w:val="0"/>
                <w:sz w:val="24"/>
                <w:highlight w:val="none"/>
                <w:lang w:val="zh-CN"/>
              </w:rPr>
              <w:t>，</w:t>
            </w:r>
            <w:r>
              <w:rPr>
                <w:rFonts w:hint="eastAsia"/>
                <w:color w:val="auto"/>
                <w:highlight w:val="none"/>
              </w:rPr>
              <w:t>符合《工业企业厂界环境噪声排放标准》（GB12348-2008）中的4类标准，其余</w:t>
            </w:r>
            <w:r>
              <w:rPr>
                <w:color w:val="auto"/>
                <w:kern w:val="0"/>
                <w:sz w:val="24"/>
                <w:highlight w:val="none"/>
                <w:lang w:val="zh-CN"/>
              </w:rPr>
              <w:t>厂界昼</w:t>
            </w:r>
            <w:r>
              <w:rPr>
                <w:rFonts w:hint="eastAsia"/>
                <w:color w:val="auto"/>
                <w:kern w:val="0"/>
                <w:sz w:val="24"/>
                <w:highlight w:val="none"/>
                <w:lang w:val="zh-CN"/>
              </w:rPr>
              <w:t>间</w:t>
            </w:r>
            <w:r>
              <w:rPr>
                <w:color w:val="auto"/>
                <w:kern w:val="0"/>
                <w:sz w:val="24"/>
                <w:highlight w:val="none"/>
                <w:lang w:val="zh-CN"/>
              </w:rPr>
              <w:t>噪声贡献值不超过6</w:t>
            </w:r>
            <w:r>
              <w:rPr>
                <w:rFonts w:hint="eastAsia"/>
                <w:color w:val="auto"/>
                <w:kern w:val="0"/>
                <w:sz w:val="24"/>
                <w:highlight w:val="none"/>
                <w:lang w:val="en-US" w:eastAsia="zh-CN"/>
              </w:rPr>
              <w:t>5</w:t>
            </w:r>
            <w:r>
              <w:rPr>
                <w:color w:val="auto"/>
                <w:kern w:val="0"/>
                <w:sz w:val="24"/>
                <w:highlight w:val="none"/>
                <w:lang w:val="zh-CN"/>
              </w:rPr>
              <w:t>dB（A）</w:t>
            </w:r>
            <w:r>
              <w:rPr>
                <w:rFonts w:hint="eastAsia"/>
                <w:color w:val="auto"/>
                <w:kern w:val="0"/>
                <w:sz w:val="24"/>
                <w:highlight w:val="none"/>
                <w:lang w:val="zh-CN"/>
              </w:rPr>
              <w:t>，</w:t>
            </w:r>
            <w:r>
              <w:rPr>
                <w:rFonts w:hint="eastAsia"/>
                <w:color w:val="auto"/>
                <w:highlight w:val="none"/>
              </w:rPr>
              <w:t>符合《工业企业厂界环境噪声排放标准》（GB12348-2008）中的3类标准。</w:t>
            </w:r>
          </w:p>
          <w:p>
            <w:pPr>
              <w:pStyle w:val="72"/>
              <w:ind w:firstLine="48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lang w:val="en-US" w:eastAsia="zh-CN"/>
              </w:rPr>
              <w:t>噪声污染防治措施及监测计划</w:t>
            </w:r>
          </w:p>
          <w:p>
            <w:pPr>
              <w:pStyle w:val="72"/>
              <w:ind w:firstLine="480"/>
              <w:rPr>
                <w:rFonts w:hint="eastAsia"/>
                <w:color w:val="auto"/>
                <w:highlight w:val="none"/>
              </w:rPr>
            </w:pPr>
            <w:r>
              <w:rPr>
                <w:rFonts w:hint="eastAsia"/>
                <w:color w:val="auto"/>
                <w:highlight w:val="none"/>
              </w:rPr>
              <w:t>本项目在设备购置过程中采用低噪声机械设备，生产设备均布置在室内，通过合理布局、基础防振、墙体隔声，减少噪声污染。</w:t>
            </w:r>
          </w:p>
          <w:p>
            <w:pPr>
              <w:pStyle w:val="72"/>
              <w:ind w:firstLine="480"/>
              <w:rPr>
                <w:rFonts w:hint="eastAsia"/>
                <w:color w:val="auto"/>
                <w:highlight w:val="none"/>
                <w:lang w:val="en-US" w:eastAsia="zh-CN"/>
              </w:rPr>
            </w:pPr>
            <w:r>
              <w:rPr>
                <w:rFonts w:hint="eastAsia"/>
                <w:color w:val="auto"/>
                <w:highlight w:val="none"/>
              </w:rPr>
              <w:t>根据《排污单位自行监测技术指南</w:t>
            </w:r>
            <w:r>
              <w:rPr>
                <w:rFonts w:hint="eastAsia"/>
                <w:color w:val="auto"/>
                <w:highlight w:val="none"/>
                <w:lang w:val="en-US" w:eastAsia="zh-CN"/>
              </w:rPr>
              <w:t>电子工业</w:t>
            </w:r>
            <w:r>
              <w:rPr>
                <w:rFonts w:hint="eastAsia"/>
                <w:color w:val="auto"/>
                <w:highlight w:val="none"/>
              </w:rPr>
              <w:t>》（HJ</w:t>
            </w:r>
            <w:r>
              <w:rPr>
                <w:rFonts w:hint="eastAsia"/>
                <w:color w:val="auto"/>
                <w:highlight w:val="none"/>
                <w:lang w:val="en-US" w:eastAsia="zh-CN"/>
              </w:rPr>
              <w:t>1253</w:t>
            </w:r>
            <w:r>
              <w:rPr>
                <w:rFonts w:hint="eastAsia"/>
                <w:color w:val="auto"/>
                <w:highlight w:val="none"/>
              </w:rPr>
              <w:t>-20</w:t>
            </w:r>
            <w:r>
              <w:rPr>
                <w:rFonts w:hint="eastAsia"/>
                <w:color w:val="auto"/>
                <w:highlight w:val="none"/>
                <w:lang w:val="en-US" w:eastAsia="zh-CN"/>
              </w:rPr>
              <w:t>22</w:t>
            </w:r>
            <w:r>
              <w:rPr>
                <w:rFonts w:hint="eastAsia"/>
                <w:color w:val="auto"/>
                <w:highlight w:val="none"/>
              </w:rPr>
              <w:t>），噪声监测计划见表4.</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5。</w:t>
            </w:r>
          </w:p>
          <w:p>
            <w:pPr>
              <w:pStyle w:val="68"/>
              <w:rPr>
                <w:color w:val="auto"/>
                <w:highlight w:val="none"/>
              </w:rPr>
            </w:pPr>
            <w:r>
              <w:rPr>
                <w:rFonts w:hint="eastAsia"/>
                <w:color w:val="auto"/>
                <w:highlight w:val="none"/>
              </w:rPr>
              <w:t>表4.</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5</w:t>
            </w:r>
            <w:r>
              <w:rPr>
                <w:rFonts w:hint="eastAsia"/>
                <w:color w:val="auto"/>
                <w:highlight w:val="none"/>
              </w:rPr>
              <w:t>噪声监测计划内容一览表</w:t>
            </w:r>
          </w:p>
          <w:tbl>
            <w:tblPr>
              <w:tblStyle w:val="29"/>
              <w:tblW w:w="0" w:type="auto"/>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50"/>
              <w:gridCol w:w="2620"/>
              <w:gridCol w:w="1722"/>
              <w:gridCol w:w="1056"/>
              <w:gridCol w:w="16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50" w:type="dxa"/>
                  <w:tcBorders>
                    <w:tl2br w:val="nil"/>
                    <w:tr2bl w:val="nil"/>
                  </w:tcBorders>
                  <w:vAlign w:val="center"/>
                </w:tcPr>
                <w:p>
                  <w:pPr>
                    <w:pStyle w:val="70"/>
                    <w:rPr>
                      <w:color w:val="auto"/>
                      <w:highlight w:val="none"/>
                    </w:rPr>
                  </w:pPr>
                  <w:r>
                    <w:rPr>
                      <w:rFonts w:hint="eastAsia"/>
                      <w:color w:val="auto"/>
                      <w:highlight w:val="none"/>
                    </w:rPr>
                    <w:t>监测内容</w:t>
                  </w:r>
                </w:p>
              </w:tc>
              <w:tc>
                <w:tcPr>
                  <w:tcW w:w="2620" w:type="dxa"/>
                  <w:tcBorders>
                    <w:tl2br w:val="nil"/>
                    <w:tr2bl w:val="nil"/>
                  </w:tcBorders>
                  <w:vAlign w:val="center"/>
                </w:tcPr>
                <w:p>
                  <w:pPr>
                    <w:pStyle w:val="70"/>
                    <w:rPr>
                      <w:color w:val="auto"/>
                      <w:highlight w:val="none"/>
                    </w:rPr>
                  </w:pPr>
                  <w:r>
                    <w:rPr>
                      <w:rFonts w:hint="eastAsia"/>
                      <w:color w:val="auto"/>
                      <w:highlight w:val="none"/>
                    </w:rPr>
                    <w:t>监测位置</w:t>
                  </w:r>
                </w:p>
              </w:tc>
              <w:tc>
                <w:tcPr>
                  <w:tcW w:w="1722" w:type="dxa"/>
                  <w:tcBorders>
                    <w:tl2br w:val="nil"/>
                    <w:tr2bl w:val="nil"/>
                  </w:tcBorders>
                  <w:vAlign w:val="center"/>
                </w:tcPr>
                <w:p>
                  <w:pPr>
                    <w:pStyle w:val="70"/>
                    <w:rPr>
                      <w:color w:val="auto"/>
                      <w:highlight w:val="none"/>
                    </w:rPr>
                  </w:pPr>
                  <w:r>
                    <w:rPr>
                      <w:rFonts w:hint="eastAsia"/>
                      <w:color w:val="auto"/>
                      <w:highlight w:val="none"/>
                    </w:rPr>
                    <w:t>监测项目</w:t>
                  </w:r>
                </w:p>
              </w:tc>
              <w:tc>
                <w:tcPr>
                  <w:tcW w:w="1056" w:type="dxa"/>
                  <w:tcBorders>
                    <w:tl2br w:val="nil"/>
                    <w:tr2bl w:val="nil"/>
                  </w:tcBorders>
                  <w:vAlign w:val="center"/>
                </w:tcPr>
                <w:p>
                  <w:pPr>
                    <w:pStyle w:val="70"/>
                    <w:rPr>
                      <w:color w:val="auto"/>
                      <w:highlight w:val="none"/>
                    </w:rPr>
                  </w:pPr>
                  <w:r>
                    <w:rPr>
                      <w:rFonts w:hint="eastAsia"/>
                      <w:color w:val="auto"/>
                      <w:highlight w:val="none"/>
                    </w:rPr>
                    <w:t>监测频率</w:t>
                  </w:r>
                </w:p>
              </w:tc>
              <w:tc>
                <w:tcPr>
                  <w:tcW w:w="1675" w:type="dxa"/>
                  <w:tcBorders>
                    <w:tl2br w:val="nil"/>
                    <w:tr2bl w:val="nil"/>
                  </w:tcBorders>
                  <w:vAlign w:val="center"/>
                </w:tcPr>
                <w:p>
                  <w:pPr>
                    <w:pStyle w:val="70"/>
                    <w:rPr>
                      <w:color w:val="auto"/>
                      <w:highlight w:val="none"/>
                    </w:rPr>
                  </w:pPr>
                  <w:r>
                    <w:rPr>
                      <w:rFonts w:hint="eastAsia"/>
                      <w:color w:val="auto"/>
                      <w:highlight w:val="none"/>
                    </w:rPr>
                    <w:t>监测单位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050" w:type="dxa"/>
                  <w:tcBorders>
                    <w:tl2br w:val="nil"/>
                    <w:tr2bl w:val="nil"/>
                  </w:tcBorders>
                  <w:vAlign w:val="center"/>
                </w:tcPr>
                <w:p>
                  <w:pPr>
                    <w:pStyle w:val="70"/>
                    <w:rPr>
                      <w:color w:val="auto"/>
                      <w:highlight w:val="none"/>
                    </w:rPr>
                  </w:pPr>
                  <w:r>
                    <w:rPr>
                      <w:rFonts w:hint="eastAsia"/>
                      <w:color w:val="auto"/>
                      <w:highlight w:val="none"/>
                    </w:rPr>
                    <w:t>噪声</w:t>
                  </w:r>
                </w:p>
              </w:tc>
              <w:tc>
                <w:tcPr>
                  <w:tcW w:w="2620" w:type="dxa"/>
                  <w:tcBorders>
                    <w:tl2br w:val="nil"/>
                    <w:tr2bl w:val="nil"/>
                  </w:tcBorders>
                  <w:vAlign w:val="center"/>
                </w:tcPr>
                <w:p>
                  <w:pPr>
                    <w:pStyle w:val="70"/>
                    <w:rPr>
                      <w:color w:val="auto"/>
                      <w:highlight w:val="none"/>
                    </w:rPr>
                  </w:pPr>
                  <w:r>
                    <w:rPr>
                      <w:rFonts w:hint="eastAsia"/>
                      <w:color w:val="auto"/>
                      <w:highlight w:val="none"/>
                    </w:rPr>
                    <w:t>东、西、南、北厂界外1m</w:t>
                  </w:r>
                </w:p>
              </w:tc>
              <w:tc>
                <w:tcPr>
                  <w:tcW w:w="1722" w:type="dxa"/>
                  <w:tcBorders>
                    <w:tl2br w:val="nil"/>
                    <w:tr2bl w:val="nil"/>
                  </w:tcBorders>
                  <w:vAlign w:val="center"/>
                </w:tcPr>
                <w:p>
                  <w:pPr>
                    <w:pStyle w:val="70"/>
                    <w:rPr>
                      <w:color w:val="auto"/>
                      <w:highlight w:val="none"/>
                    </w:rPr>
                  </w:pPr>
                  <w:r>
                    <w:rPr>
                      <w:rFonts w:hint="eastAsia"/>
                      <w:color w:val="auto"/>
                      <w:highlight w:val="none"/>
                    </w:rPr>
                    <w:t>等效连续A声级</w:t>
                  </w:r>
                </w:p>
              </w:tc>
              <w:tc>
                <w:tcPr>
                  <w:tcW w:w="1056" w:type="dxa"/>
                  <w:tcBorders>
                    <w:tl2br w:val="nil"/>
                    <w:tr2bl w:val="nil"/>
                  </w:tcBorders>
                  <w:vAlign w:val="center"/>
                </w:tcPr>
                <w:p>
                  <w:pPr>
                    <w:pStyle w:val="70"/>
                    <w:rPr>
                      <w:color w:val="auto"/>
                      <w:highlight w:val="none"/>
                    </w:rPr>
                  </w:pPr>
                  <w:r>
                    <w:rPr>
                      <w:rFonts w:hint="eastAsia"/>
                      <w:color w:val="auto"/>
                      <w:highlight w:val="none"/>
                    </w:rPr>
                    <w:t>1次/季度</w:t>
                  </w:r>
                </w:p>
              </w:tc>
              <w:tc>
                <w:tcPr>
                  <w:tcW w:w="1675" w:type="dxa"/>
                  <w:tcBorders>
                    <w:tl2br w:val="nil"/>
                    <w:tr2bl w:val="nil"/>
                  </w:tcBorders>
                  <w:vAlign w:val="center"/>
                </w:tcPr>
                <w:p>
                  <w:pPr>
                    <w:pStyle w:val="70"/>
                    <w:rPr>
                      <w:color w:val="auto"/>
                      <w:highlight w:val="none"/>
                    </w:rPr>
                  </w:pPr>
                  <w:r>
                    <w:rPr>
                      <w:rFonts w:hint="eastAsia"/>
                      <w:color w:val="auto"/>
                      <w:highlight w:val="none"/>
                    </w:rPr>
                    <w:t>委托有资质单位</w:t>
                  </w:r>
                </w:p>
              </w:tc>
            </w:tr>
          </w:tbl>
          <w:p>
            <w:pPr>
              <w:pStyle w:val="70"/>
              <w:rPr>
                <w:color w:val="auto"/>
                <w:highlight w:val="none"/>
              </w:rPr>
            </w:pPr>
          </w:p>
          <w:p>
            <w:pPr>
              <w:pStyle w:val="72"/>
              <w:ind w:firstLine="0" w:firstLineChars="0"/>
              <w:rPr>
                <w:rStyle w:val="35"/>
                <w:rFonts w:ascii="Calibri" w:hAnsi="Calibri"/>
                <w:color w:val="auto"/>
                <w:kern w:val="0"/>
                <w:szCs w:val="20"/>
                <w:highlight w:val="none"/>
              </w:rPr>
            </w:pPr>
            <w:r>
              <w:rPr>
                <w:rFonts w:hint="eastAsia"/>
                <w:b/>
                <w:bCs/>
                <w:color w:val="auto"/>
                <w:highlight w:val="none"/>
                <w:lang w:val="en-US" w:eastAsia="zh-CN"/>
              </w:rPr>
              <w:t>4.5</w:t>
            </w:r>
            <w:r>
              <w:rPr>
                <w:rFonts w:hint="eastAsia"/>
                <w:b/>
                <w:bCs/>
                <w:color w:val="auto"/>
                <w:highlight w:val="none"/>
              </w:rPr>
              <w:t>固体废物</w:t>
            </w:r>
          </w:p>
          <w:p>
            <w:pPr>
              <w:pStyle w:val="72"/>
              <w:ind w:left="0" w:leftChars="0" w:firstLine="0" w:firstLineChars="0"/>
              <w:rPr>
                <w:rFonts w:hint="default"/>
                <w:b/>
                <w:bCs/>
                <w:color w:val="auto"/>
                <w:highlight w:val="none"/>
                <w:lang w:val="en-US" w:eastAsia="zh-CN"/>
              </w:rPr>
            </w:pPr>
            <w:r>
              <w:rPr>
                <w:rFonts w:hint="eastAsia"/>
                <w:b/>
                <w:bCs/>
                <w:color w:val="auto"/>
                <w:highlight w:val="none"/>
                <w:lang w:val="en-US" w:eastAsia="zh-CN"/>
              </w:rPr>
              <w:t>4.5.1固体废物源强</w:t>
            </w:r>
          </w:p>
          <w:p>
            <w:pPr>
              <w:pStyle w:val="72"/>
              <w:ind w:firstLine="480"/>
              <w:rPr>
                <w:rFonts w:hint="eastAsia"/>
                <w:color w:val="auto"/>
                <w:highlight w:val="none"/>
              </w:rPr>
            </w:pPr>
            <w:r>
              <w:rPr>
                <w:rFonts w:hint="eastAsia"/>
                <w:color w:val="auto"/>
                <w:highlight w:val="none"/>
              </w:rPr>
              <w:t>项目固体废物主要有一般工业固体废物、危险废物和生活垃圾。</w:t>
            </w:r>
          </w:p>
          <w:p>
            <w:pPr>
              <w:pStyle w:val="72"/>
              <w:ind w:firstLine="480"/>
              <w:rPr>
                <w:rFonts w:hint="eastAsia"/>
                <w:color w:val="auto"/>
                <w:highlight w:val="none"/>
                <w:lang w:val="en-US" w:eastAsia="zh-CN"/>
              </w:rPr>
            </w:pPr>
            <w:r>
              <w:rPr>
                <w:rFonts w:hint="eastAsia"/>
                <w:color w:val="auto"/>
                <w:highlight w:val="none"/>
                <w:lang w:val="en-US" w:eastAsia="zh-CN"/>
              </w:rPr>
              <w:t>（1）一般工业固体废物</w:t>
            </w:r>
          </w:p>
          <w:p>
            <w:pPr>
              <w:pStyle w:val="72"/>
              <w:ind w:firstLine="480"/>
              <w:rPr>
                <w:rFonts w:hint="eastAsia"/>
                <w:color w:val="auto"/>
                <w:highlight w:val="none"/>
                <w:lang w:eastAsia="zh-CN"/>
              </w:rPr>
            </w:pPr>
            <w:r>
              <w:rPr>
                <w:rFonts w:hint="eastAsia" w:ascii="宋体" w:hAnsi="宋体" w:eastAsia="宋体" w:cs="宋体"/>
                <w:color w:val="auto"/>
                <w:highlight w:val="none"/>
                <w:lang w:val="en-US" w:eastAsia="zh-CN"/>
              </w:rPr>
              <w:t>①布袋</w:t>
            </w:r>
            <w:r>
              <w:rPr>
                <w:rFonts w:hint="eastAsia"/>
                <w:color w:val="auto"/>
                <w:highlight w:val="none"/>
                <w:lang w:val="en-US" w:eastAsia="zh-CN"/>
              </w:rPr>
              <w:t>除尘系统粉尘：项目喷砂工序回收的粉尘主要为刚玉砂破碎后形成的粉末，主要成分为Al</w:t>
            </w:r>
            <w:r>
              <w:rPr>
                <w:rFonts w:hint="eastAsia"/>
                <w:color w:val="auto"/>
                <w:highlight w:val="none"/>
                <w:vertAlign w:val="subscript"/>
                <w:lang w:val="en-US" w:eastAsia="zh-CN"/>
              </w:rPr>
              <w:t>2</w:t>
            </w:r>
            <w:r>
              <w:rPr>
                <w:rFonts w:hint="eastAsia"/>
                <w:color w:val="auto"/>
                <w:highlight w:val="none"/>
                <w:vertAlign w:val="baseline"/>
                <w:lang w:val="en-US" w:eastAsia="zh-CN"/>
              </w:rPr>
              <w:t>O</w:t>
            </w:r>
            <w:r>
              <w:rPr>
                <w:rFonts w:hint="eastAsia"/>
                <w:color w:val="auto"/>
                <w:highlight w:val="none"/>
                <w:vertAlign w:val="subscript"/>
                <w:lang w:val="en-US" w:eastAsia="zh-CN"/>
              </w:rPr>
              <w:t>3</w:t>
            </w:r>
            <w:r>
              <w:rPr>
                <w:rFonts w:hint="eastAsia"/>
                <w:color w:val="auto"/>
                <w:highlight w:val="none"/>
                <w:lang w:val="en-US" w:eastAsia="zh-CN"/>
              </w:rPr>
              <w:t>，属于一般工业固体废物，其中有组织收集量为12t/a，除尘系统除尘效率95%，喷砂工序配套的布袋除尘系统回收粉尘量为11.4t/a，经收集后</w:t>
            </w:r>
            <w:r>
              <w:rPr>
                <w:rFonts w:hint="eastAsia"/>
                <w:color w:val="auto"/>
                <w:highlight w:val="none"/>
              </w:rPr>
              <w:t>委托一般工业固废处置单位处置</w:t>
            </w:r>
            <w:r>
              <w:rPr>
                <w:rFonts w:hint="eastAsia"/>
                <w:color w:val="auto"/>
                <w:highlight w:val="none"/>
                <w:lang w:eastAsia="zh-CN"/>
              </w:rPr>
              <w:t>。</w:t>
            </w:r>
          </w:p>
          <w:p>
            <w:pPr>
              <w:pStyle w:val="72"/>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②</w:t>
            </w:r>
            <w:r>
              <w:rPr>
                <w:rFonts w:hint="eastAsia" w:ascii="宋体" w:hAnsi="宋体" w:eastAsia="宋体" w:cs="宋体"/>
                <w:color w:val="auto"/>
                <w:highlight w:val="none"/>
                <w:lang w:val="en-US" w:eastAsia="zh-CN"/>
              </w:rPr>
              <w:t>喷淋除尘系统尘泥：抛光工序粉尘采用湿法喷淋处理，喷淋塔水循环使用，水池底部会沉积一定的污泥，主要成分为铝、铜、钼等金属单质，</w:t>
            </w:r>
            <w:r>
              <w:rPr>
                <w:rFonts w:hint="eastAsia"/>
                <w:color w:val="auto"/>
                <w:highlight w:val="none"/>
                <w:lang w:val="en-US" w:eastAsia="zh-CN"/>
              </w:rPr>
              <w:t>属于一般工业固体废物，根据表4.3.1，进入喷淋除尘系统的粉尘量约为3.256t/a，其中约有0.72t/a进入废水处理系统，其余部分沉积在循环水池底部，定期清理，尘泥</w:t>
            </w:r>
            <w:r>
              <w:rPr>
                <w:rFonts w:hint="eastAsia" w:ascii="宋体" w:hAnsi="宋体" w:eastAsia="宋体" w:cs="宋体"/>
                <w:color w:val="auto"/>
                <w:highlight w:val="none"/>
                <w:lang w:val="en-US" w:eastAsia="zh-CN"/>
              </w:rPr>
              <w:t>产生量约为</w:t>
            </w:r>
            <w:r>
              <w:rPr>
                <w:rFonts w:hint="eastAsia" w:ascii="宋体" w:hAnsi="宋体" w:cs="宋体"/>
                <w:color w:val="auto"/>
                <w:highlight w:val="none"/>
                <w:lang w:val="en-US" w:eastAsia="zh-CN"/>
              </w:rPr>
              <w:t>7</w:t>
            </w:r>
            <w:r>
              <w:rPr>
                <w:rFonts w:hint="eastAsia" w:ascii="宋体" w:hAnsi="宋体" w:eastAsia="宋体" w:cs="宋体"/>
                <w:color w:val="auto"/>
                <w:highlight w:val="none"/>
                <w:lang w:val="en-US" w:eastAsia="zh-CN"/>
              </w:rPr>
              <w:t>t/a（含水率</w:t>
            </w:r>
            <w:r>
              <w:rPr>
                <w:rFonts w:hint="eastAsia" w:ascii="宋体" w:hAnsi="宋体" w:cs="宋体"/>
                <w:color w:val="auto"/>
                <w:highlight w:val="none"/>
                <w:lang w:val="en-US" w:eastAsia="zh-CN"/>
              </w:rPr>
              <w:t>约</w:t>
            </w:r>
            <w:r>
              <w:rPr>
                <w:rFonts w:hint="eastAsia" w:ascii="宋体" w:hAnsi="宋体" w:eastAsia="宋体" w:cs="宋体"/>
                <w:color w:val="auto"/>
                <w:highlight w:val="none"/>
                <w:lang w:val="en-US" w:eastAsia="zh-CN"/>
              </w:rPr>
              <w:t>60%</w:t>
            </w:r>
            <w:r>
              <w:rPr>
                <w:rFonts w:hint="eastAsia" w:ascii="宋体" w:hAnsi="宋体" w:cs="宋体"/>
                <w:color w:val="auto"/>
                <w:highlight w:val="none"/>
                <w:lang w:val="en-US" w:eastAsia="zh-CN"/>
              </w:rPr>
              <w:t>-65%</w:t>
            </w:r>
            <w:r>
              <w:rPr>
                <w:rFonts w:hint="eastAsia" w:ascii="宋体" w:hAnsi="宋体" w:eastAsia="宋体" w:cs="宋体"/>
                <w:color w:val="auto"/>
                <w:highlight w:val="none"/>
                <w:lang w:val="en-US" w:eastAsia="zh-CN"/>
              </w:rPr>
              <w:t>）。</w:t>
            </w:r>
          </w:p>
          <w:p>
            <w:pPr>
              <w:pStyle w:val="72"/>
              <w:ind w:firstLine="480"/>
              <w:rPr>
                <w:rFonts w:hint="default"/>
                <w:color w:val="auto"/>
                <w:highlight w:val="none"/>
                <w:lang w:val="en-US" w:eastAsia="zh-CN"/>
              </w:rPr>
            </w:pPr>
            <w:r>
              <w:rPr>
                <w:rFonts w:hint="eastAsia" w:ascii="宋体" w:hAnsi="宋体" w:eastAsia="宋体" w:cs="宋体"/>
                <w:color w:val="auto"/>
                <w:highlight w:val="none"/>
                <w:lang w:val="en-US" w:eastAsia="zh-CN"/>
              </w:rPr>
              <w:t>③废砂：</w:t>
            </w:r>
            <w:r>
              <w:rPr>
                <w:rFonts w:hint="eastAsia" w:ascii="宋体" w:hAnsi="宋体" w:cs="宋体"/>
                <w:color w:val="auto"/>
                <w:highlight w:val="none"/>
                <w:lang w:val="en-US" w:eastAsia="zh-CN"/>
              </w:rPr>
              <w:t>废砂主要来源于喷砂工序和水刀切割工序；其中喷砂工序</w:t>
            </w:r>
            <w:r>
              <w:rPr>
                <w:rFonts w:hint="eastAsia" w:ascii="宋体" w:hAnsi="宋体" w:eastAsia="宋体" w:cs="宋体"/>
                <w:color w:val="auto"/>
                <w:highlight w:val="none"/>
                <w:lang w:val="en-US" w:eastAsia="zh-CN"/>
              </w:rPr>
              <w:t>废砂产生量约为7.8t/a</w:t>
            </w:r>
            <w:r>
              <w:rPr>
                <w:rFonts w:hint="eastAsia" w:ascii="宋体" w:hAnsi="宋体" w:cs="宋体"/>
                <w:color w:val="auto"/>
                <w:highlight w:val="none"/>
                <w:lang w:val="en-US" w:eastAsia="zh-CN"/>
              </w:rPr>
              <w:t>（包含自沉降的粉尘及地面清扫粉尘），</w:t>
            </w:r>
            <w:r>
              <w:rPr>
                <w:rFonts w:hint="eastAsia" w:ascii="宋体" w:hAnsi="宋体" w:eastAsia="宋体" w:cs="宋体"/>
                <w:color w:val="auto"/>
                <w:highlight w:val="none"/>
                <w:lang w:val="en-US" w:eastAsia="zh-CN"/>
              </w:rPr>
              <w:t>主要成分为</w:t>
            </w:r>
            <w:r>
              <w:rPr>
                <w:rFonts w:hint="eastAsia"/>
                <w:color w:val="auto"/>
                <w:highlight w:val="none"/>
                <w:lang w:val="en-US" w:eastAsia="zh-CN"/>
              </w:rPr>
              <w:t>Al</w:t>
            </w:r>
            <w:r>
              <w:rPr>
                <w:rFonts w:hint="eastAsia"/>
                <w:color w:val="auto"/>
                <w:highlight w:val="none"/>
                <w:vertAlign w:val="subscript"/>
                <w:lang w:val="en-US" w:eastAsia="zh-CN"/>
              </w:rPr>
              <w:t>2</w:t>
            </w:r>
            <w:r>
              <w:rPr>
                <w:rFonts w:hint="eastAsia"/>
                <w:color w:val="auto"/>
                <w:highlight w:val="none"/>
                <w:vertAlign w:val="baseline"/>
                <w:lang w:val="en-US" w:eastAsia="zh-CN"/>
              </w:rPr>
              <w:t>O</w:t>
            </w:r>
            <w:r>
              <w:rPr>
                <w:rFonts w:hint="eastAsia"/>
                <w:color w:val="auto"/>
                <w:highlight w:val="none"/>
                <w:vertAlign w:val="subscript"/>
                <w:lang w:val="en-US" w:eastAsia="zh-CN"/>
              </w:rPr>
              <w:t>3</w:t>
            </w:r>
            <w:r>
              <w:rPr>
                <w:rFonts w:hint="eastAsia"/>
                <w:color w:val="auto"/>
                <w:highlight w:val="none"/>
                <w:lang w:val="en-US" w:eastAsia="zh-CN"/>
              </w:rPr>
              <w:t>，属于一般工业固体废物；水刀切割工序废砂产生量约为22t/a，主要成分为Sil</w:t>
            </w:r>
            <w:r>
              <w:rPr>
                <w:rFonts w:hint="eastAsia"/>
                <w:color w:val="auto"/>
                <w:highlight w:val="none"/>
                <w:vertAlign w:val="subscript"/>
                <w:lang w:val="en-US" w:eastAsia="zh-CN"/>
              </w:rPr>
              <w:t>2</w:t>
            </w:r>
            <w:r>
              <w:rPr>
                <w:rFonts w:hint="eastAsia"/>
                <w:color w:val="auto"/>
                <w:highlight w:val="none"/>
                <w:vertAlign w:val="baseline"/>
                <w:lang w:val="en-US" w:eastAsia="zh-CN"/>
              </w:rPr>
              <w:t>O</w:t>
            </w:r>
            <w:r>
              <w:rPr>
                <w:rFonts w:hint="eastAsia"/>
                <w:color w:val="auto"/>
                <w:highlight w:val="none"/>
                <w:vertAlign w:val="subscript"/>
                <w:lang w:val="en-US" w:eastAsia="zh-CN"/>
              </w:rPr>
              <w:t>3</w:t>
            </w:r>
            <w:r>
              <w:rPr>
                <w:rFonts w:hint="eastAsia"/>
                <w:color w:val="auto"/>
                <w:highlight w:val="none"/>
                <w:lang w:val="en-US" w:eastAsia="zh-CN"/>
              </w:rPr>
              <w:t>、Al</w:t>
            </w:r>
            <w:r>
              <w:rPr>
                <w:rFonts w:hint="eastAsia"/>
                <w:color w:val="auto"/>
                <w:highlight w:val="none"/>
                <w:vertAlign w:val="subscript"/>
                <w:lang w:val="en-US" w:eastAsia="zh-CN"/>
              </w:rPr>
              <w:t>2</w:t>
            </w:r>
            <w:r>
              <w:rPr>
                <w:rFonts w:hint="eastAsia"/>
                <w:color w:val="auto"/>
                <w:highlight w:val="none"/>
                <w:vertAlign w:val="baseline"/>
                <w:lang w:val="en-US" w:eastAsia="zh-CN"/>
              </w:rPr>
              <w:t>O</w:t>
            </w:r>
            <w:r>
              <w:rPr>
                <w:rFonts w:hint="eastAsia"/>
                <w:color w:val="auto"/>
                <w:highlight w:val="none"/>
                <w:vertAlign w:val="subscript"/>
                <w:lang w:val="en-US" w:eastAsia="zh-CN"/>
              </w:rPr>
              <w:t>3</w:t>
            </w:r>
            <w:r>
              <w:rPr>
                <w:rFonts w:hint="eastAsia"/>
                <w:color w:val="auto"/>
                <w:highlight w:val="none"/>
                <w:lang w:val="en-US" w:eastAsia="zh-CN"/>
              </w:rPr>
              <w:t>，属于一般工业固体废物。</w:t>
            </w:r>
          </w:p>
          <w:p>
            <w:pPr>
              <w:pStyle w:val="72"/>
              <w:ind w:firstLine="480"/>
              <w:rPr>
                <w:rFonts w:hint="eastAsia"/>
                <w:color w:val="auto"/>
                <w:highlight w:val="none"/>
                <w:lang w:val="en-US" w:eastAsia="zh-CN"/>
              </w:rPr>
            </w:pPr>
            <w:r>
              <w:rPr>
                <w:rFonts w:hint="eastAsia" w:ascii="宋体" w:hAnsi="宋体" w:eastAsia="宋体" w:cs="宋体"/>
                <w:color w:val="auto"/>
                <w:highlight w:val="none"/>
                <w:lang w:val="en-US" w:eastAsia="zh-CN"/>
              </w:rPr>
              <w:t>④</w:t>
            </w:r>
            <w:r>
              <w:rPr>
                <w:rFonts w:hint="eastAsia"/>
                <w:color w:val="auto"/>
                <w:highlight w:val="none"/>
                <w:lang w:val="en-US" w:eastAsia="zh-CN"/>
              </w:rPr>
              <w:t>机加工下脚料：项目铝、铜靶材机加工工序会产生机加工下脚料，根据物料平衡核算，机加工下脚料属于一般工业固体废物，产量约为151t/a，经收集后外售给金属资源回收公司回收利用。</w:t>
            </w:r>
          </w:p>
          <w:p>
            <w:pPr>
              <w:pStyle w:val="72"/>
              <w:ind w:firstLine="480"/>
              <w:rPr>
                <w:rFonts w:hint="eastAsia"/>
                <w:color w:val="auto"/>
                <w:highlight w:val="none"/>
                <w:lang w:val="en-US" w:eastAsia="zh-CN"/>
              </w:rPr>
            </w:pPr>
            <w:r>
              <w:rPr>
                <w:rFonts w:hint="eastAsia" w:ascii="宋体" w:hAnsi="宋体" w:eastAsia="宋体" w:cs="宋体"/>
                <w:color w:val="auto"/>
                <w:highlight w:val="none"/>
                <w:lang w:val="en-US" w:eastAsia="zh-CN"/>
              </w:rPr>
              <w:t>⑤</w:t>
            </w:r>
            <w:r>
              <w:rPr>
                <w:rFonts w:hint="eastAsia"/>
                <w:color w:val="auto"/>
                <w:highlight w:val="none"/>
                <w:lang w:val="en-US" w:eastAsia="zh-CN"/>
              </w:rPr>
              <w:t>不合格品：项目靶材超声波探伤工序会筛选出不合格品，不合格品属于一般工业固体废物，产生量约为10t/a，经收集后外售给金属资源回收公司回收利用。</w:t>
            </w:r>
          </w:p>
          <w:p>
            <w:pPr>
              <w:pStyle w:val="72"/>
              <w:ind w:firstLine="480"/>
              <w:rPr>
                <w:rFonts w:hint="eastAsia"/>
                <w:color w:val="auto"/>
                <w:highlight w:val="none"/>
                <w:lang w:eastAsia="zh-CN"/>
              </w:rPr>
            </w:pPr>
            <w:r>
              <w:rPr>
                <w:rFonts w:hint="eastAsia" w:ascii="宋体" w:hAnsi="宋体" w:eastAsia="宋体" w:cs="宋体"/>
                <w:color w:val="auto"/>
                <w:highlight w:val="none"/>
                <w:lang w:val="en-US" w:eastAsia="zh-CN"/>
              </w:rPr>
              <w:t>⑥</w:t>
            </w:r>
            <w:r>
              <w:rPr>
                <w:rFonts w:hint="eastAsia"/>
                <w:color w:val="auto"/>
                <w:highlight w:val="none"/>
                <w:lang w:val="en-US" w:eastAsia="zh-CN"/>
              </w:rPr>
              <w:t>白砂纸：项目抛光过程会使用一定的包废白砂纸，废白砂纸属于一般工业固体废物，产生量约为0.01t/a，经收集后</w:t>
            </w:r>
            <w:r>
              <w:rPr>
                <w:rFonts w:hint="eastAsia"/>
                <w:color w:val="auto"/>
                <w:highlight w:val="none"/>
              </w:rPr>
              <w:t>委托一般工业固废处置单位处置</w:t>
            </w:r>
            <w:r>
              <w:rPr>
                <w:rFonts w:hint="eastAsia"/>
                <w:color w:val="auto"/>
                <w:highlight w:val="none"/>
                <w:lang w:eastAsia="zh-CN"/>
              </w:rPr>
              <w:t>。</w:t>
            </w:r>
          </w:p>
          <w:p>
            <w:pPr>
              <w:pStyle w:val="72"/>
              <w:ind w:firstLine="480"/>
              <w:rPr>
                <w:rFonts w:hint="eastAsia" w:ascii="宋体" w:hAnsi="宋体" w:cs="宋体"/>
                <w:color w:val="auto"/>
                <w:highlight w:val="none"/>
                <w:lang w:val="en-US" w:eastAsia="zh-CN"/>
              </w:rPr>
            </w:pPr>
            <w:r>
              <w:rPr>
                <w:rFonts w:hint="eastAsia" w:ascii="宋体" w:hAnsi="宋体" w:eastAsia="宋体" w:cs="宋体"/>
                <w:color w:val="auto"/>
                <w:highlight w:val="none"/>
                <w:lang w:eastAsia="zh-CN"/>
              </w:rPr>
              <w:t>⑦</w:t>
            </w:r>
            <w:r>
              <w:rPr>
                <w:rFonts w:hint="eastAsia" w:ascii="宋体" w:hAnsi="宋体" w:cs="宋体"/>
                <w:color w:val="auto"/>
                <w:highlight w:val="none"/>
                <w:lang w:val="en-US" w:eastAsia="zh-CN"/>
              </w:rPr>
              <w:t>纯水站废组件：项目纯水站定期更换的膜组件，因项目纯水站采用自来水为原水，因此，属于一般工业固废，产生量约为0.1t/a。</w:t>
            </w:r>
          </w:p>
          <w:p>
            <w:pPr>
              <w:pStyle w:val="72"/>
              <w:ind w:firstLine="480"/>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⑧</w:t>
            </w:r>
            <w:r>
              <w:rPr>
                <w:rFonts w:hint="eastAsia" w:ascii="宋体" w:hAnsi="宋体" w:cs="宋体"/>
                <w:color w:val="auto"/>
                <w:highlight w:val="none"/>
                <w:lang w:val="en-US" w:eastAsia="zh-CN"/>
              </w:rPr>
              <w:t>废布袋：废布袋约3年更换一次，平均每年更换量约0.1t/a，布袋主要沾染刚玉砂，属于一般工业固废。</w:t>
            </w:r>
          </w:p>
          <w:p>
            <w:pPr>
              <w:pStyle w:val="72"/>
              <w:ind w:firstLine="480"/>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⑨</w:t>
            </w:r>
            <w:r>
              <w:rPr>
                <w:rFonts w:hint="eastAsia" w:ascii="宋体" w:hAnsi="宋体" w:cs="宋体"/>
                <w:color w:val="auto"/>
                <w:highlight w:val="none"/>
                <w:lang w:val="en-US" w:eastAsia="zh-CN"/>
              </w:rPr>
              <w:t>废包装材料：废包装材料主要是一些塑料膜、木箱等，每年产生量约0.3t/a，属于一般工业固废。</w:t>
            </w:r>
          </w:p>
          <w:p>
            <w:pPr>
              <w:pStyle w:val="72"/>
              <w:ind w:firstLine="480"/>
              <w:rPr>
                <w:rFonts w:hint="eastAsia"/>
                <w:color w:val="auto"/>
                <w:highlight w:val="none"/>
                <w:lang w:val="en-US" w:eastAsia="zh-CN"/>
              </w:rPr>
            </w:pPr>
            <w:r>
              <w:rPr>
                <w:rFonts w:hint="eastAsia" w:ascii="宋体" w:hAnsi="宋体" w:eastAsia="宋体" w:cs="宋体"/>
                <w:color w:val="auto"/>
                <w:highlight w:val="none"/>
                <w:lang w:val="en-US" w:eastAsia="zh-CN"/>
              </w:rPr>
              <w:t>⑩</w:t>
            </w:r>
            <w:r>
              <w:rPr>
                <w:rFonts w:hint="eastAsia"/>
                <w:color w:val="auto"/>
                <w:highlight w:val="none"/>
                <w:lang w:val="en-US" w:eastAsia="zh-CN"/>
              </w:rPr>
              <w:t>废无尘布：废无尘布沾染了一定的酒精，但</w:t>
            </w:r>
            <w:r>
              <w:rPr>
                <w:rFonts w:ascii="宋体" w:hAnsi="宋体" w:eastAsia="宋体" w:cs="宋体"/>
                <w:color w:val="auto"/>
                <w:sz w:val="24"/>
                <w:szCs w:val="24"/>
                <w:highlight w:val="none"/>
              </w:rPr>
              <w:t>未沾染毒性或感染性危险废物的废弃吸附介质，</w:t>
            </w:r>
            <w:r>
              <w:rPr>
                <w:rFonts w:hint="eastAsia"/>
                <w:color w:val="auto"/>
                <w:highlight w:val="none"/>
                <w:lang w:val="en-US" w:eastAsia="zh-CN"/>
              </w:rPr>
              <w:t>属于一般工业固废，产生量约为0.01t/a。</w:t>
            </w:r>
          </w:p>
          <w:p>
            <w:pPr>
              <w:pStyle w:val="72"/>
              <w:ind w:firstLine="480"/>
              <w:rPr>
                <w:rFonts w:hint="default" w:ascii="宋体" w:hAnsi="宋体" w:cs="宋体"/>
                <w:color w:val="auto"/>
                <w:highlight w:val="none"/>
                <w:lang w:val="en-US" w:eastAsia="zh-CN"/>
              </w:rPr>
            </w:pPr>
            <w:r>
              <w:rPr>
                <w:rFonts w:hint="eastAsia" w:ascii="宋体" w:hAnsi="宋体" w:cs="宋体"/>
                <w:color w:val="auto"/>
                <w:highlight w:val="none"/>
                <w:lang w:val="en-US" w:eastAsia="zh-CN"/>
              </w:rPr>
              <w:t>由上述分析可知，项目共产生一般工业固废209.72t/a。</w:t>
            </w:r>
          </w:p>
          <w:p>
            <w:pPr>
              <w:pStyle w:val="72"/>
              <w:ind w:firstLine="480"/>
              <w:rPr>
                <w:rFonts w:hint="eastAsia"/>
                <w:color w:val="auto"/>
                <w:highlight w:val="none"/>
                <w:lang w:val="en-US" w:eastAsia="zh-CN"/>
              </w:rPr>
            </w:pPr>
            <w:r>
              <w:rPr>
                <w:rFonts w:hint="eastAsia"/>
                <w:color w:val="auto"/>
                <w:highlight w:val="none"/>
                <w:lang w:val="en-US" w:eastAsia="zh-CN"/>
              </w:rPr>
              <w:t>（2）危险废物</w:t>
            </w:r>
          </w:p>
          <w:p>
            <w:pPr>
              <w:pStyle w:val="72"/>
              <w:ind w:firstLine="480"/>
              <w:rPr>
                <w:rFonts w:hint="default"/>
                <w:color w:val="auto"/>
                <w:highlight w:val="none"/>
                <w:lang w:val="en-US" w:eastAsia="zh-CN"/>
              </w:rPr>
            </w:pPr>
            <w:r>
              <w:rPr>
                <w:rFonts w:hint="eastAsia"/>
                <w:color w:val="auto"/>
                <w:highlight w:val="none"/>
                <w:lang w:val="en-US" w:eastAsia="zh-CN"/>
              </w:rPr>
              <w:t>废油：项目机加工设备会使用一定的润滑油、机油，年废油产生量约为1t/a（产生量参考企业实际情况，按企业现有工程使用情况和产废比例）。废油属于危险废物（HW08，编号900-249-008），经收集后</w:t>
            </w:r>
            <w:r>
              <w:rPr>
                <w:rFonts w:hint="eastAsia"/>
                <w:color w:val="auto"/>
                <w:highlight w:val="none"/>
              </w:rPr>
              <w:t>委托有相应危废经营许可资质的单位安全处置</w:t>
            </w:r>
            <w:r>
              <w:rPr>
                <w:rFonts w:hint="eastAsia"/>
                <w:color w:val="auto"/>
                <w:highlight w:val="none"/>
                <w:lang w:val="en-US" w:eastAsia="zh-CN"/>
              </w:rPr>
              <w:t>。</w:t>
            </w:r>
          </w:p>
          <w:p>
            <w:pPr>
              <w:pStyle w:val="72"/>
              <w:ind w:firstLine="480"/>
              <w:rPr>
                <w:rFonts w:hint="eastAsia"/>
                <w:color w:val="auto"/>
                <w:highlight w:val="none"/>
                <w:lang w:eastAsia="zh-CN"/>
              </w:rPr>
            </w:pPr>
            <w:r>
              <w:rPr>
                <w:rFonts w:hint="eastAsia"/>
                <w:color w:val="auto"/>
                <w:highlight w:val="none"/>
                <w:lang w:val="en-US" w:eastAsia="zh-CN"/>
              </w:rPr>
              <w:t>废切削液：项目机械加工过程产生废切削液，废切削液属于危险废物（HW09，编号900-006-09），产生量约为5t/a（产生量参考企业实际情况，按企业现有工程使用情况和产废比例），经收集后</w:t>
            </w:r>
            <w:r>
              <w:rPr>
                <w:rFonts w:hint="eastAsia"/>
                <w:color w:val="auto"/>
                <w:highlight w:val="none"/>
              </w:rPr>
              <w:t>委托有相应危废经营许可资质的单位安全处置</w:t>
            </w:r>
            <w:r>
              <w:rPr>
                <w:rFonts w:hint="eastAsia"/>
                <w:color w:val="auto"/>
                <w:highlight w:val="none"/>
                <w:lang w:eastAsia="zh-CN"/>
              </w:rPr>
              <w:t>。</w:t>
            </w:r>
          </w:p>
          <w:p>
            <w:pPr>
              <w:pStyle w:val="72"/>
              <w:ind w:firstLine="480"/>
              <w:rPr>
                <w:rFonts w:hint="eastAsia"/>
                <w:color w:val="auto"/>
                <w:highlight w:val="none"/>
                <w:lang w:eastAsia="zh-CN"/>
              </w:rPr>
            </w:pPr>
            <w:r>
              <w:rPr>
                <w:rFonts w:hint="eastAsia"/>
                <w:color w:val="auto"/>
                <w:highlight w:val="none"/>
                <w:lang w:val="en-US" w:eastAsia="zh-CN"/>
              </w:rPr>
              <w:t>污水处理站污泥：项目生产废水经污水处理混凝沉淀处理后会产生污泥，因污泥含有一定的油污，属于危险废物（HW49，772-006-49），参考污水处理站进出水质结果，估算污泥产生量约为2t/a（含水率60%），经收集后</w:t>
            </w:r>
            <w:r>
              <w:rPr>
                <w:rFonts w:hint="eastAsia"/>
                <w:color w:val="auto"/>
                <w:highlight w:val="none"/>
              </w:rPr>
              <w:t>委托有相应危废经营许可资质的单位安全处置</w:t>
            </w:r>
            <w:r>
              <w:rPr>
                <w:rFonts w:hint="eastAsia"/>
                <w:color w:val="auto"/>
                <w:highlight w:val="none"/>
                <w:lang w:eastAsia="zh-CN"/>
              </w:rPr>
              <w:t>。</w:t>
            </w:r>
          </w:p>
          <w:p>
            <w:pPr>
              <w:pStyle w:val="72"/>
              <w:ind w:firstLine="480"/>
              <w:rPr>
                <w:rFonts w:hint="default"/>
                <w:color w:val="auto"/>
                <w:highlight w:val="none"/>
                <w:lang w:val="en-US" w:eastAsia="zh-CN"/>
              </w:rPr>
            </w:pPr>
            <w:r>
              <w:rPr>
                <w:rFonts w:hint="eastAsia"/>
                <w:color w:val="auto"/>
                <w:highlight w:val="none"/>
                <w:lang w:val="en-US" w:eastAsia="zh-CN"/>
              </w:rPr>
              <w:t>废油桶、废切削液桶：项目矿物油、切削液等使用过后会产生一定量的废油桶、切削液桶，属于危险废物，危废编号为900-249-08、900-041-49，年产生量约为1.5t/a。</w:t>
            </w:r>
          </w:p>
          <w:p>
            <w:pPr>
              <w:pStyle w:val="72"/>
              <w:ind w:firstLine="480"/>
              <w:rPr>
                <w:rFonts w:hint="default"/>
                <w:color w:val="auto"/>
                <w:highlight w:val="none"/>
                <w:lang w:val="en-US" w:eastAsia="zh-CN"/>
              </w:rPr>
            </w:pPr>
            <w:r>
              <w:rPr>
                <w:rFonts w:hint="eastAsia" w:ascii="宋体" w:hAnsi="宋体" w:cs="宋体"/>
                <w:color w:val="auto"/>
                <w:highlight w:val="none"/>
                <w:lang w:val="en-US" w:eastAsia="zh-CN"/>
              </w:rPr>
              <w:t>由上述分析可知，项目共产生危险固废9.5t/a。</w:t>
            </w:r>
          </w:p>
          <w:p>
            <w:pPr>
              <w:pStyle w:val="72"/>
              <w:ind w:firstLine="480"/>
              <w:rPr>
                <w:rFonts w:hint="eastAsia"/>
                <w:color w:val="auto"/>
                <w:highlight w:val="none"/>
                <w:lang w:val="en-US" w:eastAsia="zh-CN"/>
              </w:rPr>
            </w:pPr>
            <w:r>
              <w:rPr>
                <w:rFonts w:hint="eastAsia"/>
                <w:color w:val="auto"/>
                <w:highlight w:val="none"/>
                <w:lang w:val="en-US" w:eastAsia="zh-CN"/>
              </w:rPr>
              <w:t>（3）生活垃圾</w:t>
            </w:r>
          </w:p>
          <w:p>
            <w:pPr>
              <w:pStyle w:val="72"/>
              <w:ind w:firstLine="480"/>
              <w:rPr>
                <w:rFonts w:hint="default" w:eastAsia="宋体"/>
                <w:color w:val="auto"/>
                <w:highlight w:val="none"/>
                <w:lang w:val="en-US" w:eastAsia="zh-CN"/>
              </w:rPr>
            </w:pPr>
            <w:r>
              <w:rPr>
                <w:rFonts w:hint="eastAsia"/>
                <w:color w:val="auto"/>
                <w:highlight w:val="none"/>
                <w:lang w:val="en-US" w:eastAsia="zh-CN"/>
              </w:rPr>
              <w:t>本改扩建项目定员103人，其中65人为原厂迁移，则新增</w:t>
            </w:r>
            <w:r>
              <w:rPr>
                <w:rFonts w:hint="eastAsia"/>
                <w:color w:val="auto"/>
                <w:highlight w:val="none"/>
              </w:rPr>
              <w:t>员工</w:t>
            </w:r>
            <w:r>
              <w:rPr>
                <w:rFonts w:hint="eastAsia"/>
                <w:color w:val="auto"/>
                <w:highlight w:val="none"/>
                <w:lang w:val="en-US" w:eastAsia="zh-CN"/>
              </w:rPr>
              <w:t>38</w:t>
            </w:r>
            <w:r>
              <w:rPr>
                <w:rFonts w:hint="eastAsia"/>
                <w:color w:val="auto"/>
                <w:highlight w:val="none"/>
              </w:rPr>
              <w:t>人，</w:t>
            </w:r>
            <w:r>
              <w:rPr>
                <w:color w:val="auto"/>
                <w:highlight w:val="none"/>
              </w:rPr>
              <w:t>年工作日300天，</w:t>
            </w:r>
            <w:r>
              <w:rPr>
                <w:rFonts w:hint="eastAsia"/>
                <w:color w:val="auto"/>
                <w:highlight w:val="none"/>
                <w:lang w:val="en-US" w:eastAsia="zh-CN"/>
              </w:rPr>
              <w:t>根据我国生活污染物排放系数，生活垃圾产生量以每人0.5kg/d计算，</w:t>
            </w:r>
            <w:r>
              <w:rPr>
                <w:color w:val="auto"/>
                <w:highlight w:val="none"/>
              </w:rPr>
              <w:t>则本项目生活垃圾产生量约</w:t>
            </w:r>
            <w:r>
              <w:rPr>
                <w:rFonts w:hint="eastAsia"/>
                <w:color w:val="auto"/>
                <w:highlight w:val="none"/>
                <w:lang w:val="en-US" w:eastAsia="zh-CN"/>
              </w:rPr>
              <w:t>19</w:t>
            </w:r>
            <w:r>
              <w:rPr>
                <w:color w:val="auto"/>
                <w:highlight w:val="none"/>
              </w:rPr>
              <w:t>kg/d（</w:t>
            </w:r>
            <w:r>
              <w:rPr>
                <w:rFonts w:hint="eastAsia"/>
                <w:color w:val="auto"/>
                <w:highlight w:val="none"/>
                <w:lang w:val="en-US" w:eastAsia="zh-CN"/>
              </w:rPr>
              <w:t>5.7</w:t>
            </w:r>
            <w:r>
              <w:rPr>
                <w:color w:val="auto"/>
                <w:highlight w:val="none"/>
              </w:rPr>
              <w:t>t/a）。</w:t>
            </w:r>
          </w:p>
          <w:p>
            <w:pPr>
              <w:pStyle w:val="72"/>
              <w:ind w:firstLine="480"/>
              <w:rPr>
                <w:rFonts w:hint="eastAsia"/>
                <w:color w:val="auto"/>
                <w:highlight w:val="none"/>
              </w:rPr>
            </w:pPr>
            <w:r>
              <w:rPr>
                <w:rFonts w:hint="eastAsia"/>
                <w:color w:val="auto"/>
                <w:highlight w:val="none"/>
              </w:rPr>
              <w:t>项目固体废物产生及处置情况见表4.</w:t>
            </w:r>
            <w:r>
              <w:rPr>
                <w:rFonts w:hint="eastAsia"/>
                <w:color w:val="auto"/>
                <w:highlight w:val="none"/>
                <w:lang w:val="en-US" w:eastAsia="zh-CN"/>
              </w:rPr>
              <w:t>5</w:t>
            </w:r>
            <w:r>
              <w:rPr>
                <w:rFonts w:hint="eastAsia"/>
                <w:color w:val="auto"/>
                <w:highlight w:val="none"/>
              </w:rPr>
              <w:t>.1。</w:t>
            </w:r>
          </w:p>
          <w:p>
            <w:pPr>
              <w:pStyle w:val="72"/>
              <w:ind w:firstLine="480"/>
              <w:rPr>
                <w:rFonts w:hint="eastAsia"/>
                <w:color w:val="auto"/>
                <w:highlight w:val="none"/>
              </w:rPr>
            </w:pPr>
          </w:p>
          <w:p>
            <w:pPr>
              <w:pStyle w:val="72"/>
              <w:ind w:firstLine="480"/>
              <w:rPr>
                <w:rFonts w:hint="eastAsia"/>
                <w:color w:val="auto"/>
                <w:highlight w:val="none"/>
              </w:rPr>
            </w:pPr>
          </w:p>
          <w:p>
            <w:pPr>
              <w:pStyle w:val="68"/>
              <w:rPr>
                <w:color w:val="auto"/>
                <w:highlight w:val="none"/>
              </w:rPr>
            </w:pPr>
            <w:r>
              <w:rPr>
                <w:rFonts w:hint="eastAsia"/>
                <w:color w:val="auto"/>
                <w:highlight w:val="none"/>
              </w:rPr>
              <w:t>表4.</w:t>
            </w:r>
            <w:r>
              <w:rPr>
                <w:rFonts w:hint="eastAsia"/>
                <w:color w:val="auto"/>
                <w:highlight w:val="none"/>
                <w:lang w:val="en-US" w:eastAsia="zh-CN"/>
              </w:rPr>
              <w:t>5</w:t>
            </w:r>
            <w:r>
              <w:rPr>
                <w:rFonts w:hint="eastAsia"/>
                <w:color w:val="auto"/>
                <w:highlight w:val="none"/>
              </w:rPr>
              <w:t>.1项目固体废物产生及处置情况一览表单位：t/a</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928"/>
              <w:gridCol w:w="1354"/>
              <w:gridCol w:w="1055"/>
              <w:gridCol w:w="1976"/>
              <w:gridCol w:w="12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种类</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产生量</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lang w:val="en-US" w:eastAsia="zh-CN"/>
                    </w:rPr>
                    <w:t>委外</w:t>
                  </w:r>
                  <w:r>
                    <w:rPr>
                      <w:rFonts w:hint="eastAsia"/>
                      <w:b w:val="0"/>
                      <w:color w:val="auto"/>
                      <w:highlight w:val="none"/>
                    </w:rPr>
                    <w:t>处置量</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排放量</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固体废物类别</w:t>
                  </w:r>
                </w:p>
              </w:tc>
              <w:tc>
                <w:tcPr>
                  <w:tcW w:w="12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生活垃圾</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5.7</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5.7</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生活垃圾</w:t>
                  </w:r>
                </w:p>
              </w:tc>
              <w:tc>
                <w:tcPr>
                  <w:tcW w:w="12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环卫部门收集处置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除尘系统粉尘</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11.4</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11.4</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一般工业固体废物(</w:t>
                  </w:r>
                  <w:r>
                    <w:rPr>
                      <w:rFonts w:ascii="宋体" w:hAnsi="宋体" w:eastAsia="宋体" w:cs="宋体"/>
                      <w:b w:val="0"/>
                      <w:color w:val="auto"/>
                      <w:sz w:val="24"/>
                      <w:szCs w:val="24"/>
                      <w:highlight w:val="none"/>
                    </w:rPr>
                    <w:t>900-099-S59</w:t>
                  </w:r>
                  <w:r>
                    <w:rPr>
                      <w:rFonts w:hint="eastAsia"/>
                      <w:b w:val="0"/>
                      <w:color w:val="auto"/>
                      <w:highlight w:val="none"/>
                    </w:rPr>
                    <w:t>)</w:t>
                  </w:r>
                </w:p>
              </w:tc>
              <w:tc>
                <w:tcPr>
                  <w:tcW w:w="1235"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委托福州市长乐区宏鑫环境服务有限公司处置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ascii="宋体" w:hAnsi="宋体" w:eastAsia="宋体" w:cs="宋体"/>
                      <w:b w:val="0"/>
                      <w:color w:val="auto"/>
                      <w:highlight w:val="none"/>
                      <w:lang w:val="en-US" w:eastAsia="zh-CN"/>
                    </w:rPr>
                    <w:t>喷淋除尘系统尘泥</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7</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7</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highlight w:val="none"/>
                      <w:lang w:val="en-US" w:eastAsia="zh-CN"/>
                    </w:rPr>
                  </w:pPr>
                  <w:r>
                    <w:rPr>
                      <w:rFonts w:hint="eastAsia"/>
                      <w:b w:val="0"/>
                      <w:color w:val="auto"/>
                      <w:highlight w:val="none"/>
                      <w:lang w:val="en-US" w:eastAsia="zh-CN"/>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highlight w:val="none"/>
                    </w:rPr>
                    <w:t>一般工业固体废物(900-0</w:t>
                  </w:r>
                  <w:r>
                    <w:rPr>
                      <w:rFonts w:hint="eastAsia"/>
                      <w:b w:val="0"/>
                      <w:color w:val="auto"/>
                      <w:highlight w:val="none"/>
                      <w:lang w:val="en-US" w:eastAsia="zh-CN"/>
                    </w:rPr>
                    <w:t>99</w:t>
                  </w:r>
                  <w:r>
                    <w:rPr>
                      <w:rFonts w:hint="eastAsia"/>
                      <w:b w:val="0"/>
                      <w:color w:val="auto"/>
                      <w:highlight w:val="none"/>
                    </w:rPr>
                    <w:t>-</w:t>
                  </w:r>
                  <w:r>
                    <w:rPr>
                      <w:rFonts w:hint="eastAsia"/>
                      <w:b w:val="0"/>
                      <w:color w:val="auto"/>
                      <w:highlight w:val="none"/>
                      <w:lang w:val="en-US" w:eastAsia="zh-CN"/>
                    </w:rPr>
                    <w:t>S07</w:t>
                  </w:r>
                  <w:r>
                    <w:rPr>
                      <w:rFonts w:hint="eastAsia"/>
                      <w:b w:val="0"/>
                      <w:color w:val="auto"/>
                      <w:highlight w:val="none"/>
                    </w:rPr>
                    <w:t>)</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宋体" w:hAnsi="宋体" w:eastAsia="宋体" w:cs="宋体"/>
                      <w:b w:val="0"/>
                      <w:color w:val="auto"/>
                      <w:highlight w:val="none"/>
                      <w:lang w:val="en-US" w:eastAsia="zh-CN"/>
                    </w:rPr>
                  </w:pPr>
                  <w:r>
                    <w:rPr>
                      <w:rFonts w:hint="eastAsia" w:ascii="宋体" w:hAnsi="宋体" w:eastAsia="宋体" w:cs="宋体"/>
                      <w:b w:val="0"/>
                      <w:color w:val="auto"/>
                      <w:highlight w:val="none"/>
                      <w:lang w:val="en-US" w:eastAsia="zh-CN"/>
                    </w:rPr>
                    <w:t>喷砂工序废砂</w:t>
                  </w:r>
                </w:p>
                <w:p>
                  <w:pPr>
                    <w:pStyle w:val="70"/>
                    <w:rPr>
                      <w:rFonts w:hint="default" w:ascii="宋体" w:hAnsi="宋体" w:eastAsia="宋体" w:cs="宋体"/>
                      <w:b w:val="0"/>
                      <w:color w:val="auto"/>
                      <w:highlight w:val="none"/>
                      <w:lang w:val="en-US" w:eastAsia="zh-CN"/>
                    </w:rPr>
                  </w:pPr>
                  <w:r>
                    <w:rPr>
                      <w:rFonts w:hint="eastAsia" w:ascii="宋体" w:hAnsi="宋体" w:cs="宋体"/>
                      <w:b w:val="0"/>
                      <w:color w:val="auto"/>
                      <w:highlight w:val="none"/>
                      <w:lang w:val="en-US" w:eastAsia="zh-CN"/>
                    </w:rPr>
                    <w:t>水刀切割工序废砂</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29.8</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29.8</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highlight w:val="none"/>
                      <w:lang w:eastAsia="zh-CN"/>
                    </w:rPr>
                  </w:pPr>
                  <w:r>
                    <w:rPr>
                      <w:rFonts w:hint="eastAsia"/>
                      <w:b w:val="0"/>
                      <w:color w:val="auto"/>
                      <w:highlight w:val="none"/>
                    </w:rPr>
                    <w:t>一般工业固体废物</w:t>
                  </w:r>
                  <w:r>
                    <w:rPr>
                      <w:rFonts w:hint="eastAsia"/>
                      <w:b w:val="0"/>
                      <w:color w:val="auto"/>
                      <w:highlight w:val="none"/>
                      <w:lang w:eastAsia="zh-CN"/>
                    </w:rPr>
                    <w:t>（</w:t>
                  </w:r>
                  <w:r>
                    <w:rPr>
                      <w:rFonts w:ascii="宋体" w:hAnsi="宋体" w:eastAsia="宋体" w:cs="宋体"/>
                      <w:b w:val="0"/>
                      <w:color w:val="auto"/>
                      <w:sz w:val="24"/>
                      <w:szCs w:val="24"/>
                      <w:highlight w:val="none"/>
                    </w:rPr>
                    <w:t>900-099-S59</w:t>
                  </w:r>
                  <w:r>
                    <w:rPr>
                      <w:rFonts w:hint="eastAsia" w:ascii="宋体" w:hAnsi="宋体" w:eastAsia="宋体" w:cs="宋体"/>
                      <w:b w:val="0"/>
                      <w:color w:val="auto"/>
                      <w:sz w:val="24"/>
                      <w:szCs w:val="24"/>
                      <w:highlight w:val="none"/>
                      <w:lang w:eastAsia="zh-CN"/>
                    </w:rPr>
                    <w:t>）</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宋体" w:hAnsi="宋体" w:eastAsia="宋体" w:cs="宋体"/>
                      <w:b w:val="0"/>
                      <w:color w:val="auto"/>
                      <w:highlight w:val="none"/>
                      <w:lang w:val="en-US" w:eastAsia="zh-CN"/>
                    </w:rPr>
                  </w:pPr>
                  <w:r>
                    <w:rPr>
                      <w:rFonts w:hint="eastAsia"/>
                      <w:b w:val="0"/>
                      <w:color w:val="auto"/>
                      <w:highlight w:val="none"/>
                      <w:lang w:val="en-US" w:eastAsia="zh-CN"/>
                    </w:rPr>
                    <w:t>白砂纸</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0.01</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0.01</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highlight w:val="none"/>
                      <w:lang w:eastAsia="zh-CN"/>
                    </w:rPr>
                  </w:pPr>
                  <w:r>
                    <w:rPr>
                      <w:rFonts w:hint="eastAsia"/>
                      <w:b w:val="0"/>
                      <w:color w:val="auto"/>
                      <w:highlight w:val="none"/>
                    </w:rPr>
                    <w:t>一般工业固体废物</w:t>
                  </w:r>
                  <w:r>
                    <w:rPr>
                      <w:rFonts w:hint="eastAsia"/>
                      <w:b w:val="0"/>
                      <w:color w:val="auto"/>
                      <w:highlight w:val="none"/>
                      <w:lang w:eastAsia="zh-CN"/>
                    </w:rPr>
                    <w:t>（</w:t>
                  </w:r>
                  <w:r>
                    <w:rPr>
                      <w:rFonts w:ascii="宋体" w:hAnsi="宋体" w:eastAsia="宋体" w:cs="宋体"/>
                      <w:b w:val="0"/>
                      <w:color w:val="auto"/>
                      <w:sz w:val="24"/>
                      <w:szCs w:val="24"/>
                      <w:highlight w:val="none"/>
                    </w:rPr>
                    <w:t>900-099-S59</w:t>
                  </w:r>
                  <w:r>
                    <w:rPr>
                      <w:rFonts w:hint="eastAsia" w:ascii="宋体" w:hAnsi="宋体" w:eastAsia="宋体" w:cs="宋体"/>
                      <w:b w:val="0"/>
                      <w:color w:val="auto"/>
                      <w:sz w:val="24"/>
                      <w:szCs w:val="24"/>
                      <w:highlight w:val="none"/>
                      <w:lang w:eastAsia="zh-CN"/>
                    </w:rPr>
                    <w:t>）</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废无尘布</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0.01</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0.01</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一般工业固体废物</w:t>
                  </w:r>
                  <w:r>
                    <w:rPr>
                      <w:rFonts w:hint="eastAsia"/>
                      <w:b w:val="0"/>
                      <w:color w:val="auto"/>
                      <w:highlight w:val="none"/>
                      <w:lang w:eastAsia="zh-CN"/>
                    </w:rPr>
                    <w:t>（</w:t>
                  </w:r>
                  <w:r>
                    <w:rPr>
                      <w:rFonts w:ascii="宋体" w:hAnsi="宋体" w:eastAsia="宋体" w:cs="宋体"/>
                      <w:b w:val="0"/>
                      <w:color w:val="auto"/>
                      <w:sz w:val="24"/>
                      <w:szCs w:val="24"/>
                      <w:highlight w:val="none"/>
                    </w:rPr>
                    <w:t>900-099-S59</w:t>
                  </w:r>
                  <w:r>
                    <w:rPr>
                      <w:rFonts w:hint="eastAsia" w:ascii="宋体" w:hAnsi="宋体" w:eastAsia="宋体" w:cs="宋体"/>
                      <w:b w:val="0"/>
                      <w:color w:val="auto"/>
                      <w:sz w:val="24"/>
                      <w:szCs w:val="24"/>
                      <w:highlight w:val="none"/>
                      <w:lang w:eastAsia="zh-CN"/>
                    </w:rPr>
                    <w:t>）</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2"/>
                      <w:highlight w:val="none"/>
                      <w:lang w:val="en-US" w:eastAsia="zh-CN" w:bidi="ar-SA"/>
                    </w:rPr>
                  </w:pPr>
                  <w:r>
                    <w:rPr>
                      <w:rFonts w:hint="eastAsia" w:eastAsia="宋体" w:cs="Times New Roman"/>
                      <w:b w:val="0"/>
                      <w:snapToGrid w:val="0"/>
                      <w:color w:val="auto"/>
                      <w:kern w:val="2"/>
                      <w:sz w:val="21"/>
                      <w:szCs w:val="22"/>
                      <w:highlight w:val="none"/>
                      <w:lang w:val="en-US" w:eastAsia="zh-CN" w:bidi="ar-SA"/>
                    </w:rPr>
                    <w:t>纯水站废组件</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2"/>
                      <w:highlight w:val="none"/>
                      <w:lang w:val="en-US" w:eastAsia="zh-CN" w:bidi="ar-SA"/>
                    </w:rPr>
                  </w:pPr>
                  <w:r>
                    <w:rPr>
                      <w:rFonts w:hint="eastAsia" w:eastAsia="宋体" w:cs="Times New Roman"/>
                      <w:b w:val="0"/>
                      <w:snapToGrid w:val="0"/>
                      <w:color w:val="auto"/>
                      <w:kern w:val="2"/>
                      <w:sz w:val="21"/>
                      <w:szCs w:val="22"/>
                      <w:highlight w:val="none"/>
                      <w:lang w:val="en-US" w:eastAsia="zh-CN" w:bidi="ar-SA"/>
                    </w:rPr>
                    <w:t>0.1</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2"/>
                      <w:highlight w:val="none"/>
                      <w:lang w:val="en-US" w:eastAsia="zh-CN" w:bidi="ar-SA"/>
                    </w:rPr>
                  </w:pPr>
                  <w:r>
                    <w:rPr>
                      <w:rFonts w:hint="eastAsia" w:eastAsia="宋体" w:cs="Times New Roman"/>
                      <w:b w:val="0"/>
                      <w:snapToGrid w:val="0"/>
                      <w:color w:val="auto"/>
                      <w:kern w:val="2"/>
                      <w:sz w:val="21"/>
                      <w:szCs w:val="22"/>
                      <w:highlight w:val="none"/>
                      <w:lang w:val="en-US" w:eastAsia="zh-CN" w:bidi="ar-SA"/>
                    </w:rPr>
                    <w:t>0.1</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一般工业固体废物</w:t>
                  </w:r>
                  <w:r>
                    <w:rPr>
                      <w:rFonts w:hint="eastAsia"/>
                      <w:b w:val="0"/>
                      <w:color w:val="auto"/>
                      <w:highlight w:val="none"/>
                      <w:lang w:eastAsia="zh-CN"/>
                    </w:rPr>
                    <w:t>（</w:t>
                  </w:r>
                  <w:r>
                    <w:rPr>
                      <w:rFonts w:ascii="宋体" w:hAnsi="宋体" w:eastAsia="宋体" w:cs="宋体"/>
                      <w:b w:val="0"/>
                      <w:color w:val="auto"/>
                      <w:sz w:val="24"/>
                      <w:szCs w:val="24"/>
                      <w:highlight w:val="none"/>
                    </w:rPr>
                    <w:t>900-009-S59</w:t>
                  </w:r>
                  <w:r>
                    <w:rPr>
                      <w:rFonts w:hint="eastAsia" w:ascii="宋体" w:hAnsi="宋体" w:eastAsia="宋体" w:cs="宋体"/>
                      <w:b w:val="0"/>
                      <w:color w:val="auto"/>
                      <w:sz w:val="24"/>
                      <w:szCs w:val="24"/>
                      <w:highlight w:val="none"/>
                      <w:lang w:eastAsia="zh-CN"/>
                    </w:rPr>
                    <w:t>）</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cs="Times New Roman"/>
                      <w:b w:val="0"/>
                      <w:snapToGrid w:val="0"/>
                      <w:color w:val="auto"/>
                      <w:kern w:val="2"/>
                      <w:sz w:val="21"/>
                      <w:szCs w:val="22"/>
                      <w:highlight w:val="none"/>
                      <w:lang w:val="en-US" w:eastAsia="zh-CN" w:bidi="ar-SA"/>
                    </w:rPr>
                  </w:pPr>
                  <w:r>
                    <w:rPr>
                      <w:rFonts w:hint="eastAsia" w:eastAsia="宋体" w:cs="Times New Roman"/>
                      <w:b w:val="0"/>
                      <w:snapToGrid w:val="0"/>
                      <w:color w:val="auto"/>
                      <w:kern w:val="2"/>
                      <w:sz w:val="21"/>
                      <w:szCs w:val="22"/>
                      <w:highlight w:val="none"/>
                      <w:lang w:val="en-US" w:eastAsia="zh-CN" w:bidi="ar-SA"/>
                    </w:rPr>
                    <w:t>废布袋</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2"/>
                      <w:highlight w:val="none"/>
                      <w:lang w:val="en-US" w:eastAsia="zh-CN" w:bidi="ar-SA"/>
                    </w:rPr>
                  </w:pPr>
                  <w:r>
                    <w:rPr>
                      <w:rFonts w:hint="eastAsia" w:eastAsia="宋体" w:cs="Times New Roman"/>
                      <w:b w:val="0"/>
                      <w:snapToGrid w:val="0"/>
                      <w:color w:val="auto"/>
                      <w:kern w:val="2"/>
                      <w:sz w:val="21"/>
                      <w:szCs w:val="22"/>
                      <w:highlight w:val="none"/>
                      <w:lang w:val="en-US" w:eastAsia="zh-CN" w:bidi="ar-SA"/>
                    </w:rPr>
                    <w:t>0.1</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2"/>
                      <w:highlight w:val="none"/>
                      <w:lang w:val="en-US" w:eastAsia="zh-CN" w:bidi="ar-SA"/>
                    </w:rPr>
                  </w:pPr>
                  <w:r>
                    <w:rPr>
                      <w:rFonts w:hint="eastAsia" w:eastAsia="宋体" w:cs="Times New Roman"/>
                      <w:b w:val="0"/>
                      <w:snapToGrid w:val="0"/>
                      <w:color w:val="auto"/>
                      <w:kern w:val="2"/>
                      <w:sz w:val="21"/>
                      <w:szCs w:val="22"/>
                      <w:highlight w:val="none"/>
                      <w:lang w:val="en-US" w:eastAsia="zh-CN" w:bidi="ar-SA"/>
                    </w:rPr>
                    <w:t>0.1</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rPr>
                    <w:t>一般工业固体废物</w:t>
                  </w:r>
                  <w:r>
                    <w:rPr>
                      <w:rFonts w:hint="eastAsia"/>
                      <w:b w:val="0"/>
                      <w:color w:val="auto"/>
                      <w:highlight w:val="none"/>
                      <w:lang w:eastAsia="zh-CN"/>
                    </w:rPr>
                    <w:t>（</w:t>
                  </w:r>
                  <w:r>
                    <w:rPr>
                      <w:rFonts w:ascii="宋体" w:hAnsi="宋体" w:eastAsia="宋体" w:cs="宋体"/>
                      <w:b w:val="0"/>
                      <w:color w:val="auto"/>
                      <w:sz w:val="24"/>
                      <w:szCs w:val="24"/>
                      <w:highlight w:val="none"/>
                    </w:rPr>
                    <w:t>900-009-S59</w:t>
                  </w:r>
                  <w:r>
                    <w:rPr>
                      <w:rFonts w:hint="eastAsia"/>
                      <w:b w:val="0"/>
                      <w:color w:val="auto"/>
                      <w:highlight w:val="none"/>
                      <w:lang w:eastAsia="zh-CN"/>
                    </w:rPr>
                    <w:t>）</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cs="Times New Roman"/>
                      <w:b w:val="0"/>
                      <w:snapToGrid w:val="0"/>
                      <w:color w:val="auto"/>
                      <w:kern w:val="2"/>
                      <w:sz w:val="21"/>
                      <w:szCs w:val="22"/>
                      <w:highlight w:val="none"/>
                      <w:lang w:val="en-US" w:eastAsia="zh-CN" w:bidi="ar-SA"/>
                    </w:rPr>
                  </w:pPr>
                  <w:r>
                    <w:rPr>
                      <w:rFonts w:hint="eastAsia" w:cs="Times New Roman"/>
                      <w:b w:val="0"/>
                      <w:snapToGrid w:val="0"/>
                      <w:color w:val="auto"/>
                      <w:kern w:val="2"/>
                      <w:sz w:val="21"/>
                      <w:szCs w:val="22"/>
                      <w:highlight w:val="none"/>
                      <w:lang w:val="en-US" w:eastAsia="zh-CN" w:bidi="ar-SA"/>
                    </w:rPr>
                    <w:t>废包装材料</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cs="Times New Roman"/>
                      <w:b w:val="0"/>
                      <w:snapToGrid w:val="0"/>
                      <w:color w:val="auto"/>
                      <w:kern w:val="2"/>
                      <w:sz w:val="21"/>
                      <w:szCs w:val="22"/>
                      <w:highlight w:val="none"/>
                      <w:lang w:val="en-US" w:eastAsia="zh-CN" w:bidi="ar-SA"/>
                    </w:rPr>
                  </w:pPr>
                  <w:r>
                    <w:rPr>
                      <w:rFonts w:hint="eastAsia" w:cs="Times New Roman"/>
                      <w:b w:val="0"/>
                      <w:snapToGrid w:val="0"/>
                      <w:color w:val="auto"/>
                      <w:kern w:val="2"/>
                      <w:sz w:val="21"/>
                      <w:szCs w:val="22"/>
                      <w:highlight w:val="none"/>
                      <w:lang w:val="en-US" w:eastAsia="zh-CN" w:bidi="ar-SA"/>
                    </w:rPr>
                    <w:t>0.3</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cs="Times New Roman"/>
                      <w:b w:val="0"/>
                      <w:snapToGrid w:val="0"/>
                      <w:color w:val="auto"/>
                      <w:kern w:val="2"/>
                      <w:sz w:val="21"/>
                      <w:szCs w:val="22"/>
                      <w:highlight w:val="none"/>
                      <w:lang w:val="en-US" w:eastAsia="zh-CN" w:bidi="ar-SA"/>
                    </w:rPr>
                  </w:pPr>
                  <w:r>
                    <w:rPr>
                      <w:rFonts w:hint="eastAsia" w:cs="Times New Roman"/>
                      <w:b w:val="0"/>
                      <w:snapToGrid w:val="0"/>
                      <w:color w:val="auto"/>
                      <w:kern w:val="2"/>
                      <w:sz w:val="21"/>
                      <w:szCs w:val="22"/>
                      <w:highlight w:val="none"/>
                      <w:lang w:val="en-US" w:eastAsia="zh-CN" w:bidi="ar-SA"/>
                    </w:rPr>
                    <w:t>0.3</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sz w:val="21"/>
                      <w:szCs w:val="21"/>
                      <w:highlight w:val="none"/>
                    </w:rPr>
                    <w:t>一般工业固体废物</w:t>
                  </w:r>
                  <w:r>
                    <w:rPr>
                      <w:rFonts w:hint="eastAsia"/>
                      <w:b w:val="0"/>
                      <w:color w:val="auto"/>
                      <w:sz w:val="21"/>
                      <w:szCs w:val="21"/>
                      <w:highlight w:val="none"/>
                      <w:lang w:eastAsia="zh-CN"/>
                    </w:rPr>
                    <w:t>（</w:t>
                  </w:r>
                  <w:r>
                    <w:rPr>
                      <w:rFonts w:ascii="宋体" w:hAnsi="宋体" w:eastAsia="宋体" w:cs="宋体"/>
                      <w:b w:val="0"/>
                      <w:color w:val="auto"/>
                      <w:sz w:val="21"/>
                      <w:szCs w:val="21"/>
                      <w:highlight w:val="none"/>
                    </w:rPr>
                    <w:t>900-009-S17</w:t>
                  </w:r>
                  <w:r>
                    <w:rPr>
                      <w:rFonts w:hint="eastAsia" w:ascii="宋体" w:hAnsi="宋体" w:eastAsia="宋体" w:cs="宋体"/>
                      <w:b w:val="0"/>
                      <w:color w:val="auto"/>
                      <w:sz w:val="21"/>
                      <w:szCs w:val="21"/>
                      <w:highlight w:val="none"/>
                      <w:lang w:val="en-US" w:eastAsia="zh-CN"/>
                    </w:rPr>
                    <w:t>和900-003-S17)</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机加工下脚料</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151</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151</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一般工业固体废物(</w:t>
                  </w:r>
                  <w:r>
                    <w:rPr>
                      <w:rFonts w:ascii="宋体" w:hAnsi="宋体" w:eastAsia="宋体" w:cs="宋体"/>
                      <w:b w:val="0"/>
                      <w:color w:val="auto"/>
                      <w:sz w:val="24"/>
                      <w:szCs w:val="24"/>
                      <w:highlight w:val="none"/>
                    </w:rPr>
                    <w:t>900-002-S17</w:t>
                  </w:r>
                  <w:r>
                    <w:rPr>
                      <w:rFonts w:hint="eastAsia"/>
                      <w:b w:val="0"/>
                      <w:color w:val="auto"/>
                      <w:highlight w:val="none"/>
                    </w:rPr>
                    <w:t>)</w:t>
                  </w:r>
                </w:p>
              </w:tc>
              <w:tc>
                <w:tcPr>
                  <w:tcW w:w="1235"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外售泉州美福金属有限公司进行回收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不合格品</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rPr>
                  </w:pPr>
                  <w:r>
                    <w:rPr>
                      <w:rFonts w:hint="eastAsia"/>
                      <w:b w:val="0"/>
                      <w:color w:val="auto"/>
                      <w:highlight w:val="none"/>
                      <w:lang w:val="en-US" w:eastAsia="zh-CN"/>
                    </w:rPr>
                    <w:t>10</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rPr>
                  </w:pPr>
                  <w:r>
                    <w:rPr>
                      <w:rFonts w:hint="eastAsia"/>
                      <w:b w:val="0"/>
                      <w:color w:val="auto"/>
                      <w:highlight w:val="none"/>
                      <w:lang w:val="en-US" w:eastAsia="zh-CN"/>
                    </w:rPr>
                    <w:t>10</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一般工业固体废物</w:t>
                  </w:r>
                  <w:r>
                    <w:rPr>
                      <w:rFonts w:hint="eastAsia"/>
                      <w:b w:val="0"/>
                      <w:color w:val="auto"/>
                      <w:highlight w:val="none"/>
                      <w:lang w:eastAsia="zh-CN"/>
                    </w:rPr>
                    <w:t>（</w:t>
                  </w:r>
                  <w:r>
                    <w:rPr>
                      <w:rFonts w:ascii="宋体" w:hAnsi="宋体" w:eastAsia="宋体" w:cs="宋体"/>
                      <w:b w:val="0"/>
                      <w:color w:val="auto"/>
                      <w:sz w:val="24"/>
                      <w:szCs w:val="24"/>
                      <w:highlight w:val="none"/>
                    </w:rPr>
                    <w:t>900-002-S17</w:t>
                  </w:r>
                  <w:r>
                    <w:rPr>
                      <w:rFonts w:hint="eastAsia"/>
                      <w:b w:val="0"/>
                      <w:color w:val="auto"/>
                      <w:highlight w:val="none"/>
                    </w:rPr>
                    <w:t>)</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rPr>
                    <w:t>废</w:t>
                  </w:r>
                  <w:r>
                    <w:rPr>
                      <w:rFonts w:hint="eastAsia"/>
                      <w:b w:val="0"/>
                      <w:color w:val="auto"/>
                      <w:highlight w:val="none"/>
                      <w:lang w:val="en-US" w:eastAsia="zh-CN"/>
                    </w:rPr>
                    <w:t>矿物油</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highlight w:val="none"/>
                      <w:lang w:eastAsia="zh-CN"/>
                    </w:rPr>
                  </w:pPr>
                  <w:r>
                    <w:rPr>
                      <w:rFonts w:hint="eastAsia"/>
                      <w:b w:val="0"/>
                      <w:color w:val="auto"/>
                      <w:highlight w:val="none"/>
                      <w:lang w:val="en-US" w:eastAsia="zh-CN"/>
                    </w:rPr>
                    <w:t>1</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1</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危险废物(</w:t>
                  </w:r>
                  <w:r>
                    <w:rPr>
                      <w:rFonts w:hint="eastAsia"/>
                      <w:b w:val="0"/>
                      <w:color w:val="auto"/>
                      <w:highlight w:val="none"/>
                      <w:lang w:val="en-US" w:eastAsia="zh-CN"/>
                    </w:rPr>
                    <w:t>900-249-008</w:t>
                  </w:r>
                  <w:r>
                    <w:rPr>
                      <w:rFonts w:hint="eastAsia"/>
                      <w:b w:val="0"/>
                      <w:color w:val="auto"/>
                      <w:highlight w:val="none"/>
                    </w:rPr>
                    <w:t>)</w:t>
                  </w:r>
                </w:p>
              </w:tc>
              <w:tc>
                <w:tcPr>
                  <w:tcW w:w="1235"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委托有相应危废经营许可资质的单位安全处置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废切削液</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highlight w:val="none"/>
                      <w:lang w:val="en-US" w:eastAsia="zh-CN"/>
                    </w:rPr>
                  </w:pPr>
                  <w:r>
                    <w:rPr>
                      <w:rFonts w:hint="eastAsia"/>
                      <w:b w:val="0"/>
                      <w:color w:val="auto"/>
                      <w:highlight w:val="none"/>
                      <w:lang w:val="en-US" w:eastAsia="zh-CN"/>
                    </w:rPr>
                    <w:t>5</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5</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危险废物(</w:t>
                  </w:r>
                  <w:r>
                    <w:rPr>
                      <w:rFonts w:hint="eastAsia"/>
                      <w:b w:val="0"/>
                      <w:color w:val="auto"/>
                      <w:highlight w:val="none"/>
                      <w:lang w:val="en-US" w:eastAsia="zh-CN"/>
                    </w:rPr>
                    <w:t>900-006-09</w:t>
                  </w:r>
                  <w:r>
                    <w:rPr>
                      <w:rFonts w:hint="eastAsia"/>
                      <w:b w:val="0"/>
                      <w:color w:val="auto"/>
                      <w:highlight w:val="none"/>
                    </w:rPr>
                    <w:t>)</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rPr>
                  </w:pPr>
                  <w:r>
                    <w:rPr>
                      <w:rFonts w:hint="eastAsia"/>
                      <w:b w:val="0"/>
                      <w:color w:val="auto"/>
                      <w:highlight w:val="none"/>
                      <w:lang w:val="en-US" w:eastAsia="zh-CN"/>
                    </w:rPr>
                    <w:t>污水处理站污泥</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highlight w:val="none"/>
                      <w:lang w:val="en-US" w:eastAsia="zh-CN"/>
                    </w:rPr>
                  </w:pPr>
                  <w:r>
                    <w:rPr>
                      <w:rFonts w:hint="eastAsia"/>
                      <w:b w:val="0"/>
                      <w:color w:val="auto"/>
                      <w:highlight w:val="none"/>
                      <w:lang w:val="en-US" w:eastAsia="zh-CN"/>
                    </w:rPr>
                    <w:t>2</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ascii="Times New Roman" w:hAnsi="Times New Roman" w:eastAsia="宋体" w:cs="Times New Roman"/>
                      <w:b w:val="0"/>
                      <w:snapToGrid w:val="0"/>
                      <w:color w:val="auto"/>
                      <w:kern w:val="2"/>
                      <w:sz w:val="21"/>
                      <w:szCs w:val="22"/>
                      <w:highlight w:val="none"/>
                      <w:lang w:val="en-US" w:eastAsia="zh-CN" w:bidi="ar-SA"/>
                    </w:rPr>
                  </w:pPr>
                  <w:r>
                    <w:rPr>
                      <w:rFonts w:hint="eastAsia"/>
                      <w:b w:val="0"/>
                      <w:color w:val="auto"/>
                      <w:highlight w:val="none"/>
                      <w:lang w:val="en-US" w:eastAsia="zh-CN"/>
                    </w:rPr>
                    <w:t>2</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危险废物(</w:t>
                  </w:r>
                  <w:r>
                    <w:rPr>
                      <w:rFonts w:hint="eastAsia"/>
                      <w:b w:val="0"/>
                      <w:color w:val="auto"/>
                      <w:highlight w:val="none"/>
                      <w:lang w:val="en-US" w:eastAsia="zh-CN"/>
                    </w:rPr>
                    <w:t>772-006-49</w:t>
                  </w:r>
                  <w:r>
                    <w:rPr>
                      <w:rFonts w:hint="eastAsia"/>
                      <w:b w:val="0"/>
                      <w:color w:val="auto"/>
                      <w:highlight w:val="none"/>
                    </w:rPr>
                    <w:t>)</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7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废包装桶</w:t>
                  </w:r>
                </w:p>
              </w:tc>
              <w:tc>
                <w:tcPr>
                  <w:tcW w:w="928"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1.5</w:t>
                  </w:r>
                </w:p>
              </w:tc>
              <w:tc>
                <w:tcPr>
                  <w:tcW w:w="13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1.5</w:t>
                  </w:r>
                </w:p>
              </w:tc>
              <w:tc>
                <w:tcPr>
                  <w:tcW w:w="105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0</w:t>
                  </w:r>
                </w:p>
              </w:tc>
              <w:tc>
                <w:tcPr>
                  <w:tcW w:w="1976"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highlight w:val="none"/>
                      <w:lang w:val="en-US" w:eastAsia="zh-CN"/>
                    </w:rPr>
                    <w:t>危险</w:t>
                  </w:r>
                  <w:r>
                    <w:rPr>
                      <w:rFonts w:hint="eastAsia"/>
                      <w:b w:val="0"/>
                      <w:color w:val="auto"/>
                      <w:highlight w:val="none"/>
                    </w:rPr>
                    <w:t>废物</w:t>
                  </w:r>
                  <w:r>
                    <w:rPr>
                      <w:rFonts w:hint="eastAsia"/>
                      <w:b w:val="0"/>
                      <w:color w:val="auto"/>
                      <w:highlight w:val="none"/>
                      <w:lang w:eastAsia="zh-CN"/>
                    </w:rPr>
                    <w:t>（</w:t>
                  </w:r>
                  <w:r>
                    <w:rPr>
                      <w:rFonts w:hint="eastAsia"/>
                      <w:b w:val="0"/>
                      <w:color w:val="auto"/>
                      <w:highlight w:val="none"/>
                      <w:lang w:val="en-US" w:eastAsia="zh-CN"/>
                    </w:rPr>
                    <w:t>900-249-08、900-041-49）</w:t>
                  </w:r>
                </w:p>
              </w:tc>
              <w:tc>
                <w:tcPr>
                  <w:tcW w:w="123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r>
          </w:tbl>
          <w:p>
            <w:pPr>
              <w:pStyle w:val="70"/>
              <w:rPr>
                <w:color w:val="auto"/>
                <w:highlight w:val="none"/>
              </w:rPr>
            </w:pPr>
          </w:p>
          <w:p>
            <w:pPr>
              <w:pStyle w:val="72"/>
              <w:ind w:firstLine="480"/>
              <w:rPr>
                <w:rFonts w:hint="eastAsia" w:eastAsia="宋体"/>
                <w:color w:val="auto"/>
                <w:highlight w:val="none"/>
                <w:lang w:val="en-US" w:eastAsia="zh-CN"/>
              </w:rPr>
            </w:pPr>
            <w:r>
              <w:rPr>
                <w:rFonts w:hint="eastAsia" w:eastAsia="宋体"/>
                <w:color w:val="auto"/>
                <w:highlight w:val="none"/>
                <w:lang w:val="en-US" w:eastAsia="zh-CN"/>
              </w:rPr>
              <w:t>项目实施后全厂一般工业固废产生量约为1748.827t/a，危险固废17.4578t/a。具体见表4.5.2。</w:t>
            </w:r>
          </w:p>
          <w:p>
            <w:pPr>
              <w:pStyle w:val="72"/>
              <w:ind w:firstLine="480"/>
              <w:rPr>
                <w:rFonts w:hint="eastAsia" w:eastAsia="宋体"/>
                <w:color w:val="auto"/>
                <w:highlight w:val="none"/>
                <w:lang w:val="en-US" w:eastAsia="zh-CN"/>
              </w:rPr>
            </w:pPr>
          </w:p>
          <w:p>
            <w:pPr>
              <w:pStyle w:val="72"/>
              <w:ind w:firstLine="480"/>
              <w:rPr>
                <w:rFonts w:hint="eastAsia" w:eastAsia="宋体"/>
                <w:color w:val="auto"/>
                <w:highlight w:val="none"/>
                <w:lang w:val="en-US" w:eastAsia="zh-CN"/>
              </w:rPr>
            </w:pPr>
          </w:p>
          <w:p>
            <w:pPr>
              <w:pStyle w:val="72"/>
              <w:ind w:firstLine="480"/>
              <w:rPr>
                <w:rFonts w:hint="eastAsia" w:eastAsia="宋体"/>
                <w:color w:val="auto"/>
                <w:highlight w:val="none"/>
                <w:lang w:val="en-US" w:eastAsia="zh-CN"/>
              </w:rPr>
            </w:pPr>
          </w:p>
          <w:p>
            <w:pPr>
              <w:pStyle w:val="72"/>
              <w:ind w:firstLine="480"/>
              <w:rPr>
                <w:rFonts w:hint="eastAsia" w:eastAsia="宋体"/>
                <w:color w:val="auto"/>
                <w:highlight w:val="none"/>
                <w:lang w:val="en-US" w:eastAsia="zh-CN"/>
              </w:rPr>
            </w:pPr>
          </w:p>
          <w:p>
            <w:pPr>
              <w:pStyle w:val="68"/>
              <w:rPr>
                <w:rFonts w:hint="eastAsia"/>
                <w:color w:val="auto"/>
                <w:highlight w:val="none"/>
                <w:lang w:val="en-US" w:eastAsia="zh-CN"/>
              </w:rPr>
            </w:pPr>
            <w:r>
              <w:rPr>
                <w:rFonts w:hint="eastAsia"/>
                <w:color w:val="auto"/>
                <w:highlight w:val="none"/>
              </w:rPr>
              <w:t>表</w:t>
            </w:r>
            <w:r>
              <w:rPr>
                <w:rFonts w:hint="eastAsia"/>
                <w:color w:val="auto"/>
                <w:highlight w:val="none"/>
                <w:lang w:val="en-US" w:eastAsia="zh-CN"/>
              </w:rPr>
              <w:t>4.5.2全厂工业固体废物产生情况一览表</w:t>
            </w:r>
          </w:p>
          <w:tbl>
            <w:tblPr>
              <w:tblStyle w:val="28"/>
              <w:tblW w:w="8097"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9"/>
              <w:gridCol w:w="1472"/>
              <w:gridCol w:w="1129"/>
              <w:gridCol w:w="803"/>
              <w:gridCol w:w="1094"/>
              <w:gridCol w:w="1007"/>
              <w:gridCol w:w="901"/>
              <w:gridCol w:w="11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201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固废类别</w:t>
                  </w:r>
                </w:p>
              </w:tc>
              <w:tc>
                <w:tcPr>
                  <w:tcW w:w="302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现有工程产生量（</w:t>
                  </w:r>
                  <w:r>
                    <w:rPr>
                      <w:rFonts w:hint="default" w:ascii="Times New Roman" w:hAnsi="Times New Roman" w:eastAsia="宋体" w:cs="Times New Roman"/>
                      <w:i w:val="0"/>
                      <w:iCs w:val="0"/>
                      <w:color w:val="auto"/>
                      <w:kern w:val="0"/>
                      <w:sz w:val="21"/>
                      <w:szCs w:val="21"/>
                      <w:highlight w:val="none"/>
                      <w:u w:val="none"/>
                      <w:lang w:val="en-US" w:eastAsia="zh-CN" w:bidi="ar"/>
                    </w:rPr>
                    <w:t>t/a</w:t>
                  </w:r>
                  <w:r>
                    <w:rPr>
                      <w:rFonts w:hint="eastAsia" w:ascii="宋体" w:hAnsi="宋体" w:eastAsia="宋体" w:cs="宋体"/>
                      <w:i w:val="0"/>
                      <w:iCs w:val="0"/>
                      <w:color w:val="auto"/>
                      <w:kern w:val="0"/>
                      <w:sz w:val="21"/>
                      <w:szCs w:val="21"/>
                      <w:highlight w:val="none"/>
                      <w:u w:val="none"/>
                      <w:lang w:val="en-US" w:eastAsia="zh-CN" w:bidi="ar"/>
                    </w:rPr>
                    <w:t>）</w:t>
                  </w: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本项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目新增量（t/a）</w:t>
                  </w:r>
                </w:p>
              </w:tc>
              <w:tc>
                <w:tcPr>
                  <w:tcW w:w="9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以新带老削减量（t/a）</w:t>
                  </w:r>
                </w:p>
              </w:tc>
              <w:tc>
                <w:tcPr>
                  <w:tcW w:w="1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全厂产生量（t/a）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01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已建工程</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在建工程</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9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53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一般固废</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金属下脚料</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1543.142</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26.4</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1569.542</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151</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-106</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1614.542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不合格靶材</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12.25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40.25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除尘系统粉尘</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11.4</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13.3</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11.4</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尘泥</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10.05</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解绑固体废物</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金属屑</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9.5</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废无尘布</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0.0025</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i w:val="0"/>
                      <w:iCs w:val="0"/>
                      <w:color w:val="auto"/>
                      <w:sz w:val="21"/>
                      <w:szCs w:val="21"/>
                      <w:highlight w:val="none"/>
                      <w:u w:val="none"/>
                      <w:lang w:val="en-US" w:eastAsia="zh-CN"/>
                    </w:rPr>
                  </w:pPr>
                  <w:r>
                    <w:rPr>
                      <w:rFonts w:hint="eastAsia" w:eastAsia="宋体" w:cs="Calibri"/>
                      <w:i w:val="0"/>
                      <w:iCs w:val="0"/>
                      <w:color w:val="auto"/>
                      <w:sz w:val="21"/>
                      <w:szCs w:val="21"/>
                      <w:highlight w:val="none"/>
                      <w:u w:val="none"/>
                      <w:lang w:val="en-US" w:eastAsia="zh-CN"/>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0.01</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-0.0025</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废滤筒</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布袋</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0.2</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0.112</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0.312</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0.1</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废包装材料</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0.2</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0.7</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0.3</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-0.15</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废白砂纸</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0.01</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0.01</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-0.007</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废砂</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20</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29.8</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纯水站膜组件</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0.1</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sz w:val="21"/>
                      <w:szCs w:val="21"/>
                      <w:highlight w:val="none"/>
                      <w:u w:val="none"/>
                    </w:rPr>
                  </w:pPr>
                  <w:r>
                    <w:rPr>
                      <w:rFonts w:hint="default" w:ascii="Calibri" w:hAnsi="Calibri" w:eastAsia="宋体" w:cs="Calibri"/>
                      <w:i w:val="0"/>
                      <w:iCs w:val="0"/>
                      <w:color w:val="auto"/>
                      <w:kern w:val="0"/>
                      <w:sz w:val="21"/>
                      <w:szCs w:val="21"/>
                      <w:highlight w:val="none"/>
                      <w:u w:val="non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0.1</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39"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小计</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r>
                    <w:rPr>
                      <w:rFonts w:hint="default" w:ascii="Calibri" w:hAnsi="Calibri" w:eastAsia="宋体" w:cs="Calibri"/>
                      <w:i w:val="0"/>
                      <w:iCs w:val="0"/>
                      <w:color w:val="auto"/>
                      <w:kern w:val="0"/>
                      <w:sz w:val="21"/>
                      <w:szCs w:val="21"/>
                      <w:u w:val="none"/>
                      <w:lang w:val="en-US" w:eastAsia="zh-CN" w:bidi="ar"/>
                    </w:rPr>
                    <w:t>1617.6045</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auto"/>
                      <w:kern w:val="0"/>
                      <w:sz w:val="21"/>
                      <w:szCs w:val="21"/>
                      <w:highlight w:val="none"/>
                      <w:u w:val="none"/>
                      <w:lang w:val="en-US" w:eastAsia="zh-CN" w:bidi="ar"/>
                    </w:rPr>
                  </w:pPr>
                  <w:r>
                    <w:rPr>
                      <w:rFonts w:hint="default" w:ascii="Calibri" w:hAnsi="Calibri" w:eastAsia="宋体" w:cs="Calibri"/>
                      <w:i w:val="0"/>
                      <w:iCs w:val="0"/>
                      <w:color w:val="auto"/>
                      <w:kern w:val="0"/>
                      <w:sz w:val="21"/>
                      <w:szCs w:val="21"/>
                      <w:u w:val="none"/>
                      <w:lang w:val="en-US" w:eastAsia="zh-CN" w:bidi="ar"/>
                    </w:rPr>
                    <w:t>55.662</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Calibri" w:hAnsi="Calibri" w:eastAsia="宋体" w:cs="Calibri"/>
                      <w:i w:val="0"/>
                      <w:iCs w:val="0"/>
                      <w:color w:val="auto"/>
                      <w:kern w:val="0"/>
                      <w:sz w:val="21"/>
                      <w:szCs w:val="21"/>
                      <w:u w:val="none"/>
                      <w:lang w:val="en-US" w:eastAsia="zh-CN" w:bidi="ar"/>
                    </w:rPr>
                    <w:t>1673.2665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u w:val="none"/>
                      <w:lang w:val="en-US" w:eastAsia="zh-CN" w:bidi="ar"/>
                    </w:rPr>
                    <w:t>209.72</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default" w:ascii="Calibri" w:hAnsi="Calibri" w:eastAsia="宋体" w:cs="Calibri"/>
                      <w:i w:val="0"/>
                      <w:iCs w:val="0"/>
                      <w:color w:val="auto"/>
                      <w:kern w:val="0"/>
                      <w:sz w:val="21"/>
                      <w:szCs w:val="21"/>
                      <w:u w:val="none"/>
                      <w:lang w:val="en-US" w:eastAsia="zh-CN" w:bidi="ar"/>
                    </w:rPr>
                    <w:t>-134.1595</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default" w:ascii="Calibri" w:hAnsi="Calibri" w:eastAsia="宋体" w:cs="Calibri"/>
                      <w:i w:val="0"/>
                      <w:iCs w:val="0"/>
                      <w:color w:val="auto"/>
                      <w:kern w:val="0"/>
                      <w:sz w:val="21"/>
                      <w:szCs w:val="21"/>
                      <w:u w:val="none"/>
                      <w:lang w:val="en-US" w:eastAsia="zh-CN" w:bidi="ar"/>
                    </w:rPr>
                    <w:t>1748.827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危险废物</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废切削液</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废活性炭</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废矿物油</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1.39</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实验室废液</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0.57</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0.0328</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0.6028</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0.6028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污水站金属污泥</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废硝酸瓶</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0.015</w:t>
                  </w:r>
                </w:p>
              </w:tc>
              <w:tc>
                <w:tcPr>
                  <w:tcW w:w="10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0.015</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539"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废包装桶</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539"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小计</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u w:val="none"/>
                      <w:lang w:val="en-US" w:eastAsia="zh-CN" w:bidi="ar"/>
                    </w:rPr>
                    <w:t>5.06</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u w:val="none"/>
                      <w:lang w:val="en-US" w:eastAsia="zh-CN" w:bidi="ar"/>
                    </w:rPr>
                    <w:t>4.8978</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u w:val="none"/>
                      <w:lang w:val="en-US" w:eastAsia="zh-CN" w:bidi="ar"/>
                    </w:rPr>
                    <w:t>9.9578</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u w:val="none"/>
                      <w:lang w:val="en-US" w:eastAsia="zh-CN" w:bidi="ar"/>
                    </w:rPr>
                    <w:t>9.5</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u w:val="none"/>
                      <w:lang w:val="en-US" w:eastAsia="zh-CN" w:bidi="ar"/>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u w:val="none"/>
                      <w:lang w:val="en-US" w:eastAsia="zh-CN" w:bidi="ar"/>
                    </w:rPr>
                    <w:t>17.4578</w:t>
                  </w:r>
                </w:p>
              </w:tc>
            </w:tr>
          </w:tbl>
          <w:p>
            <w:pPr>
              <w:pStyle w:val="72"/>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备注：“以新带老”削减量主要是铝、钼靶材料搬迁后固体废物减少量，根据搬迁产品规模折算。</w:t>
            </w:r>
          </w:p>
          <w:p>
            <w:pPr>
              <w:pStyle w:val="72"/>
              <w:ind w:firstLine="48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固体废物环境影响分析</w:t>
            </w:r>
          </w:p>
          <w:p>
            <w:pPr>
              <w:pStyle w:val="72"/>
              <w:ind w:firstLine="480"/>
              <w:rPr>
                <w:color w:val="auto"/>
                <w:highlight w:val="none"/>
              </w:rPr>
            </w:pPr>
            <w:r>
              <w:rPr>
                <w:color w:val="auto"/>
                <w:highlight w:val="none"/>
              </w:rPr>
              <w:t>本项目运营期产生的固体废物主要包括</w:t>
            </w:r>
            <w:r>
              <w:rPr>
                <w:rFonts w:hint="eastAsia"/>
                <w:color w:val="auto"/>
                <w:highlight w:val="none"/>
                <w:lang w:val="en-US" w:eastAsia="zh-CN"/>
              </w:rPr>
              <w:t>一般工业固废、</w:t>
            </w:r>
            <w:r>
              <w:rPr>
                <w:rFonts w:hint="eastAsia"/>
                <w:color w:val="auto"/>
                <w:highlight w:val="none"/>
              </w:rPr>
              <w:t>危险</w:t>
            </w:r>
            <w:r>
              <w:rPr>
                <w:color w:val="auto"/>
                <w:highlight w:val="none"/>
              </w:rPr>
              <w:t>废物、生活垃圾。</w:t>
            </w:r>
          </w:p>
          <w:p>
            <w:pPr>
              <w:pStyle w:val="72"/>
              <w:ind w:firstLine="480"/>
              <w:rPr>
                <w:rFonts w:hint="eastAsia"/>
                <w:color w:val="auto"/>
                <w:highlight w:val="none"/>
                <w:lang w:val="en-US" w:eastAsia="zh-CN"/>
              </w:rPr>
            </w:pPr>
            <w:r>
              <w:rPr>
                <w:rFonts w:hint="eastAsia"/>
                <w:color w:val="auto"/>
                <w:highlight w:val="none"/>
                <w:lang w:val="en-US" w:eastAsia="zh-CN"/>
              </w:rPr>
              <w:t>①一般工业固废</w:t>
            </w:r>
          </w:p>
          <w:p>
            <w:pPr>
              <w:pStyle w:val="72"/>
              <w:ind w:firstLine="480"/>
              <w:rPr>
                <w:rFonts w:hint="eastAsia"/>
                <w:color w:val="auto"/>
                <w:highlight w:val="none"/>
                <w:lang w:eastAsia="zh-CN"/>
              </w:rPr>
            </w:pPr>
            <w:r>
              <w:rPr>
                <w:rFonts w:hint="default"/>
                <w:color w:val="auto"/>
                <w:highlight w:val="none"/>
                <w:lang w:val="en-US" w:eastAsia="zh-CN"/>
              </w:rPr>
              <w:t>本项目在生产过程中产生的</w:t>
            </w:r>
            <w:r>
              <w:rPr>
                <w:rFonts w:hint="eastAsia"/>
                <w:color w:val="auto"/>
                <w:highlight w:val="none"/>
                <w:lang w:val="en-US" w:eastAsia="zh-CN"/>
              </w:rPr>
              <w:t>除尘系统粉尘、污泥、机加工下脚料、</w:t>
            </w:r>
            <w:r>
              <w:rPr>
                <w:rFonts w:hint="default"/>
                <w:color w:val="auto"/>
                <w:highlight w:val="none"/>
                <w:lang w:val="en-US" w:eastAsia="zh-CN"/>
              </w:rPr>
              <w:t>不合格品</w:t>
            </w:r>
            <w:r>
              <w:rPr>
                <w:rFonts w:hint="eastAsia"/>
                <w:color w:val="auto"/>
                <w:highlight w:val="none"/>
                <w:lang w:val="en-US" w:eastAsia="zh-CN"/>
              </w:rPr>
              <w:t>等均</w:t>
            </w:r>
            <w:r>
              <w:rPr>
                <w:rFonts w:hint="default"/>
                <w:color w:val="auto"/>
                <w:highlight w:val="none"/>
                <w:lang w:val="en-US" w:eastAsia="zh-CN"/>
              </w:rPr>
              <w:t>属于一般工业固体废物，</w:t>
            </w:r>
            <w:r>
              <w:rPr>
                <w:rFonts w:hint="eastAsia"/>
                <w:color w:val="auto"/>
                <w:highlight w:val="none"/>
                <w:lang w:val="en-US" w:eastAsia="zh-CN"/>
              </w:rPr>
              <w:t>产生量约为209.72t/a，加上现有已建、在建工程一般工业固废产生量合计为1748.827t/a（具体见表4.5.2），其中大部分为机加工边角料及不合格靶材，属于可再生废物，可回收利用价值高，</w:t>
            </w:r>
            <w:r>
              <w:rPr>
                <w:rFonts w:hint="eastAsia"/>
                <w:color w:val="auto"/>
                <w:highlight w:val="none"/>
              </w:rPr>
              <w:t>外售泉州美福金属有限公司进行回收</w:t>
            </w:r>
            <w:r>
              <w:rPr>
                <w:rFonts w:hint="eastAsia"/>
                <w:color w:val="auto"/>
                <w:highlight w:val="none"/>
                <w:lang w:eastAsia="zh-CN"/>
              </w:rPr>
              <w:t>，</w:t>
            </w:r>
            <w:r>
              <w:rPr>
                <w:rFonts w:hint="eastAsia"/>
                <w:color w:val="auto"/>
                <w:highlight w:val="none"/>
                <w:lang w:val="en-US" w:eastAsia="zh-CN"/>
              </w:rPr>
              <w:t>其他工业固废委托</w:t>
            </w:r>
            <w:r>
              <w:rPr>
                <w:rFonts w:hint="eastAsia"/>
                <w:color w:val="auto"/>
                <w:highlight w:val="none"/>
              </w:rPr>
              <w:t>长乐区宏鑫环境服务有限公司</w:t>
            </w:r>
            <w:r>
              <w:rPr>
                <w:rFonts w:hint="eastAsia"/>
                <w:color w:val="auto"/>
                <w:highlight w:val="none"/>
                <w:lang w:val="en-US" w:eastAsia="zh-CN"/>
              </w:rPr>
              <w:t>处置</w:t>
            </w:r>
            <w:r>
              <w:rPr>
                <w:rFonts w:hint="eastAsia"/>
                <w:color w:val="auto"/>
                <w:highlight w:val="none"/>
                <w:lang w:eastAsia="zh-CN"/>
              </w:rPr>
              <w:t>。</w:t>
            </w:r>
          </w:p>
          <w:p>
            <w:pPr>
              <w:pStyle w:val="72"/>
              <w:ind w:firstLine="480"/>
              <w:rPr>
                <w:rFonts w:hint="default"/>
                <w:color w:val="auto"/>
                <w:highlight w:val="none"/>
                <w:lang w:val="en-US" w:eastAsia="zh-CN"/>
              </w:rPr>
            </w:pPr>
            <w:r>
              <w:rPr>
                <w:rFonts w:hint="eastAsia"/>
                <w:color w:val="auto"/>
                <w:highlight w:val="none"/>
                <w:lang w:val="en-US" w:eastAsia="zh-CN"/>
              </w:rPr>
              <w:t>项目一般工业固废暂存于厂内一般工业固废仓库，位于地块东侧，</w:t>
            </w:r>
            <w:r>
              <w:rPr>
                <w:rFonts w:hint="eastAsia"/>
                <w:color w:val="auto"/>
                <w:highlight w:val="none"/>
                <w:vertAlign w:val="baseline"/>
                <w:lang w:val="en-US" w:eastAsia="zh-CN"/>
              </w:rPr>
              <w:t>占地面积约80m</w:t>
            </w:r>
            <w:r>
              <w:rPr>
                <w:rFonts w:hint="eastAsia"/>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项目</w:t>
            </w:r>
            <w:r>
              <w:rPr>
                <w:rFonts w:hint="default"/>
                <w:color w:val="auto"/>
                <w:highlight w:val="none"/>
                <w:lang w:val="en-US" w:eastAsia="zh-CN"/>
              </w:rPr>
              <w:t>一般工业固体废物</w:t>
            </w:r>
            <w:r>
              <w:rPr>
                <w:rFonts w:hint="eastAsia"/>
                <w:color w:val="auto"/>
                <w:highlight w:val="none"/>
                <w:lang w:val="en-US" w:eastAsia="zh-CN"/>
              </w:rPr>
              <w:t>按《一般工业固体废物贮存和填埋污染控制标准》（GB18599-2020）的处置要求</w:t>
            </w:r>
            <w:r>
              <w:rPr>
                <w:rFonts w:hint="default"/>
                <w:color w:val="auto"/>
                <w:highlight w:val="none"/>
                <w:lang w:val="en-US" w:eastAsia="zh-CN"/>
              </w:rPr>
              <w:t>进行规范化的处理处置，并做好防风、防雨、防晒、防渗漏等措施。</w:t>
            </w:r>
          </w:p>
          <w:p>
            <w:pPr>
              <w:pStyle w:val="72"/>
              <w:ind w:firstLine="480"/>
              <w:rPr>
                <w:color w:val="auto"/>
                <w:highlight w:val="none"/>
              </w:rPr>
            </w:pPr>
            <w:r>
              <w:rPr>
                <w:rFonts w:hint="eastAsia"/>
                <w:color w:val="auto"/>
                <w:highlight w:val="none"/>
                <w:lang w:val="en-US" w:eastAsia="zh-CN"/>
              </w:rPr>
              <w:t>②</w:t>
            </w:r>
            <w:r>
              <w:rPr>
                <w:color w:val="auto"/>
                <w:highlight w:val="none"/>
              </w:rPr>
              <w:t>危险废物</w:t>
            </w:r>
          </w:p>
          <w:p>
            <w:pPr>
              <w:pStyle w:val="72"/>
              <w:ind w:firstLine="480"/>
              <w:rPr>
                <w:rFonts w:hint="eastAsia" w:ascii="Times New Roman" w:hAnsi="Times New Roman" w:eastAsia="宋体" w:cs="Times New Roman"/>
                <w:color w:val="auto"/>
                <w:highlight w:val="none"/>
              </w:rPr>
            </w:pPr>
            <w:r>
              <w:rPr>
                <w:color w:val="auto"/>
                <w:highlight w:val="none"/>
              </w:rPr>
              <w:t>本项目</w:t>
            </w:r>
            <w:r>
              <w:rPr>
                <w:rFonts w:hint="eastAsia"/>
                <w:color w:val="auto"/>
                <w:highlight w:val="none"/>
                <w:lang w:val="en-US" w:eastAsia="zh-CN"/>
              </w:rPr>
              <w:t>在生产过程中</w:t>
            </w:r>
            <w:r>
              <w:rPr>
                <w:color w:val="auto"/>
                <w:highlight w:val="none"/>
              </w:rPr>
              <w:t>产生的</w:t>
            </w:r>
            <w:r>
              <w:rPr>
                <w:rFonts w:hint="eastAsia"/>
                <w:color w:val="auto"/>
                <w:highlight w:val="none"/>
                <w:lang w:val="en-US" w:eastAsia="zh-CN"/>
              </w:rPr>
              <w:t>废油、废切削液、污水处理站污泥</w:t>
            </w:r>
            <w:r>
              <w:rPr>
                <w:color w:val="auto"/>
                <w:highlight w:val="none"/>
              </w:rPr>
              <w:t>等均属于危险废物，产生量约</w:t>
            </w:r>
            <w:r>
              <w:rPr>
                <w:rFonts w:hint="eastAsia"/>
                <w:color w:val="auto"/>
                <w:highlight w:val="none"/>
                <w:lang w:val="en-US" w:eastAsia="zh-CN"/>
              </w:rPr>
              <w:t>9.5</w:t>
            </w:r>
            <w:r>
              <w:rPr>
                <w:color w:val="auto"/>
                <w:highlight w:val="none"/>
              </w:rPr>
              <w:t>t/a。</w:t>
            </w:r>
            <w:r>
              <w:rPr>
                <w:rFonts w:hint="eastAsia"/>
                <w:color w:val="auto"/>
                <w:highlight w:val="none"/>
                <w:lang w:val="en-US" w:eastAsia="zh-CN"/>
              </w:rPr>
              <w:t>项目拟在化学品仓库旁新建一座</w:t>
            </w:r>
            <w:r>
              <w:rPr>
                <w:rFonts w:hint="eastAsia"/>
                <w:color w:val="auto"/>
                <w:highlight w:val="none"/>
              </w:rPr>
              <w:t>危</w:t>
            </w:r>
            <w:r>
              <w:rPr>
                <w:rFonts w:hint="eastAsia"/>
                <w:color w:val="auto"/>
                <w:highlight w:val="none"/>
                <w:lang w:val="en-US" w:eastAsia="zh-CN"/>
              </w:rPr>
              <w:t>废仓库，占地面积约90m</w:t>
            </w:r>
            <w:r>
              <w:rPr>
                <w:rFonts w:hint="eastAsia"/>
                <w:color w:val="auto"/>
                <w:highlight w:val="none"/>
                <w:vertAlign w:val="superscript"/>
                <w:lang w:val="en-US" w:eastAsia="zh-CN"/>
              </w:rPr>
              <w:t>2</w:t>
            </w:r>
            <w:r>
              <w:rPr>
                <w:rFonts w:hint="eastAsia"/>
                <w:color w:val="auto"/>
                <w:highlight w:val="none"/>
                <w:vertAlign w:val="baseline"/>
                <w:lang w:val="en-US" w:eastAsia="zh-CN"/>
              </w:rPr>
              <w:t>。公司现有工程、拟建工程危险废物将转移至该危废仓库暂存。</w:t>
            </w:r>
            <w:r>
              <w:rPr>
                <w:rFonts w:hint="eastAsia"/>
                <w:color w:val="auto"/>
                <w:highlight w:val="none"/>
                <w:lang w:val="en-US" w:eastAsia="zh-CN"/>
              </w:rPr>
              <w:t>危废仓库</w:t>
            </w:r>
            <w:r>
              <w:rPr>
                <w:rFonts w:hint="eastAsia"/>
                <w:color w:val="auto"/>
                <w:highlight w:val="none"/>
              </w:rPr>
              <w:t>按照《危险废物贮存污染控制标准》（GB18597-2023）的要求</w:t>
            </w:r>
            <w:r>
              <w:rPr>
                <w:rFonts w:hint="eastAsia"/>
                <w:color w:val="auto"/>
                <w:highlight w:val="none"/>
                <w:lang w:val="en-US" w:eastAsia="zh-CN"/>
              </w:rPr>
              <w:t>设</w:t>
            </w:r>
            <w:r>
              <w:rPr>
                <w:rFonts w:hint="eastAsia"/>
                <w:color w:val="auto"/>
                <w:highlight w:val="none"/>
              </w:rPr>
              <w:t>置</w:t>
            </w:r>
            <w:r>
              <w:rPr>
                <w:rFonts w:hint="eastAsia" w:ascii="Times New Roman" w:hAnsi="Times New Roman" w:eastAsia="宋体" w:cs="Times New Roman"/>
                <w:color w:val="auto"/>
                <w:highlight w:val="none"/>
              </w:rPr>
              <w:t>，设计</w:t>
            </w:r>
            <w:r>
              <w:rPr>
                <w:rFonts w:hint="eastAsia" w:ascii="Times New Roman" w:hAnsi="Times New Roman" w:eastAsia="宋体" w:cs="Times New Roman"/>
                <w:color w:val="auto"/>
                <w:highlight w:val="none"/>
                <w:lang w:val="en-US" w:eastAsia="zh-CN"/>
              </w:rPr>
              <w:t>采取</w:t>
            </w:r>
            <w:r>
              <w:rPr>
                <w:rFonts w:hint="eastAsia" w:ascii="Times New Roman" w:hAnsi="Times New Roman" w:eastAsia="宋体" w:cs="Times New Roman"/>
                <w:color w:val="auto"/>
                <w:highlight w:val="none"/>
              </w:rPr>
              <w:t>防风、防晒、防雨、防漏、防渗、防腐等措施，</w:t>
            </w:r>
            <w:r>
              <w:rPr>
                <w:rFonts w:hint="eastAsia" w:ascii="Times New Roman" w:hAnsi="Times New Roman" w:eastAsia="宋体" w:cs="Times New Roman"/>
                <w:color w:val="auto"/>
                <w:highlight w:val="none"/>
                <w:lang w:val="en-US" w:eastAsia="zh-CN"/>
              </w:rPr>
              <w:t>定期</w:t>
            </w:r>
            <w:r>
              <w:rPr>
                <w:rFonts w:hint="eastAsia" w:ascii="Times New Roman" w:hAnsi="Times New Roman" w:eastAsia="宋体" w:cs="Times New Roman"/>
                <w:color w:val="auto"/>
                <w:highlight w:val="none"/>
              </w:rPr>
              <w:t>委托有资质处理单位</w:t>
            </w:r>
            <w:r>
              <w:rPr>
                <w:rFonts w:hint="eastAsia" w:ascii="Times New Roman" w:hAnsi="Times New Roman" w:eastAsia="宋体" w:cs="Times New Roman"/>
                <w:color w:val="auto"/>
                <w:highlight w:val="none"/>
                <w:lang w:val="en-US" w:eastAsia="zh-CN"/>
              </w:rPr>
              <w:t>处理处置</w:t>
            </w:r>
            <w:r>
              <w:rPr>
                <w:rFonts w:hint="eastAsia" w:ascii="Times New Roman" w:hAnsi="Times New Roman" w:eastAsia="宋体" w:cs="Times New Roman"/>
                <w:color w:val="auto"/>
                <w:highlight w:val="none"/>
              </w:rPr>
              <w:t>。</w:t>
            </w:r>
          </w:p>
          <w:p>
            <w:pPr>
              <w:pStyle w:val="72"/>
              <w:ind w:firstLine="480"/>
              <w:rPr>
                <w:color w:val="auto"/>
                <w:highlight w:val="none"/>
              </w:rPr>
            </w:pPr>
            <w:r>
              <w:rPr>
                <w:rFonts w:hint="eastAsia"/>
                <w:color w:val="auto"/>
                <w:highlight w:val="none"/>
                <w:lang w:val="en-US" w:eastAsia="zh-CN"/>
              </w:rPr>
              <w:t>③</w:t>
            </w:r>
            <w:r>
              <w:rPr>
                <w:rFonts w:hint="eastAsia"/>
                <w:color w:val="auto"/>
                <w:highlight w:val="none"/>
              </w:rPr>
              <w:t>生活垃圾</w:t>
            </w:r>
          </w:p>
          <w:p>
            <w:pPr>
              <w:pStyle w:val="72"/>
              <w:ind w:firstLine="480"/>
              <w:rPr>
                <w:color w:val="auto"/>
                <w:highlight w:val="none"/>
              </w:rPr>
            </w:pPr>
            <w:r>
              <w:rPr>
                <w:color w:val="auto"/>
                <w:highlight w:val="none"/>
              </w:rPr>
              <w:t>本项目生活垃圾产生量为</w:t>
            </w:r>
            <w:r>
              <w:rPr>
                <w:rFonts w:hint="eastAsia"/>
                <w:color w:val="auto"/>
                <w:highlight w:val="none"/>
                <w:lang w:val="en-US" w:eastAsia="zh-CN"/>
              </w:rPr>
              <w:t>5.7</w:t>
            </w:r>
            <w:r>
              <w:rPr>
                <w:color w:val="auto"/>
                <w:highlight w:val="none"/>
              </w:rPr>
              <w:t>t/a，生活垃圾，采取分类袋装收集，收集后定点堆放，每天由环卫部门统一清运处理。</w:t>
            </w:r>
          </w:p>
          <w:p>
            <w:pPr>
              <w:pStyle w:val="72"/>
              <w:ind w:firstLine="480"/>
              <w:rPr>
                <w:color w:val="auto"/>
                <w:highlight w:val="none"/>
              </w:rPr>
            </w:pPr>
            <w:r>
              <w:rPr>
                <w:rFonts w:hint="eastAsia"/>
                <w:color w:val="auto"/>
                <w:highlight w:val="none"/>
              </w:rPr>
              <w:t>本项目</w:t>
            </w:r>
            <w:r>
              <w:rPr>
                <w:rFonts w:hint="eastAsia"/>
                <w:color w:val="auto"/>
                <w:highlight w:val="none"/>
                <w:lang w:val="en-US" w:eastAsia="zh-CN"/>
              </w:rPr>
              <w:t>一般工业固废依托现有工程80m</w:t>
            </w:r>
            <w:r>
              <w:rPr>
                <w:rFonts w:hint="eastAsia"/>
                <w:color w:val="auto"/>
                <w:highlight w:val="none"/>
                <w:vertAlign w:val="superscript"/>
                <w:lang w:val="en-US" w:eastAsia="zh-CN"/>
              </w:rPr>
              <w:t>2</w:t>
            </w:r>
            <w:r>
              <w:rPr>
                <w:rFonts w:hint="eastAsia"/>
                <w:color w:val="auto"/>
                <w:highlight w:val="none"/>
                <w:vertAlign w:val="baseline"/>
                <w:lang w:val="en-US" w:eastAsia="zh-CN"/>
              </w:rPr>
              <w:t>一般工业固废暂存间，定期委托</w:t>
            </w:r>
            <w:r>
              <w:rPr>
                <w:rFonts w:hint="eastAsia"/>
                <w:color w:val="auto"/>
                <w:highlight w:val="none"/>
              </w:rPr>
              <w:t>一般工业固废处置单位处置</w:t>
            </w:r>
            <w:r>
              <w:rPr>
                <w:rFonts w:hint="eastAsia"/>
                <w:color w:val="auto"/>
                <w:highlight w:val="none"/>
                <w:lang w:eastAsia="zh-CN"/>
              </w:rPr>
              <w:t>。</w:t>
            </w:r>
            <w:r>
              <w:rPr>
                <w:rFonts w:hint="eastAsia"/>
                <w:color w:val="auto"/>
                <w:highlight w:val="none"/>
              </w:rPr>
              <w:t>危险废物</w:t>
            </w:r>
            <w:r>
              <w:rPr>
                <w:rFonts w:hint="eastAsia"/>
                <w:color w:val="auto"/>
                <w:highlight w:val="none"/>
                <w:lang w:val="en-US" w:eastAsia="zh-CN"/>
              </w:rPr>
              <w:t>的建设1座90</w:t>
            </w:r>
            <w:r>
              <w:rPr>
                <w:color w:val="auto"/>
                <w:highlight w:val="none"/>
              </w:rPr>
              <w:t>m</w:t>
            </w:r>
            <w:r>
              <w:rPr>
                <w:color w:val="auto"/>
                <w:highlight w:val="none"/>
                <w:vertAlign w:val="superscript"/>
              </w:rPr>
              <w:t>2</w:t>
            </w:r>
            <w:r>
              <w:rPr>
                <w:rFonts w:hint="eastAsia"/>
                <w:color w:val="auto"/>
                <w:szCs w:val="21"/>
                <w:highlight w:val="none"/>
              </w:rPr>
              <w:t>危废</w:t>
            </w:r>
            <w:r>
              <w:rPr>
                <w:rFonts w:hint="eastAsia"/>
                <w:color w:val="auto"/>
                <w:szCs w:val="21"/>
                <w:highlight w:val="none"/>
                <w:lang w:val="en-US" w:eastAsia="zh-CN"/>
              </w:rPr>
              <w:t>仓库</w:t>
            </w:r>
            <w:r>
              <w:rPr>
                <w:rFonts w:hint="eastAsia"/>
                <w:color w:val="auto"/>
                <w:szCs w:val="21"/>
                <w:highlight w:val="none"/>
              </w:rPr>
              <w:t>，设置</w:t>
            </w:r>
            <w:r>
              <w:rPr>
                <w:rFonts w:hint="eastAsia"/>
                <w:color w:val="auto"/>
                <w:szCs w:val="21"/>
                <w:highlight w:val="none"/>
                <w:lang w:val="en-US" w:eastAsia="zh-CN"/>
              </w:rPr>
              <w:t>厂区北侧</w:t>
            </w:r>
            <w:r>
              <w:rPr>
                <w:color w:val="auto"/>
                <w:szCs w:val="21"/>
                <w:highlight w:val="none"/>
              </w:rPr>
              <w:t>，</w:t>
            </w:r>
            <w:r>
              <w:rPr>
                <w:color w:val="auto"/>
                <w:highlight w:val="none"/>
              </w:rPr>
              <w:t>危险废物按照固体废物来源、性质进行分区放置、分类</w:t>
            </w:r>
            <w:r>
              <w:rPr>
                <w:rFonts w:hint="eastAsia"/>
                <w:color w:val="auto"/>
                <w:highlight w:val="none"/>
              </w:rPr>
              <w:t>后</w:t>
            </w:r>
            <w:r>
              <w:rPr>
                <w:color w:val="auto"/>
                <w:highlight w:val="none"/>
              </w:rPr>
              <w:t>交有资质的单位定期清运处理。生活垃圾</w:t>
            </w:r>
            <w:r>
              <w:rPr>
                <w:rFonts w:hint="eastAsia"/>
                <w:color w:val="auto"/>
                <w:highlight w:val="none"/>
              </w:rPr>
              <w:t>依托现有工程</w:t>
            </w:r>
            <w:r>
              <w:rPr>
                <w:rFonts w:hint="eastAsia"/>
                <w:color w:val="auto"/>
                <w:highlight w:val="none"/>
                <w:lang w:val="en-US" w:eastAsia="zh-CN"/>
              </w:rPr>
              <w:t>垃圾桶</w:t>
            </w:r>
            <w:r>
              <w:rPr>
                <w:color w:val="auto"/>
                <w:highlight w:val="none"/>
              </w:rPr>
              <w:t>，由环卫部门</w:t>
            </w:r>
            <w:r>
              <w:rPr>
                <w:rFonts w:hint="eastAsia"/>
                <w:color w:val="auto"/>
                <w:highlight w:val="none"/>
              </w:rPr>
              <w:t>每日</w:t>
            </w:r>
            <w:r>
              <w:rPr>
                <w:color w:val="auto"/>
                <w:highlight w:val="none"/>
              </w:rPr>
              <w:t>清运。采取</w:t>
            </w:r>
            <w:r>
              <w:rPr>
                <w:rFonts w:hint="eastAsia"/>
                <w:color w:val="auto"/>
                <w:highlight w:val="none"/>
              </w:rPr>
              <w:t>上述</w:t>
            </w:r>
            <w:r>
              <w:rPr>
                <w:color w:val="auto"/>
                <w:highlight w:val="none"/>
              </w:rPr>
              <w:t>污染防治措施后，该项目所产固体废物对周围环境的影响较小。</w:t>
            </w:r>
          </w:p>
          <w:p>
            <w:pPr>
              <w:pStyle w:val="72"/>
              <w:ind w:firstLine="480"/>
              <w:rPr>
                <w:rFonts w:hint="eastAsia"/>
                <w:color w:val="auto"/>
                <w:highlight w:val="none"/>
                <w:lang w:val="en-US" w:eastAsia="zh-CN"/>
              </w:rPr>
            </w:pPr>
            <w:r>
              <w:rPr>
                <w:rFonts w:hint="eastAsia"/>
                <w:color w:val="auto"/>
                <w:highlight w:val="none"/>
                <w:lang w:val="en-US" w:eastAsia="zh-CN"/>
              </w:rPr>
              <w:t>（3）固体废物防治措施</w:t>
            </w:r>
          </w:p>
          <w:p>
            <w:pPr>
              <w:pStyle w:val="72"/>
              <w:ind w:firstLine="480"/>
              <w:rPr>
                <w:rFonts w:hint="default" w:eastAsia="宋体"/>
                <w:color w:val="auto"/>
                <w:highlight w:val="none"/>
                <w:lang w:val="en-US" w:eastAsia="zh-CN"/>
              </w:rPr>
            </w:pPr>
            <w:r>
              <w:rPr>
                <w:rFonts w:hint="eastAsia"/>
                <w:color w:val="auto"/>
                <w:highlight w:val="none"/>
                <w:lang w:val="en-US" w:eastAsia="zh-CN"/>
              </w:rPr>
              <w:t>①一般工业固废</w:t>
            </w:r>
          </w:p>
          <w:p>
            <w:pPr>
              <w:pStyle w:val="72"/>
              <w:ind w:firstLine="480"/>
              <w:rPr>
                <w:color w:val="auto"/>
                <w:highlight w:val="none"/>
              </w:rPr>
            </w:pPr>
            <w:r>
              <w:rPr>
                <w:rFonts w:hint="eastAsia"/>
                <w:color w:val="auto"/>
                <w:highlight w:val="none"/>
                <w:lang w:val="en-US" w:eastAsia="zh-CN"/>
              </w:rPr>
              <w:t>项目实施后，全厂</w:t>
            </w:r>
            <w:r>
              <w:rPr>
                <w:rFonts w:hint="eastAsia"/>
                <w:color w:val="auto"/>
                <w:highlight w:val="none"/>
              </w:rPr>
              <w:t>一般</w:t>
            </w:r>
            <w:r>
              <w:rPr>
                <w:rFonts w:hint="eastAsia"/>
                <w:color w:val="auto"/>
                <w:highlight w:val="none"/>
                <w:lang w:val="en-US" w:eastAsia="zh-CN"/>
              </w:rPr>
              <w:t>工业</w:t>
            </w:r>
            <w:r>
              <w:rPr>
                <w:rFonts w:hint="eastAsia"/>
                <w:color w:val="auto"/>
                <w:highlight w:val="none"/>
              </w:rPr>
              <w:t>固废</w:t>
            </w:r>
            <w:r>
              <w:rPr>
                <w:color w:val="auto"/>
                <w:highlight w:val="none"/>
              </w:rPr>
              <w:t>量</w:t>
            </w:r>
            <w:r>
              <w:rPr>
                <w:rFonts w:hint="eastAsia"/>
                <w:color w:val="auto"/>
                <w:highlight w:val="none"/>
              </w:rPr>
              <w:t>为</w:t>
            </w:r>
            <w:r>
              <w:rPr>
                <w:rFonts w:hint="eastAsia"/>
                <w:color w:val="auto"/>
                <w:highlight w:val="none"/>
                <w:lang w:val="en-US" w:eastAsia="zh-CN"/>
              </w:rPr>
              <w:t>1748.827</w:t>
            </w:r>
            <w:r>
              <w:rPr>
                <w:color w:val="auto"/>
                <w:highlight w:val="none"/>
              </w:rPr>
              <w:t>t/a</w:t>
            </w:r>
            <w:r>
              <w:rPr>
                <w:rFonts w:hint="eastAsia"/>
                <w:color w:val="auto"/>
                <w:highlight w:val="none"/>
              </w:rPr>
              <w:t>（</w:t>
            </w:r>
            <w:r>
              <w:rPr>
                <w:rFonts w:hint="eastAsia"/>
                <w:color w:val="auto"/>
                <w:highlight w:val="none"/>
                <w:lang w:val="en-US" w:eastAsia="zh-CN"/>
              </w:rPr>
              <w:t>5.829</w:t>
            </w:r>
            <w:r>
              <w:rPr>
                <w:color w:val="auto"/>
                <w:highlight w:val="none"/>
              </w:rPr>
              <w:t>t/d</w:t>
            </w:r>
            <w:r>
              <w:rPr>
                <w:rFonts w:hint="eastAsia"/>
                <w:color w:val="auto"/>
                <w:highlight w:val="none"/>
              </w:rPr>
              <w:t>），</w:t>
            </w:r>
            <w:r>
              <w:rPr>
                <w:rFonts w:hint="eastAsia"/>
                <w:color w:val="auto"/>
                <w:highlight w:val="none"/>
                <w:lang w:val="en-US" w:eastAsia="zh-CN"/>
              </w:rPr>
              <w:t>均为I</w:t>
            </w:r>
            <w:r>
              <w:rPr>
                <w:rFonts w:hint="eastAsia" w:ascii="宋体" w:hAnsi="宋体" w:cs="宋体"/>
                <w:color w:val="auto"/>
                <w:highlight w:val="none"/>
                <w:lang w:val="en-US" w:eastAsia="zh-CN"/>
              </w:rPr>
              <w:t>类工业固废。</w:t>
            </w:r>
            <w:r>
              <w:rPr>
                <w:rFonts w:hint="eastAsia"/>
                <w:color w:val="auto"/>
                <w:highlight w:val="none"/>
              </w:rPr>
              <w:t>一般固废</w:t>
            </w:r>
            <w:r>
              <w:rPr>
                <w:color w:val="auto"/>
                <w:highlight w:val="none"/>
              </w:rPr>
              <w:t>每</w:t>
            </w:r>
            <w:r>
              <w:rPr>
                <w:rFonts w:hint="eastAsia"/>
                <w:color w:val="auto"/>
                <w:highlight w:val="none"/>
              </w:rPr>
              <w:t>周</w:t>
            </w:r>
            <w:r>
              <w:rPr>
                <w:color w:val="auto"/>
                <w:highlight w:val="none"/>
              </w:rPr>
              <w:t>清运</w:t>
            </w:r>
            <w:r>
              <w:rPr>
                <w:rFonts w:hint="eastAsia"/>
                <w:color w:val="auto"/>
                <w:highlight w:val="none"/>
              </w:rPr>
              <w:t>。本项目</w:t>
            </w:r>
            <w:r>
              <w:rPr>
                <w:color w:val="auto"/>
                <w:highlight w:val="none"/>
              </w:rPr>
              <w:t>依托现有工程</w:t>
            </w:r>
            <w:r>
              <w:rPr>
                <w:rFonts w:hint="eastAsia"/>
                <w:color w:val="auto"/>
                <w:highlight w:val="none"/>
                <w:lang w:val="en-US" w:eastAsia="zh-CN"/>
              </w:rPr>
              <w:t>80</w:t>
            </w:r>
            <w:r>
              <w:rPr>
                <w:color w:val="auto"/>
                <w:highlight w:val="none"/>
              </w:rPr>
              <w:t>m</w:t>
            </w:r>
            <w:r>
              <w:rPr>
                <w:color w:val="auto"/>
                <w:highlight w:val="none"/>
                <w:vertAlign w:val="superscript"/>
              </w:rPr>
              <w:t>2</w:t>
            </w:r>
            <w:r>
              <w:rPr>
                <w:rFonts w:hint="eastAsia"/>
                <w:color w:val="auto"/>
                <w:highlight w:val="none"/>
              </w:rPr>
              <w:t>的一般固废</w:t>
            </w:r>
            <w:r>
              <w:rPr>
                <w:color w:val="auto"/>
                <w:highlight w:val="none"/>
              </w:rPr>
              <w:t>暂存间</w:t>
            </w:r>
            <w:r>
              <w:rPr>
                <w:rFonts w:hint="eastAsia"/>
                <w:color w:val="auto"/>
                <w:highlight w:val="none"/>
              </w:rPr>
              <w:t>，</w:t>
            </w:r>
            <w:r>
              <w:rPr>
                <w:rFonts w:hint="eastAsia"/>
                <w:color w:val="auto"/>
                <w:highlight w:val="none"/>
                <w:lang w:val="en-US" w:eastAsia="zh-CN"/>
              </w:rPr>
              <w:t>按每平米可以贮存1.5t固废计算，</w:t>
            </w:r>
            <w:r>
              <w:rPr>
                <w:color w:val="auto"/>
                <w:highlight w:val="none"/>
              </w:rPr>
              <w:t>贮存能力为</w:t>
            </w:r>
            <w:r>
              <w:rPr>
                <w:rFonts w:hint="eastAsia"/>
                <w:color w:val="auto"/>
                <w:highlight w:val="none"/>
                <w:lang w:val="en-US" w:eastAsia="zh-CN"/>
              </w:rPr>
              <w:t>120</w:t>
            </w:r>
            <w:r>
              <w:rPr>
                <w:color w:val="auto"/>
                <w:highlight w:val="none"/>
              </w:rPr>
              <w:t>t</w:t>
            </w:r>
            <w:r>
              <w:rPr>
                <w:rFonts w:hint="eastAsia"/>
                <w:color w:val="auto"/>
                <w:highlight w:val="none"/>
              </w:rPr>
              <w:t>。</w:t>
            </w:r>
            <w:r>
              <w:rPr>
                <w:rFonts w:hint="eastAsia"/>
                <w:color w:val="auto"/>
                <w:highlight w:val="none"/>
                <w:lang w:val="en-US" w:eastAsia="zh-CN"/>
              </w:rPr>
              <w:t>现有一般工业固废暂存间暂存规模可满足要求</w:t>
            </w:r>
            <w:r>
              <w:rPr>
                <w:color w:val="auto"/>
                <w:highlight w:val="none"/>
              </w:rPr>
              <w:t>。</w:t>
            </w:r>
          </w:p>
          <w:p>
            <w:pPr>
              <w:pStyle w:val="72"/>
              <w:ind w:firstLine="480"/>
              <w:rPr>
                <w:rFonts w:hint="default"/>
                <w:color w:val="auto"/>
                <w:highlight w:val="none"/>
                <w:lang w:val="en-US" w:eastAsia="zh-CN"/>
              </w:rPr>
            </w:pPr>
            <w:r>
              <w:rPr>
                <w:rFonts w:hint="eastAsia"/>
                <w:color w:val="auto"/>
                <w:highlight w:val="none"/>
                <w:lang w:val="en-US" w:eastAsia="zh-CN"/>
              </w:rPr>
              <w:t>厂区现有</w:t>
            </w:r>
            <w:r>
              <w:rPr>
                <w:color w:val="auto"/>
                <w:highlight w:val="none"/>
              </w:rPr>
              <w:t>一般工业固体废物</w:t>
            </w:r>
            <w:r>
              <w:rPr>
                <w:rFonts w:hint="eastAsia"/>
                <w:color w:val="auto"/>
                <w:highlight w:val="none"/>
                <w:lang w:val="en-US" w:eastAsia="zh-CN"/>
              </w:rPr>
              <w:t>暂存间符合</w:t>
            </w:r>
            <w:r>
              <w:rPr>
                <w:rFonts w:hint="eastAsia"/>
                <w:color w:val="auto"/>
                <w:highlight w:val="none"/>
              </w:rPr>
              <w:t>《一般工业固体废物贮存和填埋污染控制标准》（GB18599-2020）的相关要求。</w:t>
            </w:r>
            <w:r>
              <w:rPr>
                <w:rFonts w:hint="eastAsia"/>
                <w:color w:val="auto"/>
                <w:highlight w:val="none"/>
                <w:lang w:val="en-US" w:eastAsia="zh-CN"/>
              </w:rPr>
              <w:t>一般工业固废暂存间分区域设置分类储存房，按可回收利用、不可回收利用分类储存，</w:t>
            </w:r>
            <w:r>
              <w:rPr>
                <w:rFonts w:hint="default"/>
                <w:color w:val="auto"/>
                <w:highlight w:val="none"/>
                <w:lang w:val="en-US" w:eastAsia="zh-CN"/>
              </w:rPr>
              <w:t>临时储存地点建有雨棚，</w:t>
            </w:r>
            <w:r>
              <w:rPr>
                <w:rFonts w:hint="eastAsia"/>
                <w:color w:val="auto"/>
                <w:highlight w:val="none"/>
                <w:lang w:val="en-US" w:eastAsia="zh-CN"/>
              </w:rPr>
              <w:t>未采取</w:t>
            </w:r>
            <w:r>
              <w:rPr>
                <w:rFonts w:hint="default"/>
                <w:color w:val="auto"/>
                <w:highlight w:val="none"/>
                <w:lang w:val="en-US" w:eastAsia="zh-CN"/>
              </w:rPr>
              <w:t>露天堆放，以防止雨水冲刷，雨水应通过场地四周导流渠流向雨水排放管；临时堆放场地为水泥铺设地面，以防渗漏。</w:t>
            </w:r>
            <w:r>
              <w:rPr>
                <w:rFonts w:hint="eastAsia"/>
                <w:color w:val="auto"/>
                <w:highlight w:val="none"/>
                <w:lang w:val="en-US" w:eastAsia="zh-CN"/>
              </w:rPr>
              <w:t>一般工业固废场所按照</w:t>
            </w:r>
            <w:r>
              <w:rPr>
                <w:rFonts w:hint="default"/>
                <w:color w:val="auto"/>
                <w:highlight w:val="none"/>
                <w:lang w:val="en-US" w:eastAsia="zh-CN"/>
              </w:rPr>
              <w:t>《环境保护图形标志－固体废物贮存（处置）场所》（GB15562.2-1995）设置环境保护图形标志。</w:t>
            </w:r>
          </w:p>
          <w:p>
            <w:pPr>
              <w:pStyle w:val="72"/>
              <w:ind w:firstLine="480"/>
              <w:rPr>
                <w:rFonts w:hint="eastAsia"/>
                <w:color w:val="auto"/>
                <w:sz w:val="24"/>
                <w:szCs w:val="24"/>
                <w:highlight w:val="none"/>
                <w:lang w:val="en-US" w:eastAsia="zh-CN"/>
              </w:rPr>
            </w:pPr>
            <w:r>
              <w:rPr>
                <w:rFonts w:hint="eastAsia"/>
                <w:color w:val="auto"/>
                <w:sz w:val="24"/>
                <w:szCs w:val="24"/>
                <w:highlight w:val="none"/>
                <w:lang w:val="en-US" w:eastAsia="zh-CN"/>
              </w:rPr>
              <w:t>②危险废物</w:t>
            </w:r>
          </w:p>
          <w:p>
            <w:pPr>
              <w:pStyle w:val="72"/>
              <w:ind w:firstLine="480"/>
              <w:rPr>
                <w:rFonts w:hint="default"/>
                <w:color w:val="auto"/>
                <w:sz w:val="24"/>
                <w:szCs w:val="24"/>
                <w:highlight w:val="none"/>
                <w:lang w:val="en-US" w:eastAsia="zh-CN"/>
              </w:rPr>
            </w:pPr>
            <w:r>
              <w:rPr>
                <w:rFonts w:hint="eastAsia"/>
                <w:color w:val="auto"/>
                <w:sz w:val="24"/>
                <w:szCs w:val="24"/>
                <w:highlight w:val="none"/>
                <w:lang w:val="en-US" w:eastAsia="zh-CN"/>
              </w:rPr>
              <w:t>项目实施后将在四期地块新建一座危废仓库，现有工程及本项目危废均暂存于该危废仓库，拟新建危废仓库占地面积90m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。现有危废仓库拟规划作其他项目危废仓库使用（暂时空置）。</w:t>
            </w:r>
          </w:p>
          <w:p>
            <w:pPr>
              <w:pStyle w:val="72"/>
              <w:ind w:firstLine="480"/>
              <w:rPr>
                <w:rFonts w:hint="default" w:ascii="Times New Roman" w:hAnsi="Times New Roman" w:eastAsia="宋体" w:cs="Times New Roman"/>
                <w:color w:val="auto"/>
                <w:highlight w:val="none"/>
                <w:lang w:val="en-US" w:eastAsia="zh-CN"/>
              </w:rPr>
            </w:pPr>
            <w:r>
              <w:rPr>
                <w:rFonts w:hint="eastAsia"/>
                <w:color w:val="auto"/>
                <w:sz w:val="24"/>
                <w:szCs w:val="24"/>
                <w:highlight w:val="none"/>
                <w:lang w:val="en-US" w:eastAsia="zh-CN"/>
              </w:rPr>
              <w:t>本项目</w:t>
            </w:r>
            <w:r>
              <w:rPr>
                <w:color w:val="auto"/>
                <w:sz w:val="24"/>
                <w:szCs w:val="24"/>
                <w:highlight w:val="none"/>
              </w:rPr>
              <w:t>危废</w:t>
            </w:r>
            <w:r>
              <w:rPr>
                <w:rFonts w:hint="eastAsia"/>
                <w:color w:val="auto"/>
                <w:sz w:val="24"/>
                <w:szCs w:val="24"/>
                <w:highlight w:val="none"/>
                <w:lang w:val="en-US" w:eastAsia="zh-CN"/>
              </w:rPr>
              <w:t>产生</w:t>
            </w:r>
            <w:r>
              <w:rPr>
                <w:color w:val="auto"/>
                <w:sz w:val="24"/>
                <w:szCs w:val="24"/>
                <w:highlight w:val="none"/>
              </w:rPr>
              <w:t>量</w:t>
            </w:r>
            <w:r>
              <w:rPr>
                <w:rFonts w:hint="eastAsia"/>
                <w:color w:val="auto"/>
                <w:sz w:val="24"/>
                <w:szCs w:val="24"/>
                <w:highlight w:val="none"/>
              </w:rPr>
              <w:t>为</w:t>
            </w:r>
            <w:r>
              <w:rPr>
                <w:rFonts w:hint="eastAsia"/>
                <w:color w:val="auto"/>
                <w:sz w:val="24"/>
                <w:szCs w:val="24"/>
                <w:highlight w:val="none"/>
                <w:lang w:val="en-US" w:eastAsia="zh-CN"/>
              </w:rPr>
              <w:t>9.5</w:t>
            </w:r>
            <w:r>
              <w:rPr>
                <w:color w:val="auto"/>
                <w:sz w:val="24"/>
                <w:szCs w:val="24"/>
                <w:highlight w:val="none"/>
              </w:rPr>
              <w:t>t/a</w:t>
            </w:r>
            <w:r>
              <w:rPr>
                <w:rFonts w:hint="eastAsia"/>
                <w:color w:val="auto"/>
                <w:sz w:val="24"/>
                <w:szCs w:val="24"/>
                <w:highlight w:val="none"/>
              </w:rPr>
              <w:t>，</w:t>
            </w:r>
            <w:r>
              <w:rPr>
                <w:rFonts w:hint="eastAsia"/>
                <w:color w:val="auto"/>
                <w:sz w:val="24"/>
                <w:szCs w:val="24"/>
                <w:highlight w:val="none"/>
                <w:lang w:val="en-US" w:eastAsia="zh-CN"/>
              </w:rPr>
              <w:t>主要为废矿物油、切削液等，项目实施后全厂</w:t>
            </w:r>
            <w:r>
              <w:rPr>
                <w:rFonts w:hint="eastAsia"/>
                <w:color w:val="auto"/>
                <w:sz w:val="24"/>
                <w:szCs w:val="24"/>
                <w:highlight w:val="none"/>
              </w:rPr>
              <w:t>危险废物</w:t>
            </w:r>
            <w:r>
              <w:rPr>
                <w:rFonts w:hint="eastAsia"/>
                <w:color w:val="auto"/>
                <w:sz w:val="24"/>
                <w:szCs w:val="24"/>
                <w:highlight w:val="none"/>
                <w:lang w:val="en-US" w:eastAsia="zh-CN"/>
              </w:rPr>
              <w:t>产生量为1</w:t>
            </w:r>
            <w:r>
              <w:rPr>
                <w:rFonts w:hint="eastAsia" w:eastAsia="宋体"/>
                <w:color w:val="auto"/>
                <w:highlight w:val="none"/>
                <w:lang w:val="en-US" w:eastAsia="zh-CN"/>
              </w:rPr>
              <w:t>7.4578</w:t>
            </w:r>
            <w:r>
              <w:rPr>
                <w:rFonts w:hint="eastAsia"/>
                <w:color w:val="auto"/>
                <w:sz w:val="24"/>
                <w:szCs w:val="24"/>
                <w:highlight w:val="none"/>
                <w:lang w:val="en-US" w:eastAsia="zh-CN"/>
              </w:rPr>
              <w:t>t/a，</w:t>
            </w:r>
            <w:r>
              <w:rPr>
                <w:rFonts w:hint="eastAsia" w:ascii="Times New Roman" w:hAnsi="Times New Roman" w:eastAsia="宋体" w:cs="Times New Roman"/>
                <w:color w:val="auto"/>
                <w:highlight w:val="none"/>
                <w:lang w:val="en-US" w:eastAsia="zh-CN"/>
              </w:rPr>
              <w:t>项目危险废物清运周期约一个月</w:t>
            </w:r>
            <w:r>
              <w:rPr>
                <w:rFonts w:hint="eastAsia" w:cs="Times New Roman"/>
                <w:color w:val="auto"/>
                <w:highlight w:val="none"/>
                <w:lang w:val="en-US" w:eastAsia="zh-CN"/>
              </w:rPr>
              <w:t>～三个月</w:t>
            </w:r>
            <w:r>
              <w:rPr>
                <w:rFonts w:hint="eastAsia" w:ascii="Times New Roman" w:hAnsi="Times New Roman" w:eastAsia="宋体" w:cs="Times New Roman"/>
                <w:color w:val="auto"/>
                <w:highlight w:val="none"/>
                <w:lang w:val="en-US" w:eastAsia="zh-CN"/>
              </w:rPr>
              <w:t>一次，根据危废贮存方式及暂存周期，项目危</w:t>
            </w:r>
            <w:r>
              <w:rPr>
                <w:rFonts w:hint="eastAsia" w:cs="Times New Roman"/>
                <w:color w:val="auto"/>
                <w:highlight w:val="none"/>
                <w:lang w:val="en-US" w:eastAsia="zh-CN"/>
              </w:rPr>
              <w:t>险</w:t>
            </w:r>
            <w:r>
              <w:rPr>
                <w:rFonts w:hint="eastAsia" w:ascii="Times New Roman" w:hAnsi="Times New Roman" w:eastAsia="宋体" w:cs="Times New Roman"/>
                <w:color w:val="auto"/>
                <w:highlight w:val="none"/>
                <w:lang w:val="en-US" w:eastAsia="zh-CN"/>
              </w:rPr>
              <w:t>废物</w:t>
            </w:r>
            <w:r>
              <w:rPr>
                <w:rFonts w:hint="eastAsia" w:cs="Times New Roman"/>
                <w:color w:val="auto"/>
                <w:highlight w:val="none"/>
                <w:lang w:val="en-US" w:eastAsia="zh-CN"/>
              </w:rPr>
              <w:t>仓库完全可满足项目投产后需求。</w:t>
            </w:r>
            <w:r>
              <w:rPr>
                <w:rFonts w:hint="eastAsia" w:ascii="Times New Roman" w:hAnsi="Times New Roman" w:eastAsia="宋体" w:cs="Times New Roman"/>
                <w:color w:val="auto"/>
                <w:highlight w:val="none"/>
                <w:lang w:val="en-US" w:eastAsia="zh-CN"/>
              </w:rPr>
              <w:t>具体见表4.</w:t>
            </w: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w:t>
            </w:r>
          </w:p>
          <w:p>
            <w:pPr>
              <w:adjustRightInd w:val="0"/>
              <w:snapToGrid w:val="0"/>
              <w:jc w:val="center"/>
              <w:outlineLvl w:val="4"/>
              <w:rPr>
                <w:rFonts w:ascii="Times New Roman" w:hAnsi="Times New Roman" w:eastAsia="黑体" w:cs="Times New Roman"/>
                <w:b/>
                <w:color w:val="auto"/>
                <w:sz w:val="24"/>
                <w:highlight w:val="none"/>
              </w:rPr>
            </w:pPr>
            <w:r>
              <w:rPr>
                <w:rFonts w:ascii="Times New Roman" w:hAnsi="Times New Roman" w:eastAsia="黑体" w:cs="Times New Roman"/>
                <w:b/>
                <w:color w:val="auto"/>
                <w:sz w:val="24"/>
                <w:highlight w:val="none"/>
              </w:rPr>
              <w:t>表</w:t>
            </w:r>
            <w:r>
              <w:rPr>
                <w:rFonts w:hint="eastAsia" w:ascii="Times New Roman" w:hAnsi="Times New Roman" w:eastAsia="黑体" w:cs="Times New Roman"/>
                <w:b/>
                <w:color w:val="auto"/>
                <w:sz w:val="24"/>
                <w:highlight w:val="none"/>
                <w:lang w:val="en-US" w:eastAsia="zh-CN"/>
              </w:rPr>
              <w:t>4.5.3</w:t>
            </w:r>
            <w:r>
              <w:rPr>
                <w:rFonts w:ascii="Times New Roman" w:hAnsi="Times New Roman" w:eastAsia="黑体" w:cs="Times New Roman"/>
                <w:b/>
                <w:color w:val="auto"/>
                <w:sz w:val="24"/>
                <w:highlight w:val="none"/>
              </w:rPr>
              <w:t xml:space="preserve">  </w:t>
            </w:r>
            <w:r>
              <w:rPr>
                <w:rFonts w:hint="eastAsia" w:ascii="Times New Roman" w:hAnsi="Times New Roman" w:eastAsia="黑体" w:cs="Times New Roman"/>
                <w:b/>
                <w:color w:val="auto"/>
                <w:sz w:val="24"/>
                <w:highlight w:val="none"/>
                <w:lang w:val="en-US" w:eastAsia="zh-CN"/>
              </w:rPr>
              <w:t>危险废物</w:t>
            </w:r>
            <w:r>
              <w:rPr>
                <w:rFonts w:ascii="Times New Roman" w:hAnsi="Times New Roman" w:eastAsia="黑体" w:cs="Times New Roman"/>
                <w:b/>
                <w:color w:val="auto"/>
                <w:sz w:val="24"/>
                <w:highlight w:val="none"/>
              </w:rPr>
              <w:t>分类暂存设施设置要求汇总</w:t>
            </w:r>
          </w:p>
          <w:tbl>
            <w:tblPr>
              <w:tblStyle w:val="2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34"/>
              <w:gridCol w:w="1053"/>
              <w:gridCol w:w="682"/>
              <w:gridCol w:w="773"/>
              <w:gridCol w:w="884"/>
              <w:gridCol w:w="1068"/>
              <w:gridCol w:w="1433"/>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3"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ascii="Times New Roman" w:hAnsi="Times New Roman" w:eastAsia="宋体" w:cs="Times New Roman"/>
                      <w:snapToGrid w:val="0"/>
                      <w:color w:val="auto"/>
                      <w:szCs w:val="21"/>
                      <w:highlight w:val="none"/>
                      <w:u w:val="none"/>
                    </w:rPr>
                    <w:t>序号</w:t>
                  </w:r>
                </w:p>
              </w:tc>
              <w:tc>
                <w:tcPr>
                  <w:tcW w:w="643" w:type="pct"/>
                  <w:vAlign w:val="center"/>
                </w:tcPr>
                <w:p>
                  <w:pPr>
                    <w:widowControl/>
                    <w:jc w:val="center"/>
                    <w:textAlignment w:val="center"/>
                    <w:rPr>
                      <w:rFonts w:ascii="Times New Roman" w:hAnsi="Times New Roman" w:eastAsia="宋体" w:cs="Times New Roman"/>
                      <w:color w:val="auto"/>
                      <w:szCs w:val="21"/>
                      <w:highlight w:val="none"/>
                      <w:u w:val="none"/>
                    </w:rPr>
                  </w:pPr>
                  <w:r>
                    <w:rPr>
                      <w:rFonts w:ascii="Times New Roman" w:hAnsi="Times New Roman" w:eastAsia="宋体" w:cs="Times New Roman"/>
                      <w:color w:val="auto"/>
                      <w:szCs w:val="21"/>
                      <w:highlight w:val="none"/>
                      <w:u w:val="none"/>
                      <w:lang w:bidi="ar"/>
                    </w:rPr>
                    <w:t>固废名称</w:t>
                  </w:r>
                </w:p>
              </w:tc>
              <w:tc>
                <w:tcPr>
                  <w:tcW w:w="416"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ascii="Times New Roman" w:hAnsi="Times New Roman" w:eastAsia="宋体" w:cs="Times New Roman"/>
                      <w:snapToGrid w:val="0"/>
                      <w:color w:val="auto"/>
                      <w:szCs w:val="21"/>
                      <w:highlight w:val="none"/>
                      <w:u w:val="none"/>
                    </w:rPr>
                    <w:t>形态</w:t>
                  </w:r>
                </w:p>
              </w:tc>
              <w:tc>
                <w:tcPr>
                  <w:tcW w:w="471"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ascii="Times New Roman" w:hAnsi="Times New Roman" w:eastAsia="宋体" w:cs="Times New Roman"/>
                      <w:snapToGrid w:val="0"/>
                      <w:color w:val="auto"/>
                      <w:szCs w:val="21"/>
                      <w:highlight w:val="none"/>
                      <w:u w:val="none"/>
                    </w:rPr>
                    <w:t>最大存量</w:t>
                  </w:r>
                </w:p>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ascii="Times New Roman" w:hAnsi="Times New Roman" w:eastAsia="宋体" w:cs="Times New Roman"/>
                      <w:snapToGrid w:val="0"/>
                      <w:color w:val="auto"/>
                      <w:szCs w:val="21"/>
                      <w:highlight w:val="none"/>
                      <w:u w:val="none"/>
                    </w:rPr>
                    <w:t>（t）</w:t>
                  </w:r>
                </w:p>
              </w:tc>
              <w:tc>
                <w:tcPr>
                  <w:tcW w:w="539"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ascii="Times New Roman" w:hAnsi="Times New Roman" w:eastAsia="宋体" w:cs="Times New Roman"/>
                      <w:snapToGrid w:val="0"/>
                      <w:color w:val="auto"/>
                      <w:szCs w:val="21"/>
                      <w:highlight w:val="none"/>
                      <w:u w:val="none"/>
                    </w:rPr>
                    <w:t>暂存周期</w:t>
                  </w:r>
                </w:p>
              </w:tc>
              <w:tc>
                <w:tcPr>
                  <w:tcW w:w="652"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ascii="Times New Roman" w:hAnsi="Times New Roman" w:eastAsia="宋体" w:cs="Times New Roman"/>
                      <w:snapToGrid w:val="0"/>
                      <w:color w:val="auto"/>
                      <w:szCs w:val="21"/>
                      <w:highlight w:val="none"/>
                      <w:u w:val="none"/>
                    </w:rPr>
                    <w:t>贮存方式</w:t>
                  </w:r>
                </w:p>
              </w:tc>
              <w:tc>
                <w:tcPr>
                  <w:tcW w:w="875"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ascii="Times New Roman" w:hAnsi="Times New Roman" w:eastAsia="宋体" w:cs="Times New Roman"/>
                      <w:snapToGrid w:val="0"/>
                      <w:color w:val="auto"/>
                      <w:szCs w:val="21"/>
                      <w:highlight w:val="none"/>
                      <w:u w:val="none"/>
                    </w:rPr>
                    <w:t>建设要求</w:t>
                  </w:r>
                </w:p>
              </w:tc>
              <w:tc>
                <w:tcPr>
                  <w:tcW w:w="1197"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hint="eastAsia" w:ascii="Times New Roman" w:hAnsi="Times New Roman" w:cs="Times New Roman"/>
                      <w:snapToGrid w:val="0"/>
                      <w:color w:val="auto"/>
                      <w:szCs w:val="21"/>
                      <w:highlight w:val="none"/>
                      <w:u w:val="none"/>
                      <w:lang w:val="en-US" w:eastAsia="zh-CN"/>
                    </w:rPr>
                    <w:t>本项目危废暂存需要</w:t>
                  </w:r>
                  <w:r>
                    <w:rPr>
                      <w:rFonts w:ascii="Times New Roman" w:hAnsi="Times New Roman" w:eastAsia="宋体" w:cs="Times New Roman"/>
                      <w:snapToGrid w:val="0"/>
                      <w:color w:val="auto"/>
                      <w:szCs w:val="21"/>
                      <w:highlight w:val="none"/>
                      <w:u w:val="none"/>
                    </w:rPr>
                    <w:t>面积（m</w:t>
                  </w:r>
                  <w:r>
                    <w:rPr>
                      <w:rFonts w:ascii="Times New Roman" w:hAnsi="Times New Roman" w:eastAsia="宋体" w:cs="Times New Roman"/>
                      <w:snapToGrid w:val="0"/>
                      <w:color w:val="auto"/>
                      <w:szCs w:val="21"/>
                      <w:highlight w:val="none"/>
                      <w:u w:val="none"/>
                      <w:vertAlign w:val="superscript"/>
                    </w:rPr>
                    <w:t>2</w:t>
                  </w:r>
                  <w:r>
                    <w:rPr>
                      <w:rFonts w:ascii="Times New Roman" w:hAnsi="Times New Roman" w:eastAsia="宋体" w:cs="Times New Roman"/>
                      <w:snapToGrid w:val="0"/>
                      <w:color w:val="auto"/>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5000" w:type="pct"/>
                  <w:gridSpan w:val="8"/>
                  <w:vAlign w:val="center"/>
                </w:tcPr>
                <w:p>
                  <w:pPr>
                    <w:tabs>
                      <w:tab w:val="left" w:pos="0"/>
                    </w:tabs>
                    <w:adjustRightInd w:val="0"/>
                    <w:snapToGrid w:val="0"/>
                    <w:spacing w:line="240" w:lineRule="exact"/>
                    <w:jc w:val="center"/>
                    <w:rPr>
                      <w:rFonts w:ascii="Times New Roman" w:hAnsi="Times New Roman" w:eastAsia="宋体" w:cs="Times New Roman"/>
                      <w:b/>
                      <w:bCs/>
                      <w:snapToGrid w:val="0"/>
                      <w:color w:val="auto"/>
                      <w:szCs w:val="21"/>
                      <w:highlight w:val="none"/>
                      <w:u w:val="none"/>
                    </w:rPr>
                  </w:pPr>
                  <w:r>
                    <w:rPr>
                      <w:rFonts w:ascii="Times New Roman" w:hAnsi="Times New Roman" w:eastAsia="宋体" w:cs="Times New Roman"/>
                      <w:b/>
                      <w:bCs/>
                      <w:snapToGrid w:val="0"/>
                      <w:color w:val="auto"/>
                      <w:szCs w:val="21"/>
                      <w:highlight w:val="none"/>
                      <w:u w:val="none"/>
                    </w:rPr>
                    <w:t>一、危险废物分类暂存设施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3" w:type="pct"/>
                  <w:vAlign w:val="center"/>
                </w:tcPr>
                <w:p>
                  <w:pPr>
                    <w:tabs>
                      <w:tab w:val="left" w:pos="0"/>
                    </w:tabs>
                    <w:adjustRightInd w:val="0"/>
                    <w:snapToGrid w:val="0"/>
                    <w:jc w:val="center"/>
                    <w:rPr>
                      <w:rFonts w:ascii="Times New Roman" w:hAnsi="Times New Roman" w:eastAsia="宋体" w:cs="Times New Roman"/>
                      <w:snapToGrid w:val="0"/>
                      <w:color w:val="auto"/>
                      <w:kern w:val="2"/>
                      <w:sz w:val="21"/>
                      <w:szCs w:val="21"/>
                      <w:highlight w:val="none"/>
                      <w:u w:val="none"/>
                      <w:lang w:val="en-US" w:eastAsia="zh-CN" w:bidi="ar-SA"/>
                    </w:rPr>
                  </w:pPr>
                  <w:r>
                    <w:rPr>
                      <w:rFonts w:ascii="Times New Roman" w:hAnsi="Times New Roman" w:eastAsia="宋体" w:cs="Times New Roman"/>
                      <w:snapToGrid w:val="0"/>
                      <w:color w:val="auto"/>
                      <w:szCs w:val="21"/>
                      <w:highlight w:val="none"/>
                      <w:u w:val="none"/>
                    </w:rPr>
                    <w:t>1</w:t>
                  </w:r>
                </w:p>
              </w:tc>
              <w:tc>
                <w:tcPr>
                  <w:tcW w:w="643" w:type="pct"/>
                  <w:shd w:val="clear" w:color="auto" w:fill="auto"/>
                  <w:vAlign w:val="center"/>
                </w:tcPr>
                <w:p>
                  <w:pPr>
                    <w:pStyle w:val="70"/>
                    <w:rPr>
                      <w:rFonts w:ascii="Times New Roman" w:hAnsi="Times New Roman" w:eastAsia="宋体" w:cs="Times New Roman"/>
                      <w:color w:val="auto"/>
                      <w:kern w:val="0"/>
                      <w:szCs w:val="21"/>
                      <w:highlight w:val="none"/>
                      <w:u w:val="none"/>
                    </w:rPr>
                  </w:pPr>
                  <w:r>
                    <w:rPr>
                      <w:rFonts w:hint="eastAsia"/>
                      <w:color w:val="auto"/>
                      <w:highlight w:val="none"/>
                      <w:u w:val="none"/>
                    </w:rPr>
                    <w:t>废</w:t>
                  </w:r>
                  <w:r>
                    <w:rPr>
                      <w:rFonts w:hint="eastAsia"/>
                      <w:color w:val="auto"/>
                      <w:highlight w:val="none"/>
                      <w:u w:val="none"/>
                      <w:lang w:val="en-US" w:eastAsia="zh-CN"/>
                    </w:rPr>
                    <w:t>矿物油</w:t>
                  </w:r>
                </w:p>
              </w:tc>
              <w:tc>
                <w:tcPr>
                  <w:tcW w:w="416" w:type="pct"/>
                  <w:vAlign w:val="center"/>
                </w:tcPr>
                <w:p>
                  <w:pPr>
                    <w:adjustRightInd w:val="0"/>
                    <w:snapToGrid w:val="0"/>
                    <w:jc w:val="center"/>
                    <w:rPr>
                      <w:rFonts w:hint="default" w:ascii="Times New Roman" w:hAnsi="Times New Roman" w:eastAsia="宋体" w:cs="Times New Roman"/>
                      <w:snapToGrid w:val="0"/>
                      <w:color w:val="auto"/>
                      <w:szCs w:val="21"/>
                      <w:highlight w:val="none"/>
                      <w:u w:val="none"/>
                      <w:lang w:val="en-US" w:eastAsia="zh-CN"/>
                    </w:rPr>
                  </w:pPr>
                  <w:r>
                    <w:rPr>
                      <w:rFonts w:hint="eastAsia" w:eastAsia="宋体" w:cs="Times New Roman"/>
                      <w:color w:val="auto"/>
                      <w:highlight w:val="none"/>
                      <w:u w:val="none"/>
                      <w:lang w:val="en-US" w:eastAsia="zh-CN"/>
                    </w:rPr>
                    <w:t>液态</w:t>
                  </w:r>
                </w:p>
              </w:tc>
              <w:tc>
                <w:tcPr>
                  <w:tcW w:w="471" w:type="pct"/>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0.5</w:t>
                  </w:r>
                </w:p>
              </w:tc>
              <w:tc>
                <w:tcPr>
                  <w:tcW w:w="539" w:type="pct"/>
                  <w:vAlign w:val="center"/>
                </w:tcPr>
                <w:p>
                  <w:pPr>
                    <w:tabs>
                      <w:tab w:val="left" w:pos="0"/>
                    </w:tabs>
                    <w:adjustRightInd w:val="0"/>
                    <w:snapToGrid w:val="0"/>
                    <w:spacing w:line="240" w:lineRule="exact"/>
                    <w:jc w:val="center"/>
                    <w:rPr>
                      <w:rFonts w:hint="eastAsia" w:ascii="Times New Roman" w:hAnsi="Times New Roman" w:eastAsia="宋体" w:cs="Times New Roman"/>
                      <w:snapToGrid w:val="0"/>
                      <w:color w:val="auto"/>
                      <w:szCs w:val="21"/>
                      <w:highlight w:val="none"/>
                      <w:u w:val="none"/>
                    </w:rPr>
                  </w:pPr>
                  <w:r>
                    <w:rPr>
                      <w:rFonts w:hint="eastAsia" w:ascii="Times New Roman" w:hAnsi="Times New Roman" w:eastAsia="宋体" w:cs="Times New Roman"/>
                      <w:snapToGrid w:val="0"/>
                      <w:color w:val="auto"/>
                      <w:szCs w:val="21"/>
                      <w:highlight w:val="none"/>
                      <w:u w:val="none"/>
                      <w:lang w:val="en-US" w:eastAsia="zh-CN"/>
                    </w:rPr>
                    <w:t>1</w:t>
                  </w:r>
                  <w:r>
                    <w:rPr>
                      <w:rFonts w:hint="eastAsia" w:ascii="Times New Roman" w:hAnsi="Times New Roman" w:eastAsia="宋体" w:cs="Times New Roman"/>
                      <w:snapToGrid w:val="0"/>
                      <w:color w:val="auto"/>
                      <w:szCs w:val="21"/>
                      <w:highlight w:val="none"/>
                      <w:u w:val="none"/>
                    </w:rPr>
                    <w:t>个月</w:t>
                  </w:r>
                </w:p>
              </w:tc>
              <w:tc>
                <w:tcPr>
                  <w:tcW w:w="652" w:type="pct"/>
                  <w:vMerge w:val="restart"/>
                  <w:vAlign w:val="center"/>
                </w:tcPr>
                <w:p>
                  <w:pPr>
                    <w:tabs>
                      <w:tab w:val="left" w:pos="0"/>
                    </w:tabs>
                    <w:adjustRightInd w:val="0"/>
                    <w:snapToGrid w:val="0"/>
                    <w:spacing w:line="240" w:lineRule="exact"/>
                    <w:jc w:val="center"/>
                    <w:rPr>
                      <w:rFonts w:hint="eastAsia" w:ascii="Times New Roman" w:hAnsi="Times New Roman" w:eastAsia="宋体" w:cs="Times New Roman"/>
                      <w:snapToGrid w:val="0"/>
                      <w:color w:val="auto"/>
                      <w:szCs w:val="21"/>
                      <w:highlight w:val="none"/>
                      <w:u w:val="none"/>
                      <w:lang w:val="en-US" w:eastAsia="zh-CN"/>
                    </w:rPr>
                  </w:pPr>
                  <w:r>
                    <w:rPr>
                      <w:rFonts w:hint="eastAsia" w:ascii="Times New Roman" w:hAnsi="Times New Roman" w:eastAsia="宋体" w:cs="Times New Roman"/>
                      <w:snapToGrid w:val="0"/>
                      <w:color w:val="auto"/>
                      <w:szCs w:val="21"/>
                      <w:highlight w:val="none"/>
                      <w:u w:val="none"/>
                    </w:rPr>
                    <w:t>桶装</w:t>
                  </w:r>
                  <w:r>
                    <w:rPr>
                      <w:rFonts w:hint="eastAsia" w:ascii="Times New Roman" w:hAnsi="Times New Roman" w:eastAsia="宋体" w:cs="Times New Roman"/>
                      <w:snapToGrid w:val="0"/>
                      <w:color w:val="auto"/>
                      <w:szCs w:val="21"/>
                      <w:highlight w:val="none"/>
                      <w:u w:val="none"/>
                      <w:lang w:val="en-US" w:eastAsia="zh-CN"/>
                    </w:rPr>
                    <w:t>//下置</w:t>
                  </w:r>
                  <w:r>
                    <w:rPr>
                      <w:rFonts w:hint="eastAsia" w:ascii="Times New Roman" w:hAnsi="Times New Roman" w:cs="Times New Roman"/>
                      <w:snapToGrid w:val="0"/>
                      <w:color w:val="auto"/>
                      <w:szCs w:val="21"/>
                      <w:highlight w:val="none"/>
                      <w:u w:val="none"/>
                      <w:lang w:val="en-US" w:eastAsia="zh-CN"/>
                    </w:rPr>
                    <w:t>托盘</w:t>
                  </w:r>
                </w:p>
              </w:tc>
              <w:tc>
                <w:tcPr>
                  <w:tcW w:w="875" w:type="pct"/>
                  <w:vMerge w:val="restar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ascii="Times New Roman" w:hAnsi="Times New Roman" w:eastAsia="宋体" w:cs="Times New Roman"/>
                      <w:snapToGrid w:val="0"/>
                      <w:color w:val="auto"/>
                      <w:szCs w:val="21"/>
                      <w:highlight w:val="none"/>
                      <w:u w:val="none"/>
                    </w:rPr>
                    <w:t>符合《危险废物贮存污染控制标准》（GB18597-20</w:t>
                  </w:r>
                  <w:r>
                    <w:rPr>
                      <w:rFonts w:hint="eastAsia" w:ascii="Times New Roman" w:hAnsi="Times New Roman" w:eastAsia="宋体" w:cs="Times New Roman"/>
                      <w:snapToGrid w:val="0"/>
                      <w:color w:val="auto"/>
                      <w:szCs w:val="21"/>
                      <w:highlight w:val="none"/>
                      <w:u w:val="none"/>
                      <w:lang w:val="en-US" w:eastAsia="zh-CN"/>
                    </w:rPr>
                    <w:t>23</w:t>
                  </w:r>
                  <w:r>
                    <w:rPr>
                      <w:rFonts w:ascii="Times New Roman" w:hAnsi="Times New Roman" w:eastAsia="宋体" w:cs="Times New Roman"/>
                      <w:snapToGrid w:val="0"/>
                      <w:color w:val="auto"/>
                      <w:szCs w:val="21"/>
                      <w:highlight w:val="none"/>
                      <w:u w:val="none"/>
                    </w:rPr>
                    <w:t>）要求</w:t>
                  </w:r>
                </w:p>
              </w:tc>
              <w:tc>
                <w:tcPr>
                  <w:tcW w:w="1197" w:type="pct"/>
                  <w:vAlign w:val="center"/>
                </w:tcPr>
                <w:p>
                  <w:pPr>
                    <w:tabs>
                      <w:tab w:val="left" w:pos="0"/>
                    </w:tabs>
                    <w:adjustRightInd w:val="0"/>
                    <w:snapToGrid w:val="0"/>
                    <w:spacing w:line="240" w:lineRule="exact"/>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eastAsia="宋体" w:cs="Times New Roman"/>
                      <w:snapToGrid w:val="0"/>
                      <w:color w:val="auto"/>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3" w:type="pct"/>
                  <w:vAlign w:val="center"/>
                </w:tcPr>
                <w:p>
                  <w:pPr>
                    <w:tabs>
                      <w:tab w:val="left" w:pos="0"/>
                    </w:tabs>
                    <w:adjustRightInd w:val="0"/>
                    <w:snapToGrid w:val="0"/>
                    <w:jc w:val="center"/>
                    <w:rPr>
                      <w:rFonts w:ascii="Times New Roman" w:hAnsi="Times New Roman" w:eastAsia="宋体" w:cs="Times New Roman"/>
                      <w:snapToGrid w:val="0"/>
                      <w:color w:val="auto"/>
                      <w:kern w:val="2"/>
                      <w:sz w:val="21"/>
                      <w:szCs w:val="21"/>
                      <w:highlight w:val="none"/>
                      <w:u w:val="none"/>
                      <w:lang w:val="en-US" w:eastAsia="zh-CN" w:bidi="ar-SA"/>
                    </w:rPr>
                  </w:pPr>
                  <w:r>
                    <w:rPr>
                      <w:rFonts w:ascii="Times New Roman" w:hAnsi="Times New Roman" w:eastAsia="宋体" w:cs="Times New Roman"/>
                      <w:snapToGrid w:val="0"/>
                      <w:color w:val="auto"/>
                      <w:szCs w:val="21"/>
                      <w:highlight w:val="none"/>
                      <w:u w:val="none"/>
                    </w:rPr>
                    <w:t>2</w:t>
                  </w:r>
                </w:p>
              </w:tc>
              <w:tc>
                <w:tcPr>
                  <w:tcW w:w="643" w:type="pct"/>
                  <w:shd w:val="clear" w:color="auto" w:fill="auto"/>
                  <w:vAlign w:val="center"/>
                </w:tcPr>
                <w:p>
                  <w:pPr>
                    <w:pStyle w:val="70"/>
                    <w:rPr>
                      <w:rFonts w:ascii="Times New Roman" w:hAnsi="Times New Roman" w:eastAsia="宋体" w:cs="Times New Roman"/>
                      <w:color w:val="auto"/>
                      <w:kern w:val="0"/>
                      <w:szCs w:val="21"/>
                      <w:highlight w:val="none"/>
                      <w:u w:val="none"/>
                    </w:rPr>
                  </w:pPr>
                  <w:r>
                    <w:rPr>
                      <w:rFonts w:hint="eastAsia"/>
                      <w:color w:val="auto"/>
                      <w:highlight w:val="none"/>
                      <w:u w:val="none"/>
                    </w:rPr>
                    <w:t>废切削液</w:t>
                  </w:r>
                </w:p>
              </w:tc>
              <w:tc>
                <w:tcPr>
                  <w:tcW w:w="416" w:type="pct"/>
                  <w:vAlign w:val="center"/>
                </w:tcPr>
                <w:p>
                  <w:pPr>
                    <w:adjustRightInd w:val="0"/>
                    <w:snapToGrid w:val="0"/>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eastAsia="宋体" w:cs="Times New Roman"/>
                      <w:snapToGrid w:val="0"/>
                      <w:color w:val="auto"/>
                      <w:szCs w:val="21"/>
                      <w:highlight w:val="none"/>
                      <w:u w:val="none"/>
                      <w:lang w:val="en-US" w:eastAsia="zh-CN"/>
                    </w:rPr>
                    <w:t>液态</w:t>
                  </w:r>
                </w:p>
              </w:tc>
              <w:tc>
                <w:tcPr>
                  <w:tcW w:w="471" w:type="pct"/>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1</w:t>
                  </w:r>
                </w:p>
              </w:tc>
              <w:tc>
                <w:tcPr>
                  <w:tcW w:w="539" w:type="pct"/>
                  <w:vAlign w:val="center"/>
                </w:tcPr>
                <w:p>
                  <w:pPr>
                    <w:tabs>
                      <w:tab w:val="left" w:pos="0"/>
                    </w:tabs>
                    <w:adjustRightInd w:val="0"/>
                    <w:snapToGrid w:val="0"/>
                    <w:spacing w:line="240" w:lineRule="exact"/>
                    <w:jc w:val="center"/>
                    <w:rPr>
                      <w:rFonts w:hint="eastAsia" w:ascii="Times New Roman" w:hAnsi="Times New Roman" w:eastAsia="宋体" w:cs="Times New Roman"/>
                      <w:snapToGrid w:val="0"/>
                      <w:color w:val="auto"/>
                      <w:szCs w:val="21"/>
                      <w:highlight w:val="none"/>
                      <w:u w:val="none"/>
                    </w:rPr>
                  </w:pPr>
                  <w:r>
                    <w:rPr>
                      <w:rFonts w:hint="eastAsia" w:ascii="Times New Roman" w:hAnsi="Times New Roman" w:eastAsia="宋体" w:cs="Times New Roman"/>
                      <w:snapToGrid w:val="0"/>
                      <w:color w:val="auto"/>
                      <w:szCs w:val="21"/>
                      <w:highlight w:val="none"/>
                      <w:u w:val="none"/>
                      <w:lang w:val="en-US" w:eastAsia="zh-CN"/>
                    </w:rPr>
                    <w:t>1</w:t>
                  </w:r>
                  <w:r>
                    <w:rPr>
                      <w:rFonts w:hint="eastAsia" w:ascii="Times New Roman" w:hAnsi="Times New Roman" w:eastAsia="宋体" w:cs="Times New Roman"/>
                      <w:snapToGrid w:val="0"/>
                      <w:color w:val="auto"/>
                      <w:szCs w:val="21"/>
                      <w:highlight w:val="none"/>
                      <w:u w:val="none"/>
                    </w:rPr>
                    <w:t>个月</w:t>
                  </w:r>
                </w:p>
              </w:tc>
              <w:tc>
                <w:tcPr>
                  <w:tcW w:w="652" w:type="pct"/>
                  <w:vMerge w:val="continue"/>
                  <w:vAlign w:val="center"/>
                </w:tcPr>
                <w:p>
                  <w:pPr>
                    <w:tabs>
                      <w:tab w:val="left" w:pos="0"/>
                    </w:tabs>
                    <w:adjustRightInd w:val="0"/>
                    <w:snapToGrid w:val="0"/>
                    <w:spacing w:line="240" w:lineRule="exact"/>
                    <w:jc w:val="center"/>
                    <w:rPr>
                      <w:rFonts w:hint="eastAsia" w:ascii="Times New Roman" w:hAnsi="Times New Roman" w:eastAsia="宋体" w:cs="Times New Roman"/>
                      <w:snapToGrid w:val="0"/>
                      <w:color w:val="auto"/>
                      <w:szCs w:val="21"/>
                      <w:highlight w:val="none"/>
                      <w:u w:val="none"/>
                    </w:rPr>
                  </w:pPr>
                </w:p>
              </w:tc>
              <w:tc>
                <w:tcPr>
                  <w:tcW w:w="875" w:type="pct"/>
                  <w:vMerge w:val="continue"/>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p>
              </w:tc>
              <w:tc>
                <w:tcPr>
                  <w:tcW w:w="1197" w:type="pct"/>
                  <w:vAlign w:val="center"/>
                </w:tcPr>
                <w:p>
                  <w:pPr>
                    <w:tabs>
                      <w:tab w:val="left" w:pos="0"/>
                    </w:tabs>
                    <w:adjustRightInd w:val="0"/>
                    <w:snapToGrid w:val="0"/>
                    <w:spacing w:line="240" w:lineRule="exact"/>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3" w:type="pct"/>
                  <w:shd w:val="clear" w:color="auto" w:fill="auto"/>
                  <w:vAlign w:val="center"/>
                </w:tcPr>
                <w:p>
                  <w:pPr>
                    <w:tabs>
                      <w:tab w:val="left" w:pos="0"/>
                    </w:tabs>
                    <w:adjustRightInd w:val="0"/>
                    <w:snapToGrid w:val="0"/>
                    <w:jc w:val="center"/>
                    <w:rPr>
                      <w:rFonts w:ascii="Times New Roman" w:hAnsi="Times New Roman" w:eastAsia="宋体" w:cs="Times New Roman"/>
                      <w:snapToGrid w:val="0"/>
                      <w:color w:val="auto"/>
                      <w:kern w:val="2"/>
                      <w:sz w:val="21"/>
                      <w:szCs w:val="21"/>
                      <w:highlight w:val="none"/>
                      <w:u w:val="none"/>
                      <w:lang w:val="en-US" w:eastAsia="zh-CN" w:bidi="ar-SA"/>
                    </w:rPr>
                  </w:pPr>
                  <w:r>
                    <w:rPr>
                      <w:rFonts w:ascii="Times New Roman" w:hAnsi="Times New Roman" w:eastAsia="宋体" w:cs="Times New Roman"/>
                      <w:snapToGrid w:val="0"/>
                      <w:color w:val="auto"/>
                      <w:szCs w:val="21"/>
                      <w:highlight w:val="none"/>
                      <w:u w:val="none"/>
                    </w:rPr>
                    <w:t>3</w:t>
                  </w:r>
                </w:p>
              </w:tc>
              <w:tc>
                <w:tcPr>
                  <w:tcW w:w="643" w:type="pct"/>
                  <w:shd w:val="clear" w:color="auto" w:fill="auto"/>
                  <w:vAlign w:val="center"/>
                </w:tcPr>
                <w:p>
                  <w:pPr>
                    <w:pStyle w:val="70"/>
                    <w:rPr>
                      <w:rFonts w:hint="default" w:eastAsia="宋体"/>
                      <w:color w:val="auto"/>
                      <w:highlight w:val="none"/>
                      <w:u w:val="none"/>
                      <w:lang w:val="en-US" w:eastAsia="zh-CN"/>
                    </w:rPr>
                  </w:pPr>
                  <w:r>
                    <w:rPr>
                      <w:rFonts w:hint="eastAsia"/>
                      <w:color w:val="auto"/>
                      <w:highlight w:val="none"/>
                      <w:u w:val="none"/>
                      <w:lang w:val="en-US" w:eastAsia="zh-CN"/>
                    </w:rPr>
                    <w:t>废活性炭</w:t>
                  </w:r>
                </w:p>
              </w:tc>
              <w:tc>
                <w:tcPr>
                  <w:tcW w:w="416" w:type="pct"/>
                  <w:vAlign w:val="center"/>
                </w:tcPr>
                <w:p>
                  <w:pPr>
                    <w:adjustRightInd w:val="0"/>
                    <w:snapToGrid w:val="0"/>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固态</w:t>
                  </w:r>
                </w:p>
              </w:tc>
              <w:tc>
                <w:tcPr>
                  <w:tcW w:w="471" w:type="pct"/>
                  <w:vAlign w:val="center"/>
                </w:tcPr>
                <w:p>
                  <w:pPr>
                    <w:tabs>
                      <w:tab w:val="left" w:pos="0"/>
                    </w:tabs>
                    <w:adjustRightInd w:val="0"/>
                    <w:snapToGrid w:val="0"/>
                    <w:spacing w:line="240" w:lineRule="exact"/>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1</w:t>
                  </w:r>
                </w:p>
              </w:tc>
              <w:tc>
                <w:tcPr>
                  <w:tcW w:w="539" w:type="pct"/>
                  <w:vAlign w:val="center"/>
                </w:tcPr>
                <w:p>
                  <w:pPr>
                    <w:tabs>
                      <w:tab w:val="left" w:pos="0"/>
                    </w:tabs>
                    <w:adjustRightInd w:val="0"/>
                    <w:snapToGrid w:val="0"/>
                    <w:spacing w:line="240" w:lineRule="exact"/>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3个月</w:t>
                  </w:r>
                </w:p>
              </w:tc>
              <w:tc>
                <w:tcPr>
                  <w:tcW w:w="652" w:type="pct"/>
                  <w:vAlign w:val="center"/>
                </w:tcPr>
                <w:p>
                  <w:pPr>
                    <w:tabs>
                      <w:tab w:val="left" w:pos="0"/>
                    </w:tabs>
                    <w:adjustRightInd w:val="0"/>
                    <w:snapToGrid w:val="0"/>
                    <w:spacing w:line="240" w:lineRule="exact"/>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塑料密封</w:t>
                  </w:r>
                </w:p>
              </w:tc>
              <w:tc>
                <w:tcPr>
                  <w:tcW w:w="875" w:type="pct"/>
                  <w:vMerge w:val="continue"/>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p>
              </w:tc>
              <w:tc>
                <w:tcPr>
                  <w:tcW w:w="1197" w:type="pct"/>
                  <w:vAlign w:val="center"/>
                </w:tcPr>
                <w:p>
                  <w:pPr>
                    <w:tabs>
                      <w:tab w:val="left" w:pos="0"/>
                    </w:tabs>
                    <w:adjustRightInd w:val="0"/>
                    <w:snapToGrid w:val="0"/>
                    <w:spacing w:line="240" w:lineRule="exact"/>
                    <w:jc w:val="center"/>
                    <w:rPr>
                      <w:rFonts w:hint="default" w:ascii="Times New Roman" w:hAnsi="Times New Roman"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3" w:type="pct"/>
                  <w:shd w:val="clear" w:color="auto" w:fill="auto"/>
                  <w:vAlign w:val="center"/>
                </w:tcPr>
                <w:p>
                  <w:pPr>
                    <w:tabs>
                      <w:tab w:val="left" w:pos="0"/>
                    </w:tabs>
                    <w:adjustRightInd w:val="0"/>
                    <w:snapToGrid w:val="0"/>
                    <w:jc w:val="center"/>
                    <w:rPr>
                      <w:rFonts w:ascii="Times New Roman" w:hAnsi="Times New Roman" w:eastAsia="宋体" w:cs="Times New Roman"/>
                      <w:snapToGrid w:val="0"/>
                      <w:color w:val="auto"/>
                      <w:kern w:val="2"/>
                      <w:sz w:val="21"/>
                      <w:szCs w:val="21"/>
                      <w:highlight w:val="none"/>
                      <w:u w:val="none"/>
                      <w:lang w:val="en-US" w:eastAsia="zh-CN" w:bidi="ar-SA"/>
                    </w:rPr>
                  </w:pPr>
                  <w:r>
                    <w:rPr>
                      <w:rFonts w:ascii="Times New Roman" w:hAnsi="Times New Roman" w:eastAsia="宋体" w:cs="Times New Roman"/>
                      <w:snapToGrid w:val="0"/>
                      <w:color w:val="auto"/>
                      <w:szCs w:val="21"/>
                      <w:highlight w:val="none"/>
                      <w:u w:val="none"/>
                    </w:rPr>
                    <w:t>4</w:t>
                  </w:r>
                </w:p>
              </w:tc>
              <w:tc>
                <w:tcPr>
                  <w:tcW w:w="643" w:type="pct"/>
                  <w:shd w:val="clear" w:color="auto" w:fill="auto"/>
                  <w:vAlign w:val="center"/>
                </w:tcPr>
                <w:p>
                  <w:pPr>
                    <w:pStyle w:val="70"/>
                    <w:rPr>
                      <w:rFonts w:ascii="Times New Roman" w:hAnsi="Times New Roman" w:eastAsia="宋体" w:cs="Times New Roman"/>
                      <w:color w:val="auto"/>
                      <w:kern w:val="0"/>
                      <w:szCs w:val="21"/>
                      <w:highlight w:val="none"/>
                      <w:u w:val="none"/>
                    </w:rPr>
                  </w:pPr>
                  <w:r>
                    <w:rPr>
                      <w:rFonts w:hint="eastAsia"/>
                      <w:color w:val="auto"/>
                      <w:highlight w:val="none"/>
                      <w:u w:val="none"/>
                      <w:lang w:val="en-US" w:eastAsia="zh-CN"/>
                    </w:rPr>
                    <w:t>污水处理站污泥</w:t>
                  </w:r>
                </w:p>
              </w:tc>
              <w:tc>
                <w:tcPr>
                  <w:tcW w:w="416" w:type="pct"/>
                  <w:vAlign w:val="center"/>
                </w:tcPr>
                <w:p>
                  <w:pPr>
                    <w:tabs>
                      <w:tab w:val="left" w:pos="0"/>
                    </w:tabs>
                    <w:adjustRightInd w:val="0"/>
                    <w:snapToGrid w:val="0"/>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eastAsia="宋体" w:cs="Times New Roman"/>
                      <w:snapToGrid w:val="0"/>
                      <w:color w:val="auto"/>
                      <w:szCs w:val="21"/>
                      <w:highlight w:val="none"/>
                      <w:u w:val="none"/>
                      <w:lang w:val="en-US" w:eastAsia="zh-CN"/>
                    </w:rPr>
                    <w:t>半固态</w:t>
                  </w:r>
                </w:p>
              </w:tc>
              <w:tc>
                <w:tcPr>
                  <w:tcW w:w="471" w:type="pct"/>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0.5</w:t>
                  </w:r>
                </w:p>
              </w:tc>
              <w:tc>
                <w:tcPr>
                  <w:tcW w:w="539" w:type="pct"/>
                  <w:vAlign w:val="center"/>
                </w:tcPr>
                <w:p>
                  <w:pPr>
                    <w:tabs>
                      <w:tab w:val="left" w:pos="0"/>
                    </w:tabs>
                    <w:adjustRightInd w:val="0"/>
                    <w:snapToGrid w:val="0"/>
                    <w:spacing w:line="240" w:lineRule="exact"/>
                    <w:jc w:val="center"/>
                    <w:rPr>
                      <w:rFonts w:hint="eastAsia" w:ascii="Times New Roman" w:hAnsi="Times New Roman" w:eastAsia="宋体" w:cs="Times New Roman"/>
                      <w:snapToGrid w:val="0"/>
                      <w:color w:val="auto"/>
                      <w:szCs w:val="21"/>
                      <w:highlight w:val="none"/>
                      <w:u w:val="none"/>
                    </w:rPr>
                  </w:pPr>
                  <w:r>
                    <w:rPr>
                      <w:rFonts w:hint="eastAsia" w:ascii="Times New Roman" w:hAnsi="Times New Roman" w:eastAsia="宋体" w:cs="Times New Roman"/>
                      <w:snapToGrid w:val="0"/>
                      <w:color w:val="auto"/>
                      <w:szCs w:val="21"/>
                      <w:highlight w:val="none"/>
                      <w:u w:val="none"/>
                      <w:lang w:val="en-US" w:eastAsia="zh-CN"/>
                    </w:rPr>
                    <w:t>1</w:t>
                  </w:r>
                  <w:r>
                    <w:rPr>
                      <w:rFonts w:hint="eastAsia" w:ascii="Times New Roman" w:hAnsi="Times New Roman" w:eastAsia="宋体" w:cs="Times New Roman"/>
                      <w:snapToGrid w:val="0"/>
                      <w:color w:val="auto"/>
                      <w:szCs w:val="21"/>
                      <w:highlight w:val="none"/>
                      <w:u w:val="none"/>
                    </w:rPr>
                    <w:t>个月</w:t>
                  </w:r>
                </w:p>
              </w:tc>
              <w:tc>
                <w:tcPr>
                  <w:tcW w:w="652" w:type="pct"/>
                  <w:tcBorders>
                    <w:bottom w:val="single" w:color="000000" w:sz="6" w:space="0"/>
                  </w:tcBorders>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snapToGrid w:val="0"/>
                      <w:color w:val="auto"/>
                      <w:szCs w:val="21"/>
                      <w:highlight w:val="none"/>
                      <w:u w:val="none"/>
                    </w:rPr>
                    <w:t>袋装</w:t>
                  </w:r>
                  <w:r>
                    <w:rPr>
                      <w:rFonts w:hint="eastAsia" w:ascii="Times New Roman" w:hAnsi="Times New Roman" w:eastAsia="宋体" w:cs="Times New Roman"/>
                      <w:snapToGrid w:val="0"/>
                      <w:color w:val="auto"/>
                      <w:szCs w:val="21"/>
                      <w:highlight w:val="none"/>
                      <w:u w:val="none"/>
                      <w:lang w:val="en-US" w:eastAsia="zh-CN"/>
                    </w:rPr>
                    <w:t>/下置</w:t>
                  </w:r>
                  <w:r>
                    <w:rPr>
                      <w:rFonts w:hint="eastAsia" w:ascii="Times New Roman" w:hAnsi="Times New Roman" w:cs="Times New Roman"/>
                      <w:snapToGrid w:val="0"/>
                      <w:color w:val="auto"/>
                      <w:szCs w:val="21"/>
                      <w:highlight w:val="none"/>
                      <w:u w:val="none"/>
                      <w:lang w:val="en-US" w:eastAsia="zh-CN"/>
                    </w:rPr>
                    <w:t>托盘</w:t>
                  </w:r>
                </w:p>
              </w:tc>
              <w:tc>
                <w:tcPr>
                  <w:tcW w:w="875" w:type="pct"/>
                  <w:vMerge w:val="continue"/>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p>
              </w:tc>
              <w:tc>
                <w:tcPr>
                  <w:tcW w:w="1197" w:type="pct"/>
                  <w:vAlign w:val="center"/>
                </w:tcPr>
                <w:p>
                  <w:pPr>
                    <w:tabs>
                      <w:tab w:val="left" w:pos="0"/>
                    </w:tabs>
                    <w:adjustRightInd w:val="0"/>
                    <w:snapToGrid w:val="0"/>
                    <w:spacing w:line="240" w:lineRule="exact"/>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eastAsia="宋体" w:cs="Times New Roman"/>
                      <w:snapToGrid w:val="0"/>
                      <w:color w:val="auto"/>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3" w:type="pct"/>
                  <w:shd w:val="clear" w:color="auto" w:fill="auto"/>
                  <w:vAlign w:val="center"/>
                </w:tcPr>
                <w:p>
                  <w:pPr>
                    <w:tabs>
                      <w:tab w:val="left" w:pos="0"/>
                    </w:tabs>
                    <w:adjustRightInd w:val="0"/>
                    <w:snapToGrid w:val="0"/>
                    <w:jc w:val="center"/>
                    <w:rPr>
                      <w:rFonts w:ascii="Times New Roman" w:hAnsi="Times New Roman" w:eastAsia="宋体" w:cs="Times New Roman"/>
                      <w:snapToGrid w:val="0"/>
                      <w:color w:val="auto"/>
                      <w:kern w:val="2"/>
                      <w:sz w:val="21"/>
                      <w:szCs w:val="21"/>
                      <w:highlight w:val="none"/>
                      <w:u w:val="none"/>
                      <w:lang w:val="en-US" w:eastAsia="zh-CN" w:bidi="ar-SA"/>
                    </w:rPr>
                  </w:pPr>
                  <w:r>
                    <w:rPr>
                      <w:rFonts w:hint="eastAsia" w:ascii="Times New Roman" w:hAnsi="Times New Roman" w:eastAsia="宋体" w:cs="Times New Roman"/>
                      <w:snapToGrid w:val="0"/>
                      <w:color w:val="auto"/>
                      <w:szCs w:val="21"/>
                      <w:highlight w:val="none"/>
                      <w:u w:val="none"/>
                      <w:lang w:val="en-US" w:eastAsia="zh-CN"/>
                    </w:rPr>
                    <w:t>5</w:t>
                  </w:r>
                </w:p>
              </w:tc>
              <w:tc>
                <w:tcPr>
                  <w:tcW w:w="643" w:type="pct"/>
                  <w:vAlign w:val="center"/>
                </w:tcPr>
                <w:p>
                  <w:pPr>
                    <w:pStyle w:val="70"/>
                    <w:rPr>
                      <w:rFonts w:hint="default" w:ascii="Times New Roman" w:hAnsi="Times New Roman" w:eastAsia="宋体" w:cs="Times New Roman"/>
                      <w:color w:val="auto"/>
                      <w:szCs w:val="21"/>
                      <w:highlight w:val="none"/>
                      <w:u w:val="none"/>
                      <w:lang w:val="en-US" w:bidi="ar"/>
                    </w:rPr>
                  </w:pPr>
                  <w:r>
                    <w:rPr>
                      <w:rFonts w:hint="eastAsia" w:cs="Times New Roman"/>
                      <w:snapToGrid w:val="0"/>
                      <w:color w:val="auto"/>
                      <w:kern w:val="2"/>
                      <w:sz w:val="21"/>
                      <w:szCs w:val="22"/>
                      <w:highlight w:val="none"/>
                      <w:u w:val="none"/>
                      <w:lang w:val="en-US" w:eastAsia="zh-CN" w:bidi="ar-SA"/>
                    </w:rPr>
                    <w:t>实验室废液</w:t>
                  </w:r>
                </w:p>
              </w:tc>
              <w:tc>
                <w:tcPr>
                  <w:tcW w:w="416" w:type="pct"/>
                  <w:vAlign w:val="center"/>
                </w:tcPr>
                <w:p>
                  <w:pPr>
                    <w:tabs>
                      <w:tab w:val="left" w:pos="0"/>
                    </w:tabs>
                    <w:adjustRightInd w:val="0"/>
                    <w:snapToGrid w:val="0"/>
                    <w:jc w:val="center"/>
                    <w:rPr>
                      <w:rFonts w:ascii="Times New Roman" w:hAnsi="Times New Roman" w:eastAsia="宋体" w:cs="Times New Roman"/>
                      <w:color w:val="auto"/>
                      <w:szCs w:val="21"/>
                      <w:highlight w:val="none"/>
                      <w:u w:val="none"/>
                    </w:rPr>
                  </w:pPr>
                  <w:r>
                    <w:rPr>
                      <w:rFonts w:ascii="Times New Roman" w:hAnsi="Times New Roman" w:eastAsia="宋体" w:cs="Times New Roman"/>
                      <w:snapToGrid w:val="0"/>
                      <w:color w:val="auto"/>
                      <w:szCs w:val="21"/>
                      <w:highlight w:val="none"/>
                      <w:u w:val="none"/>
                    </w:rPr>
                    <w:t>固</w:t>
                  </w:r>
                </w:p>
              </w:tc>
              <w:tc>
                <w:tcPr>
                  <w:tcW w:w="471" w:type="pct"/>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0.2</w:t>
                  </w:r>
                </w:p>
              </w:tc>
              <w:tc>
                <w:tcPr>
                  <w:tcW w:w="539" w:type="pct"/>
                  <w:vAlign w:val="center"/>
                </w:tcPr>
                <w:p>
                  <w:pPr>
                    <w:tabs>
                      <w:tab w:val="left" w:pos="0"/>
                    </w:tabs>
                    <w:adjustRightInd w:val="0"/>
                    <w:snapToGrid w:val="0"/>
                    <w:spacing w:line="240" w:lineRule="exact"/>
                    <w:jc w:val="center"/>
                    <w:rPr>
                      <w:rFonts w:ascii="Times New Roman" w:hAnsi="Times New Roman" w:eastAsia="宋体" w:cs="Times New Roman"/>
                      <w:color w:val="auto"/>
                      <w:szCs w:val="21"/>
                      <w:highlight w:val="none"/>
                      <w:u w:val="none"/>
                    </w:rPr>
                  </w:pPr>
                  <w:r>
                    <w:rPr>
                      <w:rFonts w:hint="eastAsia" w:ascii="Times New Roman" w:hAnsi="Times New Roman" w:eastAsia="宋体" w:cs="Times New Roman"/>
                      <w:snapToGrid w:val="0"/>
                      <w:color w:val="auto"/>
                      <w:szCs w:val="21"/>
                      <w:highlight w:val="none"/>
                      <w:u w:val="none"/>
                    </w:rPr>
                    <w:t>1个月</w:t>
                  </w:r>
                </w:p>
              </w:tc>
              <w:tc>
                <w:tcPr>
                  <w:tcW w:w="652" w:type="pct"/>
                  <w:vMerge w:val="restart"/>
                  <w:tcBorders>
                    <w:top w:val="single" w:color="000000" w:sz="6" w:space="0"/>
                  </w:tcBorders>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下置</w:t>
                  </w:r>
                  <w:r>
                    <w:rPr>
                      <w:rFonts w:hint="eastAsia" w:ascii="Times New Roman" w:hAnsi="Times New Roman" w:cs="Times New Roman"/>
                      <w:color w:val="auto"/>
                      <w:szCs w:val="21"/>
                      <w:highlight w:val="none"/>
                      <w:u w:val="none"/>
                      <w:lang w:val="en-US" w:eastAsia="zh-CN"/>
                    </w:rPr>
                    <w:t>托盘</w:t>
                  </w:r>
                </w:p>
              </w:tc>
              <w:tc>
                <w:tcPr>
                  <w:tcW w:w="875" w:type="pct"/>
                  <w:vMerge w:val="continue"/>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p>
              </w:tc>
              <w:tc>
                <w:tcPr>
                  <w:tcW w:w="1197" w:type="pct"/>
                  <w:vAlign w:val="center"/>
                </w:tcPr>
                <w:p>
                  <w:pPr>
                    <w:tabs>
                      <w:tab w:val="left" w:pos="0"/>
                    </w:tabs>
                    <w:adjustRightInd w:val="0"/>
                    <w:snapToGrid w:val="0"/>
                    <w:spacing w:line="240" w:lineRule="exact"/>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3" w:type="pct"/>
                  <w:shd w:val="clear" w:color="auto" w:fill="auto"/>
                  <w:vAlign w:val="center"/>
                </w:tcPr>
                <w:p>
                  <w:pPr>
                    <w:tabs>
                      <w:tab w:val="left" w:pos="0"/>
                    </w:tabs>
                    <w:adjustRightInd w:val="0"/>
                    <w:snapToGrid w:val="0"/>
                    <w:jc w:val="center"/>
                    <w:rPr>
                      <w:rFonts w:hint="default" w:ascii="Times New Roman" w:hAnsi="Times New Roman" w:eastAsia="宋体" w:cs="Times New Roman"/>
                      <w:snapToGrid w:val="0"/>
                      <w:color w:val="auto"/>
                      <w:kern w:val="2"/>
                      <w:sz w:val="21"/>
                      <w:szCs w:val="21"/>
                      <w:highlight w:val="none"/>
                      <w:u w:val="none"/>
                      <w:lang w:val="en-US" w:eastAsia="zh-CN" w:bidi="ar-SA"/>
                    </w:rPr>
                  </w:pPr>
                  <w:r>
                    <w:rPr>
                      <w:rFonts w:hint="eastAsia" w:ascii="Times New Roman" w:hAnsi="Times New Roman" w:eastAsia="宋体" w:cs="Times New Roman"/>
                      <w:snapToGrid w:val="0"/>
                      <w:color w:val="auto"/>
                      <w:szCs w:val="21"/>
                      <w:highlight w:val="none"/>
                      <w:u w:val="none"/>
                      <w:lang w:val="en-US" w:eastAsia="zh-CN"/>
                    </w:rPr>
                    <w:t>6</w:t>
                  </w:r>
                </w:p>
              </w:tc>
              <w:tc>
                <w:tcPr>
                  <w:tcW w:w="643" w:type="pct"/>
                  <w:vAlign w:val="center"/>
                </w:tcPr>
                <w:p>
                  <w:pPr>
                    <w:pStyle w:val="70"/>
                    <w:rPr>
                      <w:rFonts w:hint="default" w:cs="Times New Roman"/>
                      <w:snapToGrid w:val="0"/>
                      <w:color w:val="auto"/>
                      <w:kern w:val="2"/>
                      <w:sz w:val="21"/>
                      <w:szCs w:val="22"/>
                      <w:highlight w:val="none"/>
                      <w:u w:val="none"/>
                      <w:lang w:val="en-US" w:eastAsia="zh-CN" w:bidi="ar-SA"/>
                    </w:rPr>
                  </w:pPr>
                  <w:r>
                    <w:rPr>
                      <w:rFonts w:hint="eastAsia" w:cs="Times New Roman"/>
                      <w:snapToGrid w:val="0"/>
                      <w:color w:val="auto"/>
                      <w:kern w:val="2"/>
                      <w:sz w:val="21"/>
                      <w:szCs w:val="22"/>
                      <w:highlight w:val="none"/>
                      <w:u w:val="none"/>
                      <w:lang w:val="en-US" w:eastAsia="zh-CN" w:bidi="ar-SA"/>
                    </w:rPr>
                    <w:t>废硝酸瓶</w:t>
                  </w:r>
                </w:p>
              </w:tc>
              <w:tc>
                <w:tcPr>
                  <w:tcW w:w="416"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ascii="Times New Roman" w:hAnsi="Times New Roman" w:eastAsia="宋体" w:cs="Times New Roman"/>
                      <w:snapToGrid w:val="0"/>
                      <w:color w:val="auto"/>
                      <w:szCs w:val="21"/>
                      <w:highlight w:val="none"/>
                      <w:u w:val="none"/>
                    </w:rPr>
                    <w:t>固</w:t>
                  </w:r>
                </w:p>
              </w:tc>
              <w:tc>
                <w:tcPr>
                  <w:tcW w:w="471" w:type="pct"/>
                  <w:vAlign w:val="center"/>
                </w:tcPr>
                <w:p>
                  <w:pPr>
                    <w:tabs>
                      <w:tab w:val="left" w:pos="0"/>
                    </w:tabs>
                    <w:adjustRightInd w:val="0"/>
                    <w:snapToGrid w:val="0"/>
                    <w:spacing w:line="240" w:lineRule="exact"/>
                    <w:jc w:val="center"/>
                    <w:rPr>
                      <w:rFonts w:hint="default" w:ascii="Times New Roman" w:hAnsi="Times New Roman"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0.01</w:t>
                  </w:r>
                </w:p>
              </w:tc>
              <w:tc>
                <w:tcPr>
                  <w:tcW w:w="539" w:type="pct"/>
                  <w:vAlign w:val="center"/>
                </w:tcPr>
                <w:p>
                  <w:pPr>
                    <w:tabs>
                      <w:tab w:val="left" w:pos="0"/>
                    </w:tabs>
                    <w:adjustRightInd w:val="0"/>
                    <w:snapToGrid w:val="0"/>
                    <w:spacing w:line="240" w:lineRule="exact"/>
                    <w:jc w:val="center"/>
                    <w:rPr>
                      <w:rFonts w:hint="eastAsia" w:ascii="Times New Roman" w:hAnsi="Times New Roman" w:eastAsia="宋体" w:cs="Times New Roman"/>
                      <w:snapToGrid w:val="0"/>
                      <w:color w:val="auto"/>
                      <w:szCs w:val="21"/>
                      <w:highlight w:val="none"/>
                      <w:u w:val="none"/>
                    </w:rPr>
                  </w:pPr>
                  <w:r>
                    <w:rPr>
                      <w:rFonts w:hint="eastAsia" w:ascii="Times New Roman" w:hAnsi="Times New Roman" w:eastAsia="宋体" w:cs="Times New Roman"/>
                      <w:snapToGrid w:val="0"/>
                      <w:color w:val="auto"/>
                      <w:szCs w:val="21"/>
                      <w:highlight w:val="none"/>
                      <w:u w:val="none"/>
                    </w:rPr>
                    <w:t>1个月</w:t>
                  </w:r>
                </w:p>
              </w:tc>
              <w:tc>
                <w:tcPr>
                  <w:tcW w:w="652" w:type="pct"/>
                  <w:vMerge w:val="continue"/>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p>
              </w:tc>
              <w:tc>
                <w:tcPr>
                  <w:tcW w:w="875" w:type="pct"/>
                  <w:vMerge w:val="continue"/>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p>
              </w:tc>
              <w:tc>
                <w:tcPr>
                  <w:tcW w:w="1197" w:type="pct"/>
                  <w:vAlign w:val="center"/>
                </w:tcPr>
                <w:p>
                  <w:pPr>
                    <w:tabs>
                      <w:tab w:val="left" w:pos="0"/>
                    </w:tabs>
                    <w:adjustRightInd w:val="0"/>
                    <w:snapToGrid w:val="0"/>
                    <w:spacing w:line="240" w:lineRule="exact"/>
                    <w:jc w:val="center"/>
                    <w:rPr>
                      <w:rFonts w:hint="default" w:ascii="Times New Roman" w:hAnsi="Times New Roman"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3" w:type="pct"/>
                  <w:vAlign w:val="center"/>
                </w:tcPr>
                <w:p>
                  <w:pPr>
                    <w:tabs>
                      <w:tab w:val="left" w:pos="0"/>
                    </w:tabs>
                    <w:adjustRightInd w:val="0"/>
                    <w:snapToGrid w:val="0"/>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7</w:t>
                  </w:r>
                </w:p>
              </w:tc>
              <w:tc>
                <w:tcPr>
                  <w:tcW w:w="643" w:type="pct"/>
                  <w:vAlign w:val="center"/>
                </w:tcPr>
                <w:p>
                  <w:pPr>
                    <w:pStyle w:val="70"/>
                    <w:rPr>
                      <w:rFonts w:hint="default" w:cs="Times New Roman"/>
                      <w:snapToGrid w:val="0"/>
                      <w:color w:val="auto"/>
                      <w:kern w:val="2"/>
                      <w:sz w:val="21"/>
                      <w:szCs w:val="22"/>
                      <w:highlight w:val="none"/>
                      <w:u w:val="none"/>
                      <w:lang w:val="en-US" w:eastAsia="zh-CN" w:bidi="ar-SA"/>
                    </w:rPr>
                  </w:pPr>
                  <w:r>
                    <w:rPr>
                      <w:rFonts w:hint="eastAsia" w:cs="Times New Roman"/>
                      <w:snapToGrid w:val="0"/>
                      <w:color w:val="auto"/>
                      <w:kern w:val="2"/>
                      <w:sz w:val="21"/>
                      <w:szCs w:val="22"/>
                      <w:highlight w:val="none"/>
                      <w:u w:val="none"/>
                      <w:lang w:val="en-US" w:eastAsia="zh-CN" w:bidi="ar-SA"/>
                    </w:rPr>
                    <w:t>废包装桶</w:t>
                  </w:r>
                </w:p>
              </w:tc>
              <w:tc>
                <w:tcPr>
                  <w:tcW w:w="416"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r>
                    <w:rPr>
                      <w:rFonts w:ascii="Times New Roman" w:hAnsi="Times New Roman" w:eastAsia="宋体" w:cs="Times New Roman"/>
                      <w:snapToGrid w:val="0"/>
                      <w:color w:val="auto"/>
                      <w:szCs w:val="21"/>
                      <w:highlight w:val="none"/>
                      <w:u w:val="none"/>
                    </w:rPr>
                    <w:t>固</w:t>
                  </w:r>
                </w:p>
              </w:tc>
              <w:tc>
                <w:tcPr>
                  <w:tcW w:w="471" w:type="pct"/>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eastAsia="宋体" w:cs="Times New Roman"/>
                      <w:color w:val="auto"/>
                      <w:szCs w:val="21"/>
                      <w:highlight w:val="none"/>
                      <w:u w:val="none"/>
                      <w:lang w:val="en-US" w:eastAsia="zh-CN"/>
                    </w:rPr>
                    <w:t>0.2</w:t>
                  </w:r>
                </w:p>
              </w:tc>
              <w:tc>
                <w:tcPr>
                  <w:tcW w:w="539" w:type="pct"/>
                  <w:vAlign w:val="center"/>
                </w:tcPr>
                <w:p>
                  <w:pPr>
                    <w:tabs>
                      <w:tab w:val="left" w:pos="0"/>
                    </w:tabs>
                    <w:adjustRightInd w:val="0"/>
                    <w:snapToGrid w:val="0"/>
                    <w:spacing w:line="240" w:lineRule="exact"/>
                    <w:jc w:val="center"/>
                    <w:rPr>
                      <w:rFonts w:hint="eastAsia" w:ascii="Times New Roman" w:hAnsi="Times New Roman" w:eastAsia="宋体" w:cs="Times New Roman"/>
                      <w:snapToGrid w:val="0"/>
                      <w:color w:val="auto"/>
                      <w:szCs w:val="21"/>
                      <w:highlight w:val="none"/>
                      <w:u w:val="none"/>
                    </w:rPr>
                  </w:pPr>
                  <w:r>
                    <w:rPr>
                      <w:rFonts w:hint="eastAsia" w:ascii="Times New Roman" w:hAnsi="Times New Roman" w:eastAsia="宋体" w:cs="Times New Roman"/>
                      <w:snapToGrid w:val="0"/>
                      <w:color w:val="auto"/>
                      <w:szCs w:val="21"/>
                      <w:highlight w:val="none"/>
                      <w:u w:val="none"/>
                    </w:rPr>
                    <w:t>1个月</w:t>
                  </w:r>
                </w:p>
              </w:tc>
              <w:tc>
                <w:tcPr>
                  <w:tcW w:w="652" w:type="pct"/>
                  <w:vMerge w:val="continue"/>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p>
              </w:tc>
              <w:tc>
                <w:tcPr>
                  <w:tcW w:w="875" w:type="pct"/>
                  <w:vMerge w:val="continue"/>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p>
              </w:tc>
              <w:tc>
                <w:tcPr>
                  <w:tcW w:w="1197" w:type="pct"/>
                  <w:vAlign w:val="center"/>
                </w:tcPr>
                <w:p>
                  <w:pPr>
                    <w:tabs>
                      <w:tab w:val="left" w:pos="0"/>
                    </w:tabs>
                    <w:adjustRightInd w:val="0"/>
                    <w:snapToGrid w:val="0"/>
                    <w:spacing w:line="240" w:lineRule="exact"/>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eastAsia="宋体" w:cs="Times New Roman"/>
                      <w:snapToGrid w:val="0"/>
                      <w:color w:val="auto"/>
                      <w:szCs w:val="21"/>
                      <w:highlight w:val="none"/>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3" w:type="pct"/>
                  <w:vAlign w:val="center"/>
                </w:tcPr>
                <w:p>
                  <w:pPr>
                    <w:tabs>
                      <w:tab w:val="left" w:pos="0"/>
                    </w:tabs>
                    <w:adjustRightInd w:val="0"/>
                    <w:snapToGrid w:val="0"/>
                    <w:jc w:val="center"/>
                    <w:rPr>
                      <w:rFonts w:hint="default" w:ascii="Times New Roman" w:hAnsi="Times New Roman"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8</w:t>
                  </w:r>
                </w:p>
              </w:tc>
              <w:tc>
                <w:tcPr>
                  <w:tcW w:w="643" w:type="pct"/>
                  <w:vAlign w:val="center"/>
                </w:tcPr>
                <w:p>
                  <w:pPr>
                    <w:pStyle w:val="70"/>
                    <w:rPr>
                      <w:rFonts w:hint="default" w:cs="Times New Roman"/>
                      <w:snapToGrid w:val="0"/>
                      <w:color w:val="auto"/>
                      <w:kern w:val="2"/>
                      <w:sz w:val="21"/>
                      <w:szCs w:val="22"/>
                      <w:highlight w:val="none"/>
                      <w:u w:val="none"/>
                      <w:lang w:val="en-US" w:eastAsia="zh-CN" w:bidi="ar-SA"/>
                    </w:rPr>
                  </w:pPr>
                  <w:r>
                    <w:rPr>
                      <w:rFonts w:hint="eastAsia" w:cs="Times New Roman"/>
                      <w:snapToGrid w:val="0"/>
                      <w:color w:val="auto"/>
                      <w:kern w:val="2"/>
                      <w:sz w:val="21"/>
                      <w:szCs w:val="22"/>
                      <w:highlight w:val="none"/>
                      <w:u w:val="none"/>
                      <w:lang w:val="en-US" w:eastAsia="zh-CN" w:bidi="ar-SA"/>
                    </w:rPr>
                    <w:t>废金属屑（含切削液）</w:t>
                  </w:r>
                </w:p>
              </w:tc>
              <w:tc>
                <w:tcPr>
                  <w:tcW w:w="416" w:type="pct"/>
                  <w:vAlign w:val="center"/>
                </w:tcPr>
                <w:p>
                  <w:pPr>
                    <w:tabs>
                      <w:tab w:val="left" w:pos="0"/>
                    </w:tabs>
                    <w:adjustRightInd w:val="0"/>
                    <w:snapToGrid w:val="0"/>
                    <w:jc w:val="center"/>
                    <w:rPr>
                      <w:rFonts w:hint="eastAsia" w:ascii="Times New Roman" w:hAnsi="Times New Roman" w:eastAsia="宋体"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固</w:t>
                  </w:r>
                </w:p>
              </w:tc>
              <w:tc>
                <w:tcPr>
                  <w:tcW w:w="471" w:type="pct"/>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1</w:t>
                  </w:r>
                </w:p>
              </w:tc>
              <w:tc>
                <w:tcPr>
                  <w:tcW w:w="539" w:type="pct"/>
                  <w:vAlign w:val="center"/>
                </w:tcPr>
                <w:p>
                  <w:pPr>
                    <w:tabs>
                      <w:tab w:val="left" w:pos="0"/>
                    </w:tabs>
                    <w:adjustRightInd w:val="0"/>
                    <w:snapToGrid w:val="0"/>
                    <w:spacing w:line="240" w:lineRule="exact"/>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3个月</w:t>
                  </w:r>
                </w:p>
              </w:tc>
              <w:tc>
                <w:tcPr>
                  <w:tcW w:w="652" w:type="pct"/>
                  <w:vAlign w:val="center"/>
                </w:tcPr>
                <w:p>
                  <w:pPr>
                    <w:tabs>
                      <w:tab w:val="left" w:pos="0"/>
                    </w:tabs>
                    <w:adjustRightInd w:val="0"/>
                    <w:snapToGrid w:val="0"/>
                    <w:spacing w:line="240" w:lineRule="exact"/>
                    <w:jc w:val="center"/>
                    <w:rPr>
                      <w:rFonts w:hint="default" w:ascii="Times New Roman" w:hAnsi="Times New Roman" w:eastAsia="宋体" w:cs="Times New Roman"/>
                      <w:color w:val="auto"/>
                      <w:szCs w:val="21"/>
                      <w:highlight w:val="none"/>
                      <w:u w:val="none"/>
                      <w:lang w:val="en-US" w:eastAsia="zh-CN"/>
                    </w:rPr>
                  </w:pPr>
                  <w:r>
                    <w:rPr>
                      <w:rFonts w:hint="eastAsia" w:ascii="Times New Roman" w:hAnsi="Times New Roman" w:cs="Times New Roman"/>
                      <w:color w:val="auto"/>
                      <w:szCs w:val="21"/>
                      <w:highlight w:val="none"/>
                      <w:u w:val="none"/>
                      <w:lang w:val="en-US" w:eastAsia="zh-CN"/>
                    </w:rPr>
                    <w:t>下置托盘</w:t>
                  </w:r>
                </w:p>
              </w:tc>
              <w:tc>
                <w:tcPr>
                  <w:tcW w:w="875" w:type="pct"/>
                  <w:vMerge w:val="continue"/>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p>
              </w:tc>
              <w:tc>
                <w:tcPr>
                  <w:tcW w:w="1197" w:type="pct"/>
                  <w:vAlign w:val="center"/>
                </w:tcPr>
                <w:p>
                  <w:pPr>
                    <w:tabs>
                      <w:tab w:val="left" w:pos="0"/>
                    </w:tabs>
                    <w:adjustRightInd w:val="0"/>
                    <w:snapToGrid w:val="0"/>
                    <w:spacing w:line="240" w:lineRule="exact"/>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jc w:val="center"/>
              </w:trPr>
              <w:tc>
                <w:tcPr>
                  <w:tcW w:w="203" w:type="pct"/>
                  <w:vAlign w:val="center"/>
                </w:tcPr>
                <w:p>
                  <w:pPr>
                    <w:tabs>
                      <w:tab w:val="left" w:pos="0"/>
                    </w:tabs>
                    <w:adjustRightInd w:val="0"/>
                    <w:snapToGrid w:val="0"/>
                    <w:jc w:val="center"/>
                    <w:rPr>
                      <w:rFonts w:hint="eastAsia" w:ascii="Times New Roman" w:hAnsi="Times New Roman" w:eastAsia="宋体" w:cs="Times New Roman"/>
                      <w:snapToGrid w:val="0"/>
                      <w:color w:val="auto"/>
                      <w:szCs w:val="21"/>
                      <w:highlight w:val="none"/>
                      <w:u w:val="none"/>
                      <w:lang w:val="en-US" w:eastAsia="zh-CN"/>
                    </w:rPr>
                  </w:pPr>
                </w:p>
              </w:tc>
              <w:tc>
                <w:tcPr>
                  <w:tcW w:w="643" w:type="pct"/>
                  <w:vAlign w:val="center"/>
                </w:tcPr>
                <w:p>
                  <w:pPr>
                    <w:pStyle w:val="70"/>
                    <w:rPr>
                      <w:rFonts w:hint="default" w:cs="Times New Roman"/>
                      <w:snapToGrid w:val="0"/>
                      <w:color w:val="auto"/>
                      <w:kern w:val="2"/>
                      <w:sz w:val="21"/>
                      <w:szCs w:val="22"/>
                      <w:highlight w:val="none"/>
                      <w:u w:val="none"/>
                      <w:lang w:val="en-US" w:eastAsia="zh-CN" w:bidi="ar-SA"/>
                    </w:rPr>
                  </w:pPr>
                  <w:r>
                    <w:rPr>
                      <w:rFonts w:hint="eastAsia" w:cs="Times New Roman"/>
                      <w:snapToGrid w:val="0"/>
                      <w:color w:val="auto"/>
                      <w:kern w:val="2"/>
                      <w:sz w:val="21"/>
                      <w:szCs w:val="22"/>
                      <w:highlight w:val="none"/>
                      <w:u w:val="none"/>
                      <w:lang w:val="en-US" w:eastAsia="zh-CN" w:bidi="ar-SA"/>
                    </w:rPr>
                    <w:t>合计</w:t>
                  </w:r>
                </w:p>
              </w:tc>
              <w:tc>
                <w:tcPr>
                  <w:tcW w:w="416"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p>
              </w:tc>
              <w:tc>
                <w:tcPr>
                  <w:tcW w:w="471" w:type="pct"/>
                  <w:vAlign w:val="center"/>
                </w:tcPr>
                <w:p>
                  <w:pPr>
                    <w:tabs>
                      <w:tab w:val="left" w:pos="0"/>
                    </w:tabs>
                    <w:adjustRightInd w:val="0"/>
                    <w:snapToGrid w:val="0"/>
                    <w:spacing w:line="240" w:lineRule="exact"/>
                    <w:jc w:val="center"/>
                    <w:rPr>
                      <w:rFonts w:hint="eastAsia" w:ascii="Times New Roman" w:hAnsi="Times New Roman" w:eastAsia="宋体" w:cs="Times New Roman"/>
                      <w:color w:val="auto"/>
                      <w:szCs w:val="21"/>
                      <w:highlight w:val="none"/>
                      <w:u w:val="none"/>
                      <w:lang w:val="en-US" w:eastAsia="zh-CN"/>
                    </w:rPr>
                  </w:pPr>
                </w:p>
              </w:tc>
              <w:tc>
                <w:tcPr>
                  <w:tcW w:w="539" w:type="pct"/>
                  <w:vAlign w:val="center"/>
                </w:tcPr>
                <w:p>
                  <w:pPr>
                    <w:tabs>
                      <w:tab w:val="left" w:pos="0"/>
                    </w:tabs>
                    <w:adjustRightInd w:val="0"/>
                    <w:snapToGrid w:val="0"/>
                    <w:spacing w:line="240" w:lineRule="exact"/>
                    <w:jc w:val="center"/>
                    <w:rPr>
                      <w:rFonts w:hint="eastAsia" w:ascii="Times New Roman" w:hAnsi="Times New Roman" w:eastAsia="宋体" w:cs="Times New Roman"/>
                      <w:snapToGrid w:val="0"/>
                      <w:color w:val="auto"/>
                      <w:szCs w:val="21"/>
                      <w:highlight w:val="none"/>
                      <w:u w:val="none"/>
                    </w:rPr>
                  </w:pPr>
                </w:p>
              </w:tc>
              <w:tc>
                <w:tcPr>
                  <w:tcW w:w="652" w:type="pct"/>
                  <w:vAlign w:val="center"/>
                </w:tcPr>
                <w:p>
                  <w:pPr>
                    <w:tabs>
                      <w:tab w:val="left" w:pos="0"/>
                    </w:tabs>
                    <w:adjustRightInd w:val="0"/>
                    <w:snapToGrid w:val="0"/>
                    <w:spacing w:line="240" w:lineRule="exact"/>
                    <w:jc w:val="center"/>
                    <w:rPr>
                      <w:rFonts w:hint="eastAsia" w:ascii="Times New Roman" w:hAnsi="Times New Roman" w:eastAsia="宋体" w:cs="Times New Roman"/>
                      <w:snapToGrid w:val="0"/>
                      <w:color w:val="auto"/>
                      <w:szCs w:val="21"/>
                      <w:highlight w:val="none"/>
                      <w:u w:val="none"/>
                    </w:rPr>
                  </w:pPr>
                </w:p>
              </w:tc>
              <w:tc>
                <w:tcPr>
                  <w:tcW w:w="875" w:type="pct"/>
                  <w:vAlign w:val="center"/>
                </w:tcPr>
                <w:p>
                  <w:pPr>
                    <w:tabs>
                      <w:tab w:val="left" w:pos="0"/>
                    </w:tabs>
                    <w:adjustRightInd w:val="0"/>
                    <w:snapToGrid w:val="0"/>
                    <w:jc w:val="center"/>
                    <w:rPr>
                      <w:rFonts w:ascii="Times New Roman" w:hAnsi="Times New Roman" w:eastAsia="宋体" w:cs="Times New Roman"/>
                      <w:snapToGrid w:val="0"/>
                      <w:color w:val="auto"/>
                      <w:szCs w:val="21"/>
                      <w:highlight w:val="none"/>
                      <w:u w:val="none"/>
                    </w:rPr>
                  </w:pPr>
                </w:p>
              </w:tc>
              <w:tc>
                <w:tcPr>
                  <w:tcW w:w="1197" w:type="pct"/>
                  <w:vAlign w:val="center"/>
                </w:tcPr>
                <w:p>
                  <w:pPr>
                    <w:tabs>
                      <w:tab w:val="left" w:pos="0"/>
                    </w:tabs>
                    <w:adjustRightInd w:val="0"/>
                    <w:snapToGrid w:val="0"/>
                    <w:spacing w:line="240" w:lineRule="exact"/>
                    <w:jc w:val="center"/>
                    <w:rPr>
                      <w:rFonts w:hint="default" w:ascii="Times New Roman" w:hAnsi="Times New Roman" w:eastAsia="宋体" w:cs="Times New Roman"/>
                      <w:snapToGrid w:val="0"/>
                      <w:color w:val="auto"/>
                      <w:szCs w:val="21"/>
                      <w:highlight w:val="none"/>
                      <w:u w:val="none"/>
                      <w:lang w:val="en-US" w:eastAsia="zh-CN"/>
                    </w:rPr>
                  </w:pPr>
                  <w:r>
                    <w:rPr>
                      <w:rFonts w:hint="eastAsia" w:ascii="Times New Roman" w:hAnsi="Times New Roman" w:cs="Times New Roman"/>
                      <w:snapToGrid w:val="0"/>
                      <w:color w:val="auto"/>
                      <w:szCs w:val="21"/>
                      <w:highlight w:val="none"/>
                      <w:u w:val="none"/>
                      <w:lang w:val="en-US" w:eastAsia="zh-CN"/>
                    </w:rPr>
                    <w:t>11</w:t>
                  </w:r>
                </w:p>
              </w:tc>
            </w:tr>
          </w:tbl>
          <w:p>
            <w:pPr>
              <w:adjustRightInd w:val="0"/>
              <w:snapToGrid w:val="0"/>
              <w:spacing w:line="360" w:lineRule="auto"/>
              <w:ind w:firstLine="480" w:firstLineChars="200"/>
              <w:rPr>
                <w:rFonts w:hint="eastAsia"/>
                <w:color w:val="auto"/>
                <w:sz w:val="24"/>
                <w:szCs w:val="24"/>
                <w:highlight w:val="none"/>
                <w:lang w:val="en-US" w:eastAsia="zh-CN"/>
              </w:rPr>
            </w:pP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lang w:val="en-US" w:eastAsia="zh-CN"/>
              </w:rPr>
              <w:t>企业应</w:t>
            </w:r>
            <w:r>
              <w:rPr>
                <w:color w:val="auto"/>
                <w:sz w:val="24"/>
                <w:szCs w:val="24"/>
                <w:highlight w:val="none"/>
              </w:rPr>
              <w:t>按照《危险废物贮存污染控制标准》（GB18597-2023）有关规定，对厂内危险废物的贮存和转移台账管理，实行从固体废物的产生到处理、处置的全过程监督管理原则，包括对固体废物的产生、收集、运输、利用、贮存、处理、处置等环节，最终委托有资质的危废处置单位进行安全处</w:t>
            </w:r>
            <w:r>
              <w:rPr>
                <w:rFonts w:ascii="Times New Roman" w:hAnsi="Times New Roman" w:eastAsia="宋体" w:cs="Times New Roman"/>
                <w:color w:val="auto"/>
                <w:sz w:val="24"/>
                <w:szCs w:val="24"/>
                <w:highlight w:val="none"/>
              </w:rPr>
              <w:t>置。</w:t>
            </w:r>
            <w:r>
              <w:rPr>
                <w:rFonts w:hint="eastAsia" w:ascii="Times New Roman" w:hAnsi="Times New Roman" w:eastAsia="宋体" w:cs="Times New Roman"/>
                <w:color w:val="auto"/>
                <w:sz w:val="24"/>
                <w:szCs w:val="24"/>
                <w:highlight w:val="none"/>
                <w:lang w:val="en-US" w:eastAsia="zh-CN"/>
              </w:rPr>
              <w:t>贮存设施污染控制要求应符合</w:t>
            </w:r>
            <w:r>
              <w:rPr>
                <w:rFonts w:hint="eastAsia" w:ascii="Times New Roman" w:hAnsi="Times New Roman" w:eastAsia="宋体" w:cs="Times New Roman"/>
                <w:color w:val="auto"/>
                <w:sz w:val="24"/>
                <w:szCs w:val="24"/>
                <w:highlight w:val="none"/>
              </w:rPr>
              <w:t>《危险废物贮存污染控制标准》（GB18597-2023）</w:t>
            </w:r>
            <w:r>
              <w:rPr>
                <w:rFonts w:hint="eastAsia" w:ascii="Times New Roman" w:hAnsi="Times New Roman" w:eastAsia="宋体" w:cs="Times New Roman"/>
                <w:color w:val="auto"/>
                <w:sz w:val="24"/>
                <w:szCs w:val="24"/>
                <w:highlight w:val="none"/>
                <w:lang w:val="en-US" w:eastAsia="zh-CN"/>
              </w:rPr>
              <w:t>要求，具体如下</w:t>
            </w:r>
            <w:r>
              <w:rPr>
                <w:rFonts w:ascii="Times New Roman" w:hAnsi="Times New Roman" w:eastAsia="宋体" w:cs="Times New Roman"/>
                <w:color w:val="auto"/>
                <w:sz w:val="24"/>
                <w:szCs w:val="24"/>
                <w:highlight w:val="none"/>
              </w:rPr>
              <w:t>：</w:t>
            </w:r>
          </w:p>
          <w:p>
            <w:pPr>
              <w:adjustRightInd w:val="0"/>
              <w:snapToGrid w:val="0"/>
              <w:spacing w:line="360" w:lineRule="auto"/>
              <w:ind w:firstLine="422" w:firstLineChars="200"/>
              <w:jc w:val="center"/>
              <w:rPr>
                <w:rFonts w:hint="eastAsia"/>
                <w:b/>
                <w:bCs/>
                <w:color w:val="auto"/>
                <w:sz w:val="21"/>
                <w:szCs w:val="21"/>
                <w:highlight w:val="none"/>
                <w:lang w:val="en-US" w:eastAsia="zh-CN"/>
              </w:rPr>
            </w:pPr>
            <w:r>
              <w:rPr>
                <w:rFonts w:hint="eastAsia"/>
                <w:b/>
                <w:bCs/>
                <w:color w:val="auto"/>
                <w:sz w:val="21"/>
                <w:szCs w:val="21"/>
                <w:highlight w:val="none"/>
                <w:lang w:val="en-US" w:eastAsia="zh-CN"/>
              </w:rPr>
              <w:t>表4.5.4 危险废物贮存设施污染控制要求</w:t>
            </w:r>
          </w:p>
          <w:tbl>
            <w:tblPr>
              <w:tblStyle w:val="29"/>
              <w:tblW w:w="7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5762"/>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序号</w:t>
                  </w:r>
                </w:p>
              </w:tc>
              <w:tc>
                <w:tcPr>
                  <w:tcW w:w="5762" w:type="dxa"/>
                  <w:tcBorders>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《危险废物贮存污染控制标准》（GB18597-2023）有关规定</w:t>
                  </w:r>
                </w:p>
              </w:tc>
              <w:tc>
                <w:tcPr>
                  <w:tcW w:w="1585" w:type="dxa"/>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1</w:t>
                  </w:r>
                </w:p>
              </w:tc>
              <w:tc>
                <w:tcPr>
                  <w:tcW w:w="5762" w:type="dxa"/>
                  <w:tcBorders>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贮存设施应根据危险废物的形态、物理化学性质、包装形式和污染物迁移途径，采取必要的防风、防晒、防雨、防漏、防渗、防腐以及其他环境污染防治措施，不应露天堆放危险废物。</w:t>
                  </w:r>
                </w:p>
              </w:tc>
              <w:tc>
                <w:tcPr>
                  <w:tcW w:w="1585" w:type="dxa"/>
                  <w:vMerge w:val="restart"/>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rPr>
                  </w:pPr>
                  <w:r>
                    <w:rPr>
                      <w:rFonts w:hint="eastAsia" w:ascii="宋体" w:hAnsi="宋体" w:cs="宋体"/>
                      <w:color w:val="auto"/>
                      <w:sz w:val="18"/>
                      <w:szCs w:val="18"/>
                      <w:highlight w:val="none"/>
                      <w:lang w:val="en-US" w:eastAsia="zh-CN"/>
                    </w:rPr>
                    <w:t>按要求建设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2</w:t>
                  </w:r>
                </w:p>
              </w:tc>
              <w:tc>
                <w:tcPr>
                  <w:tcW w:w="5762" w:type="dxa"/>
                  <w:tcBorders>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贮存设施应根据危险废物的类别、数量、形态、物理化学性质和污染防治等要求设置必要的贮存分区，避免不相容的危险废物接触、混合</w:t>
                  </w:r>
                </w:p>
              </w:tc>
              <w:tc>
                <w:tcPr>
                  <w:tcW w:w="1585" w:type="dxa"/>
                  <w:vMerge w:val="continue"/>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3</w:t>
                  </w:r>
                </w:p>
              </w:tc>
              <w:tc>
                <w:tcPr>
                  <w:tcW w:w="5762" w:type="dxa"/>
                  <w:tcBorders>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贮存设施或贮存分区内地面、墙面裙脚、堵截泄漏的围堰、接触危险废物的隔板和墙体等应采用坚固的材料建造，表面无裂缝</w:t>
                  </w:r>
                </w:p>
              </w:tc>
              <w:tc>
                <w:tcPr>
                  <w:tcW w:w="1585" w:type="dxa"/>
                  <w:vMerge w:val="continue"/>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4</w:t>
                  </w:r>
                </w:p>
              </w:tc>
              <w:tc>
                <w:tcPr>
                  <w:tcW w:w="5762" w:type="dxa"/>
                  <w:tcBorders>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贮存设施地面与裙脚应采取表面防渗措施；表面防渗材料应与所接触的物料或污染物相容，可 采用抗渗混凝土、高密度聚乙烯膜、钠基膨润土防水毯或其他防渗性能等效的材料。贮存的危险废物直接接触地面的，还应进行基础防渗，防渗层为至少 1 m 厚黏土层（渗透系数不大于 10</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vertAlign w:val="superscript"/>
                    </w:rPr>
                    <w:t>7</w:t>
                  </w:r>
                  <w:r>
                    <w:rPr>
                      <w:rFonts w:hint="eastAsia" w:ascii="宋体" w:hAnsi="宋体" w:eastAsia="宋体" w:cs="宋体"/>
                      <w:color w:val="auto"/>
                      <w:sz w:val="18"/>
                      <w:szCs w:val="18"/>
                      <w:highlight w:val="none"/>
                    </w:rPr>
                    <w:t>cm/s），或至少2mm 厚高密度聚乙烯膜等人工防渗材料（渗透系数不大于10</w:t>
                  </w:r>
                  <w:r>
                    <w:rPr>
                      <w:rFonts w:hint="eastAsia" w:ascii="宋体" w:hAnsi="宋体" w:eastAsia="宋体" w:cs="宋体"/>
                      <w:color w:val="auto"/>
                      <w:sz w:val="18"/>
                      <w:szCs w:val="18"/>
                      <w:highlight w:val="none"/>
                      <w:vertAlign w:val="superscript"/>
                    </w:rPr>
                    <w:t>-10</w:t>
                  </w:r>
                  <w:r>
                    <w:rPr>
                      <w:rFonts w:hint="eastAsia" w:ascii="宋体" w:hAnsi="宋体" w:eastAsia="宋体" w:cs="宋体"/>
                      <w:color w:val="auto"/>
                      <w:sz w:val="18"/>
                      <w:szCs w:val="18"/>
                      <w:highlight w:val="none"/>
                    </w:rPr>
                    <w:t xml:space="preserve"> cm/s），或其他防渗性能等效的材料。</w:t>
                  </w:r>
                </w:p>
              </w:tc>
              <w:tc>
                <w:tcPr>
                  <w:tcW w:w="1585" w:type="dxa"/>
                  <w:vMerge w:val="continue"/>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5</w:t>
                  </w:r>
                </w:p>
              </w:tc>
              <w:tc>
                <w:tcPr>
                  <w:tcW w:w="5762" w:type="dxa"/>
                  <w:tcBorders>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1585" w:type="dxa"/>
                  <w:vMerge w:val="continue"/>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6</w:t>
                  </w:r>
                </w:p>
              </w:tc>
              <w:tc>
                <w:tcPr>
                  <w:tcW w:w="5762" w:type="dxa"/>
                  <w:tcBorders>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贮存设施应采取技术和管理措施防止无关人员进入</w:t>
                  </w:r>
                </w:p>
              </w:tc>
              <w:tc>
                <w:tcPr>
                  <w:tcW w:w="1585" w:type="dxa"/>
                  <w:vMerge w:val="continue"/>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7</w:t>
                  </w:r>
                </w:p>
              </w:tc>
              <w:tc>
                <w:tcPr>
                  <w:tcW w:w="5762" w:type="dxa"/>
                  <w:tcBorders>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rPr>
                    <w:t>贮存库内不同贮存分区之间应采取隔离措施。隔离措施可根据危险废物特性采用过道、隔板或隔墙等方式。</w:t>
                  </w:r>
                </w:p>
              </w:tc>
              <w:tc>
                <w:tcPr>
                  <w:tcW w:w="1585" w:type="dxa"/>
                  <w:vMerge w:val="continue"/>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8</w:t>
                  </w:r>
                </w:p>
              </w:tc>
              <w:tc>
                <w:tcPr>
                  <w:tcW w:w="5762" w:type="dxa"/>
                  <w:tcBorders>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tc>
              <w:tc>
                <w:tcPr>
                  <w:tcW w:w="1585" w:type="dxa"/>
                  <w:vMerge w:val="continue"/>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9</w:t>
                  </w:r>
                </w:p>
              </w:tc>
              <w:tc>
                <w:tcPr>
                  <w:tcW w:w="5762" w:type="dxa"/>
                  <w:tcBorders>
                    <w:righ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贮存易产生粉尘、VOCs、酸雾、有毒有害大气污染物和刺激性气味气体的危险废物贮存库，应设置气体收集装置和气体净化设施</w:t>
                  </w:r>
                  <w:r>
                    <w:rPr>
                      <w:rFonts w:hint="eastAsia" w:ascii="宋体" w:hAnsi="宋体" w:cs="宋体"/>
                      <w:color w:val="auto"/>
                      <w:sz w:val="18"/>
                      <w:szCs w:val="18"/>
                      <w:highlight w:val="none"/>
                      <w:lang w:eastAsia="zh-CN"/>
                    </w:rPr>
                    <w:t>；</w:t>
                  </w:r>
                  <w:r>
                    <w:rPr>
                      <w:rFonts w:hint="eastAsia" w:ascii="宋体" w:hAnsi="宋体" w:eastAsia="宋体" w:cs="宋体"/>
                      <w:color w:val="auto"/>
                      <w:sz w:val="18"/>
                      <w:szCs w:val="18"/>
                      <w:highlight w:val="none"/>
                    </w:rPr>
                    <w:t>气体净化设施的排气筒高度应符合GB 16297要求。</w:t>
                  </w:r>
                </w:p>
              </w:tc>
              <w:tc>
                <w:tcPr>
                  <w:tcW w:w="1585" w:type="dxa"/>
                  <w:tcBorders>
                    <w:left w:val="single" w:color="000000"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本项目暂存的危废属于废矿物油、切削液、污泥等，不会产生有</w:t>
                  </w:r>
                  <w:r>
                    <w:rPr>
                      <w:rFonts w:hint="eastAsia" w:ascii="宋体" w:hAnsi="宋体" w:eastAsia="宋体" w:cs="宋体"/>
                      <w:color w:val="auto"/>
                      <w:sz w:val="18"/>
                      <w:szCs w:val="18"/>
                      <w:highlight w:val="none"/>
                    </w:rPr>
                    <w:t>毒有害大气污染物和刺激性气味气体</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因此，未设置排气筒</w:t>
                  </w:r>
                </w:p>
              </w:tc>
            </w:tr>
          </w:tbl>
          <w:p>
            <w:pPr>
              <w:pStyle w:val="72"/>
              <w:ind w:firstLine="480"/>
              <w:rPr>
                <w:rFonts w:hint="eastAsia"/>
                <w:color w:val="auto"/>
                <w:highlight w:val="none"/>
                <w:lang w:val="en-US" w:eastAsia="zh-CN"/>
              </w:rPr>
            </w:pPr>
            <w:r>
              <w:rPr>
                <w:rFonts w:hint="eastAsia"/>
                <w:color w:val="auto"/>
                <w:highlight w:val="none"/>
                <w:lang w:val="en-US" w:eastAsia="zh-CN"/>
              </w:rPr>
              <w:t>③生活垃圾</w:t>
            </w:r>
          </w:p>
          <w:p>
            <w:pPr>
              <w:pStyle w:val="72"/>
              <w:ind w:firstLine="480"/>
              <w:rPr>
                <w:rFonts w:hint="default"/>
                <w:color w:val="auto"/>
                <w:highlight w:val="none"/>
                <w:lang w:val="en-US" w:eastAsia="zh-CN"/>
              </w:rPr>
            </w:pPr>
            <w:r>
              <w:rPr>
                <w:rFonts w:hint="default"/>
                <w:color w:val="auto"/>
                <w:highlight w:val="none"/>
                <w:lang w:val="en-US" w:eastAsia="zh-CN"/>
              </w:rPr>
              <w:t>厂区设置垃圾桶，生活垃圾由环卫部门统一外运处置。</w:t>
            </w:r>
          </w:p>
          <w:p>
            <w:pPr>
              <w:pStyle w:val="72"/>
              <w:ind w:firstLine="480"/>
              <w:rPr>
                <w:rFonts w:hint="default"/>
                <w:color w:val="auto"/>
                <w:highlight w:val="none"/>
                <w:lang w:val="en-US" w:eastAsia="zh-CN"/>
              </w:rPr>
            </w:pPr>
            <w:r>
              <w:rPr>
                <w:rFonts w:hint="eastAsia"/>
                <w:color w:val="auto"/>
                <w:highlight w:val="none"/>
              </w:rPr>
              <w:t>综上，通过以上措施，可使项目固体废物得到及时、妥善</w:t>
            </w:r>
            <w:r>
              <w:rPr>
                <w:rFonts w:hint="eastAsia"/>
                <w:color w:val="auto"/>
                <w:highlight w:val="none"/>
                <w:lang w:eastAsia="zh-CN"/>
              </w:rPr>
              <w:t>地</w:t>
            </w:r>
            <w:r>
              <w:rPr>
                <w:rFonts w:hint="eastAsia"/>
                <w:color w:val="auto"/>
                <w:highlight w:val="none"/>
              </w:rPr>
              <w:t>处理和处置，不会对周围环境造成影响。</w:t>
            </w:r>
          </w:p>
          <w:p>
            <w:pPr>
              <w:pStyle w:val="72"/>
              <w:ind w:firstLine="0" w:firstLineChars="0"/>
              <w:rPr>
                <w:b/>
                <w:bCs/>
                <w:color w:val="auto"/>
                <w:highlight w:val="none"/>
              </w:rPr>
            </w:pPr>
            <w:r>
              <w:rPr>
                <w:rFonts w:hint="eastAsia"/>
                <w:b/>
                <w:bCs/>
                <w:color w:val="auto"/>
                <w:highlight w:val="none"/>
                <w:lang w:val="en-US" w:eastAsia="zh-CN"/>
              </w:rPr>
              <w:t>4.6</w:t>
            </w:r>
            <w:r>
              <w:rPr>
                <w:rFonts w:hint="eastAsia"/>
                <w:b/>
                <w:bCs/>
                <w:color w:val="auto"/>
                <w:highlight w:val="none"/>
              </w:rPr>
              <w:t>地下水、土壤环境影响和保护措施</w:t>
            </w:r>
          </w:p>
          <w:p>
            <w:pPr>
              <w:pStyle w:val="72"/>
              <w:ind w:firstLine="480"/>
              <w:rPr>
                <w:color w:val="auto"/>
                <w:highlight w:val="none"/>
              </w:rPr>
            </w:pPr>
            <w:r>
              <w:rPr>
                <w:rFonts w:hint="eastAsia"/>
                <w:color w:val="auto"/>
                <w:highlight w:val="none"/>
              </w:rPr>
              <w:t>（1）地下水</w:t>
            </w:r>
          </w:p>
          <w:p>
            <w:pPr>
              <w:pStyle w:val="72"/>
              <w:ind w:firstLine="480"/>
              <w:rPr>
                <w:color w:val="auto"/>
                <w:highlight w:val="none"/>
              </w:rPr>
            </w:pPr>
            <w:r>
              <w:rPr>
                <w:rFonts w:hint="eastAsia"/>
                <w:color w:val="auto"/>
                <w:highlight w:val="none"/>
              </w:rPr>
              <w:t>根据《环境影响评价导则地下水环境》（HJ610-2016），本项目属于“K机械电子-82、半导体材料、电子陶瓷、有机薄膜、荧光粉、贵金属粉等电子专用材料”为</w:t>
            </w:r>
            <w:r>
              <w:rPr>
                <w:color w:val="auto"/>
                <w:highlight w:val="none"/>
              </w:rPr>
              <w:t>Ⅳ</w:t>
            </w:r>
            <w:r>
              <w:rPr>
                <w:rFonts w:hint="eastAsia"/>
                <w:color w:val="auto"/>
                <w:highlight w:val="none"/>
              </w:rPr>
              <w:t>类建设项目。根据导则，</w:t>
            </w:r>
            <w:r>
              <w:rPr>
                <w:color w:val="auto"/>
                <w:highlight w:val="none"/>
              </w:rPr>
              <w:t>Ⅳ</w:t>
            </w:r>
            <w:r>
              <w:rPr>
                <w:rFonts w:hint="eastAsia"/>
                <w:color w:val="auto"/>
                <w:highlight w:val="none"/>
              </w:rPr>
              <w:t>类建设项目不开展地下水环境影响评价，故本项目无需开展地下水环境影响分析。</w:t>
            </w:r>
          </w:p>
          <w:p>
            <w:pPr>
              <w:pStyle w:val="72"/>
              <w:ind w:firstLine="480"/>
              <w:rPr>
                <w:color w:val="auto"/>
                <w:highlight w:val="none"/>
              </w:rPr>
            </w:pPr>
            <w:r>
              <w:rPr>
                <w:rFonts w:hint="eastAsia"/>
                <w:color w:val="auto"/>
                <w:highlight w:val="none"/>
              </w:rPr>
              <w:t>（2）土壤</w:t>
            </w:r>
          </w:p>
          <w:p>
            <w:pPr>
              <w:pStyle w:val="72"/>
              <w:ind w:firstLine="480"/>
              <w:rPr>
                <w:color w:val="auto"/>
                <w:highlight w:val="none"/>
              </w:rPr>
            </w:pPr>
            <w:r>
              <w:rPr>
                <w:rFonts w:hint="eastAsia"/>
                <w:color w:val="auto"/>
                <w:highlight w:val="none"/>
              </w:rPr>
              <w:t>根据《环境影响评价技术导则土壤环境（试行）》（HJ964-2018）可知，本项目所属行业为其他类，生产过程不涉及污染途径，土壤环境影响评价项目类别为</w:t>
            </w:r>
            <w:r>
              <w:rPr>
                <w:color w:val="auto"/>
                <w:highlight w:val="none"/>
              </w:rPr>
              <w:t>Ⅳ</w:t>
            </w:r>
            <w:r>
              <w:rPr>
                <w:rFonts w:hint="eastAsia"/>
                <w:color w:val="auto"/>
                <w:highlight w:val="none"/>
              </w:rPr>
              <w:t>类。根据导则第4.2.2节，</w:t>
            </w:r>
            <w:r>
              <w:rPr>
                <w:color w:val="auto"/>
                <w:highlight w:val="none"/>
              </w:rPr>
              <w:t>Ⅳ</w:t>
            </w:r>
            <w:r>
              <w:rPr>
                <w:rFonts w:hint="eastAsia"/>
                <w:color w:val="auto"/>
                <w:highlight w:val="none"/>
              </w:rPr>
              <w:t>类建设项目可不开展土壤环境影响评价。</w:t>
            </w:r>
          </w:p>
          <w:p>
            <w:pPr>
              <w:pStyle w:val="72"/>
              <w:ind w:firstLine="480"/>
              <w:rPr>
                <w:color w:val="auto"/>
                <w:highlight w:val="none"/>
              </w:rPr>
            </w:pPr>
            <w:r>
              <w:rPr>
                <w:rFonts w:hint="eastAsia"/>
                <w:color w:val="auto"/>
                <w:highlight w:val="none"/>
              </w:rPr>
              <w:t>（3）保护措施</w:t>
            </w:r>
          </w:p>
          <w:p>
            <w:pPr>
              <w:pStyle w:val="72"/>
              <w:ind w:firstLine="480"/>
              <w:rPr>
                <w:color w:val="auto"/>
                <w:highlight w:val="none"/>
              </w:rPr>
            </w:pPr>
            <w:r>
              <w:rPr>
                <w:rFonts w:hint="eastAsia"/>
                <w:color w:val="auto"/>
                <w:highlight w:val="none"/>
              </w:rPr>
              <w:t>本项目</w:t>
            </w:r>
            <w:r>
              <w:rPr>
                <w:rFonts w:hint="eastAsia"/>
                <w:color w:val="auto"/>
                <w:highlight w:val="none"/>
                <w:lang w:val="en-US" w:eastAsia="zh-CN"/>
              </w:rPr>
              <w:t>酒精仅在清洁过程有极少量使用，矿物油、切削液仅在靶材机加工工序使用，废油、切削液收集后按危险废物处理。生产车间地面均采取硬化处理，因此</w:t>
            </w:r>
            <w:r>
              <w:rPr>
                <w:rFonts w:hint="eastAsia"/>
                <w:color w:val="auto"/>
                <w:highlight w:val="none"/>
              </w:rPr>
              <w:t>生产工艺过程基本不会有土壤和地下水污染途径。</w:t>
            </w:r>
            <w:r>
              <w:rPr>
                <w:rFonts w:hint="eastAsia"/>
                <w:color w:val="auto"/>
                <w:highlight w:val="none"/>
                <w:lang w:val="en-US" w:eastAsia="zh-CN"/>
              </w:rPr>
              <w:t>厂区现有的化学品仓库按照一般污染防治区采取防渗措施，防渗层的防渗性能满足等效粘土防渗层Mb</w:t>
            </w:r>
            <w:r>
              <w:rPr>
                <w:rFonts w:hint="default"/>
                <w:color w:val="auto"/>
                <w:highlight w:val="none"/>
                <w:lang w:val="en-US" w:eastAsia="zh-CN"/>
              </w:rPr>
              <w:t>≥</w:t>
            </w:r>
            <w:r>
              <w:rPr>
                <w:rFonts w:hint="eastAsia"/>
                <w:color w:val="auto"/>
                <w:highlight w:val="none"/>
                <w:lang w:val="en-US" w:eastAsia="zh-CN"/>
              </w:rPr>
              <w:t>1.5m，K</w:t>
            </w: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w:t>
            </w:r>
            <w:r>
              <w:rPr>
                <w:rFonts w:hint="eastAsia"/>
                <w:color w:val="auto"/>
                <w:highlight w:val="none"/>
                <w:lang w:val="en-US" w:eastAsia="zh-CN"/>
              </w:rPr>
              <w:t>10</w:t>
            </w:r>
            <w:r>
              <w:rPr>
                <w:rFonts w:hint="eastAsia"/>
                <w:color w:val="auto"/>
                <w:highlight w:val="none"/>
                <w:vertAlign w:val="superscript"/>
                <w:lang w:val="en-US" w:eastAsia="zh-CN"/>
              </w:rPr>
              <w:t>-7</w:t>
            </w:r>
            <w:r>
              <w:rPr>
                <w:rFonts w:hint="eastAsia"/>
                <w:color w:val="auto"/>
                <w:highlight w:val="none"/>
                <w:lang w:val="en-US" w:eastAsia="zh-CN"/>
              </w:rPr>
              <w:t>cm/s的防渗性能或参照GB16889执行的相关要求。厂区现有的危废仓库属于重点控制区，其防渗性能满足黏土防渗层Mb</w:t>
            </w:r>
            <w:r>
              <w:rPr>
                <w:rFonts w:hint="default"/>
                <w:color w:val="auto"/>
                <w:highlight w:val="none"/>
                <w:lang w:val="en-US" w:eastAsia="zh-CN"/>
              </w:rPr>
              <w:t>≥</w:t>
            </w:r>
            <w:r>
              <w:rPr>
                <w:rFonts w:hint="eastAsia"/>
                <w:color w:val="auto"/>
                <w:highlight w:val="none"/>
                <w:lang w:val="en-US" w:eastAsia="zh-CN"/>
              </w:rPr>
              <w:t>6m，K</w:t>
            </w: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w:t>
            </w:r>
            <w:r>
              <w:rPr>
                <w:rFonts w:hint="eastAsia"/>
                <w:color w:val="auto"/>
                <w:highlight w:val="none"/>
                <w:lang w:val="en-US" w:eastAsia="zh-CN"/>
              </w:rPr>
              <w:t>10</w:t>
            </w:r>
            <w:r>
              <w:rPr>
                <w:rFonts w:hint="eastAsia"/>
                <w:color w:val="auto"/>
                <w:highlight w:val="none"/>
                <w:vertAlign w:val="superscript"/>
                <w:lang w:val="en-US" w:eastAsia="zh-CN"/>
              </w:rPr>
              <w:t>-7</w:t>
            </w:r>
            <w:r>
              <w:rPr>
                <w:rFonts w:hint="eastAsia"/>
                <w:color w:val="auto"/>
                <w:highlight w:val="none"/>
                <w:lang w:val="en-US" w:eastAsia="zh-CN"/>
              </w:rPr>
              <w:t>cm/s或参照GB18598执行的相关要求。</w:t>
            </w:r>
          </w:p>
          <w:p>
            <w:pPr>
              <w:pStyle w:val="72"/>
              <w:ind w:firstLine="480"/>
              <w:rPr>
                <w:color w:val="auto"/>
                <w:highlight w:val="none"/>
              </w:rPr>
            </w:pPr>
            <w:r>
              <w:rPr>
                <w:rFonts w:hint="eastAsia"/>
                <w:color w:val="auto"/>
                <w:highlight w:val="none"/>
              </w:rPr>
              <w:t>为避免</w:t>
            </w:r>
            <w:r>
              <w:rPr>
                <w:rFonts w:hint="eastAsia"/>
                <w:color w:val="auto"/>
                <w:highlight w:val="none"/>
                <w:lang w:val="en-US" w:eastAsia="zh-CN"/>
              </w:rPr>
              <w:t>切削</w:t>
            </w:r>
            <w:r>
              <w:rPr>
                <w:rFonts w:hint="eastAsia"/>
                <w:color w:val="auto"/>
                <w:highlight w:val="none"/>
              </w:rPr>
              <w:t>液等</w:t>
            </w:r>
            <w:r>
              <w:rPr>
                <w:rFonts w:hint="eastAsia"/>
                <w:color w:val="auto"/>
                <w:highlight w:val="none"/>
                <w:lang w:val="en-US" w:eastAsia="zh-CN"/>
              </w:rPr>
              <w:t>危险物质</w:t>
            </w:r>
            <w:r>
              <w:rPr>
                <w:rFonts w:hint="eastAsia"/>
                <w:color w:val="auto"/>
                <w:highlight w:val="none"/>
              </w:rPr>
              <w:t>溢漏污染土壤和地下水，要求化学品仓库或危废仓库液体物料应放置于防漏托盘之上</w:t>
            </w:r>
            <w:r>
              <w:rPr>
                <w:rFonts w:hint="eastAsia"/>
                <w:color w:val="auto"/>
                <w:highlight w:val="none"/>
                <w:lang w:eastAsia="zh-CN"/>
              </w:rPr>
              <w:t>，</w:t>
            </w:r>
            <w:r>
              <w:rPr>
                <w:rFonts w:hint="eastAsia"/>
                <w:color w:val="auto"/>
                <w:highlight w:val="none"/>
              </w:rPr>
              <w:t>仓库四周设置导流沟等。</w:t>
            </w:r>
          </w:p>
          <w:p>
            <w:pPr>
              <w:pStyle w:val="72"/>
              <w:ind w:firstLine="0" w:firstLineChars="0"/>
              <w:rPr>
                <w:b/>
                <w:bCs/>
                <w:color w:val="auto"/>
                <w:highlight w:val="none"/>
              </w:rPr>
            </w:pPr>
            <w:r>
              <w:rPr>
                <w:rFonts w:hint="eastAsia"/>
                <w:b/>
                <w:bCs/>
                <w:color w:val="auto"/>
                <w:highlight w:val="none"/>
                <w:lang w:val="en-US" w:eastAsia="zh-CN"/>
              </w:rPr>
              <w:t>4.7</w:t>
            </w:r>
            <w:r>
              <w:rPr>
                <w:rFonts w:hint="eastAsia"/>
                <w:b/>
                <w:bCs/>
                <w:color w:val="auto"/>
                <w:highlight w:val="none"/>
              </w:rPr>
              <w:t>环境风险</w:t>
            </w:r>
          </w:p>
          <w:p>
            <w:pPr>
              <w:pStyle w:val="72"/>
              <w:ind w:firstLine="480"/>
              <w:rPr>
                <w:color w:val="auto"/>
                <w:highlight w:val="none"/>
              </w:rPr>
            </w:pPr>
            <w:r>
              <w:rPr>
                <w:rFonts w:hint="eastAsia"/>
                <w:color w:val="auto"/>
                <w:highlight w:val="none"/>
              </w:rPr>
              <w:t>（1）环境风险物质识别</w:t>
            </w:r>
          </w:p>
          <w:p>
            <w:pPr>
              <w:pStyle w:val="72"/>
              <w:ind w:firstLine="480"/>
              <w:rPr>
                <w:rFonts w:hint="eastAsia"/>
                <w:color w:val="auto"/>
                <w:highlight w:val="none"/>
              </w:rPr>
            </w:pPr>
            <w:r>
              <w:rPr>
                <w:rFonts w:hint="eastAsia"/>
                <w:color w:val="auto"/>
                <w:highlight w:val="none"/>
              </w:rPr>
              <w:t>对照《建设项目环境风险评价技术导则》（HJ169-2018）附录B，项目</w:t>
            </w:r>
            <w:r>
              <w:rPr>
                <w:rFonts w:hint="eastAsia"/>
                <w:color w:val="auto"/>
                <w:highlight w:val="none"/>
                <w:lang w:val="en-US" w:eastAsia="zh-CN"/>
              </w:rPr>
              <w:t>实施后全厂</w:t>
            </w:r>
            <w:r>
              <w:rPr>
                <w:rFonts w:hint="eastAsia"/>
                <w:color w:val="auto"/>
                <w:highlight w:val="none"/>
              </w:rPr>
              <w:t>危险化学品涉及</w:t>
            </w:r>
            <w:r>
              <w:rPr>
                <w:rFonts w:hint="eastAsia"/>
                <w:color w:val="auto"/>
                <w:highlight w:val="none"/>
                <w:lang w:val="en-US" w:eastAsia="zh-CN"/>
              </w:rPr>
              <w:t>风险物质</w:t>
            </w:r>
            <w:r>
              <w:rPr>
                <w:rFonts w:hint="eastAsia"/>
                <w:color w:val="auto"/>
                <w:highlight w:val="none"/>
              </w:rPr>
              <w:t>危险物质、主要危险废物数量、有害因素见表</w:t>
            </w:r>
            <w:r>
              <w:rPr>
                <w:rFonts w:hint="eastAsia"/>
                <w:color w:val="auto"/>
                <w:highlight w:val="none"/>
                <w:lang w:val="en-US" w:eastAsia="zh-CN"/>
              </w:rPr>
              <w:t>4.7</w:t>
            </w:r>
            <w:r>
              <w:rPr>
                <w:rFonts w:hint="eastAsia"/>
                <w:color w:val="auto"/>
                <w:highlight w:val="none"/>
              </w:rPr>
              <w:t>.1。</w:t>
            </w:r>
          </w:p>
          <w:p>
            <w:pPr>
              <w:pStyle w:val="68"/>
              <w:rPr>
                <w:color w:val="auto"/>
                <w:highlight w:val="none"/>
              </w:rPr>
            </w:pPr>
            <w:r>
              <w:rPr>
                <w:rFonts w:hint="eastAsia"/>
                <w:color w:val="auto"/>
                <w:highlight w:val="none"/>
              </w:rPr>
              <w:t>表4.</w:t>
            </w:r>
            <w:r>
              <w:rPr>
                <w:rFonts w:hint="eastAsia"/>
                <w:color w:val="auto"/>
                <w:highlight w:val="none"/>
                <w:lang w:val="en-US" w:eastAsia="zh-CN"/>
              </w:rPr>
              <w:t>7</w:t>
            </w:r>
            <w:r>
              <w:rPr>
                <w:rFonts w:hint="eastAsia"/>
                <w:color w:val="auto"/>
                <w:highlight w:val="none"/>
              </w:rPr>
              <w:t>.1主要危险废物数量、有害因素分布表</w:t>
            </w:r>
          </w:p>
          <w:tbl>
            <w:tblPr>
              <w:tblStyle w:val="29"/>
              <w:tblW w:w="8117"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22"/>
              <w:gridCol w:w="773"/>
              <w:gridCol w:w="948"/>
              <w:gridCol w:w="1343"/>
              <w:gridCol w:w="1150"/>
              <w:gridCol w:w="1170"/>
              <w:gridCol w:w="14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9" w:hRule="atLeast"/>
              </w:trPr>
              <w:tc>
                <w:tcPr>
                  <w:tcW w:w="1322" w:type="dxa"/>
                  <w:tcBorders>
                    <w:tl2br w:val="nil"/>
                    <w:tr2bl w:val="nil"/>
                  </w:tcBorders>
                  <w:vAlign w:val="center"/>
                </w:tcPr>
                <w:p>
                  <w:pPr>
                    <w:pStyle w:val="70"/>
                    <w:rPr>
                      <w:color w:val="auto"/>
                      <w:highlight w:val="none"/>
                    </w:rPr>
                  </w:pPr>
                  <w:r>
                    <w:rPr>
                      <w:rFonts w:hint="eastAsia"/>
                      <w:color w:val="auto"/>
                      <w:highlight w:val="none"/>
                    </w:rPr>
                    <w:t>物质名称</w:t>
                  </w:r>
                </w:p>
              </w:tc>
              <w:tc>
                <w:tcPr>
                  <w:tcW w:w="773" w:type="dxa"/>
                  <w:tcBorders>
                    <w:tl2br w:val="nil"/>
                    <w:tr2bl w:val="nil"/>
                  </w:tcBorders>
                  <w:vAlign w:val="center"/>
                </w:tcPr>
                <w:p>
                  <w:pPr>
                    <w:pStyle w:val="70"/>
                    <w:rPr>
                      <w:color w:val="auto"/>
                      <w:highlight w:val="none"/>
                    </w:rPr>
                  </w:pPr>
                  <w:r>
                    <w:rPr>
                      <w:rFonts w:hint="eastAsia"/>
                      <w:color w:val="auto"/>
                      <w:highlight w:val="none"/>
                    </w:rPr>
                    <w:t>形态</w:t>
                  </w:r>
                </w:p>
              </w:tc>
              <w:tc>
                <w:tcPr>
                  <w:tcW w:w="948" w:type="dxa"/>
                  <w:tcBorders>
                    <w:tl2br w:val="nil"/>
                    <w:tr2bl w:val="nil"/>
                  </w:tcBorders>
                  <w:vAlign w:val="center"/>
                </w:tcPr>
                <w:p>
                  <w:pPr>
                    <w:pStyle w:val="70"/>
                    <w:rPr>
                      <w:color w:val="auto"/>
                      <w:highlight w:val="none"/>
                    </w:rPr>
                  </w:pPr>
                  <w:r>
                    <w:rPr>
                      <w:rFonts w:hint="eastAsia"/>
                      <w:color w:val="auto"/>
                      <w:highlight w:val="none"/>
                    </w:rPr>
                    <w:t>储量（t）</w:t>
                  </w:r>
                </w:p>
              </w:tc>
              <w:tc>
                <w:tcPr>
                  <w:tcW w:w="1343" w:type="dxa"/>
                  <w:tcBorders>
                    <w:tl2br w:val="nil"/>
                    <w:tr2bl w:val="nil"/>
                  </w:tcBorders>
                  <w:vAlign w:val="center"/>
                </w:tcPr>
                <w:p>
                  <w:pPr>
                    <w:pStyle w:val="70"/>
                    <w:rPr>
                      <w:color w:val="auto"/>
                      <w:highlight w:val="none"/>
                    </w:rPr>
                  </w:pPr>
                  <w:r>
                    <w:rPr>
                      <w:rFonts w:hint="eastAsia"/>
                      <w:color w:val="auto"/>
                      <w:highlight w:val="none"/>
                    </w:rPr>
                    <w:t>危险物质成分</w:t>
                  </w:r>
                </w:p>
              </w:tc>
              <w:tc>
                <w:tcPr>
                  <w:tcW w:w="1150" w:type="dxa"/>
                  <w:tcBorders>
                    <w:tl2br w:val="nil"/>
                    <w:tr2bl w:val="nil"/>
                  </w:tcBorders>
                  <w:vAlign w:val="center"/>
                </w:tcPr>
                <w:p>
                  <w:pPr>
                    <w:pStyle w:val="70"/>
                    <w:rPr>
                      <w:color w:val="auto"/>
                      <w:highlight w:val="none"/>
                    </w:rPr>
                  </w:pPr>
                  <w:r>
                    <w:rPr>
                      <w:rFonts w:hint="eastAsia"/>
                      <w:color w:val="auto"/>
                      <w:highlight w:val="none"/>
                    </w:rPr>
                    <w:t>临界值（t）</w:t>
                  </w:r>
                </w:p>
              </w:tc>
              <w:tc>
                <w:tcPr>
                  <w:tcW w:w="1170" w:type="dxa"/>
                  <w:tcBorders>
                    <w:tl2br w:val="nil"/>
                    <w:tr2bl w:val="nil"/>
                  </w:tcBorders>
                  <w:vAlign w:val="center"/>
                </w:tcPr>
                <w:p>
                  <w:pPr>
                    <w:pStyle w:val="70"/>
                    <w:rPr>
                      <w:color w:val="auto"/>
                      <w:highlight w:val="none"/>
                    </w:rPr>
                  </w:pPr>
                  <w:r>
                    <w:rPr>
                      <w:rFonts w:hint="eastAsia"/>
                      <w:color w:val="auto"/>
                      <w:highlight w:val="none"/>
                    </w:rPr>
                    <w:t>Q值</w:t>
                  </w:r>
                </w:p>
              </w:tc>
              <w:tc>
                <w:tcPr>
                  <w:tcW w:w="1411" w:type="dxa"/>
                  <w:tcBorders>
                    <w:tl2br w:val="nil"/>
                    <w:tr2bl w:val="nil"/>
                  </w:tcBorders>
                  <w:vAlign w:val="center"/>
                </w:tcPr>
                <w:p>
                  <w:pPr>
                    <w:pStyle w:val="70"/>
                    <w:rPr>
                      <w:color w:val="auto"/>
                      <w:highlight w:val="none"/>
                    </w:rPr>
                  </w:pPr>
                  <w:r>
                    <w:rPr>
                      <w:rFonts w:hint="eastAsia"/>
                      <w:color w:val="auto"/>
                      <w:highlight w:val="none"/>
                    </w:rPr>
                    <w:t>位置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322" w:type="dxa"/>
                  <w:tcBorders>
                    <w:tl2br w:val="nil"/>
                    <w:tr2bl w:val="nil"/>
                  </w:tcBorders>
                  <w:vAlign w:val="center"/>
                </w:tcPr>
                <w:p>
                  <w:pPr>
                    <w:pStyle w:val="70"/>
                    <w:rPr>
                      <w:color w:val="auto"/>
                      <w:highlight w:val="none"/>
                    </w:rPr>
                  </w:pPr>
                  <w:r>
                    <w:rPr>
                      <w:rFonts w:hint="eastAsia"/>
                      <w:color w:val="auto"/>
                      <w:highlight w:val="none"/>
                    </w:rPr>
                    <w:t>废切削液</w:t>
                  </w:r>
                </w:p>
              </w:tc>
              <w:tc>
                <w:tcPr>
                  <w:tcW w:w="773" w:type="dxa"/>
                  <w:tcBorders>
                    <w:tl2br w:val="nil"/>
                    <w:tr2bl w:val="nil"/>
                  </w:tcBorders>
                  <w:vAlign w:val="center"/>
                </w:tcPr>
                <w:p>
                  <w:pPr>
                    <w:pStyle w:val="70"/>
                    <w:rPr>
                      <w:color w:val="auto"/>
                      <w:highlight w:val="none"/>
                    </w:rPr>
                  </w:pPr>
                  <w:r>
                    <w:rPr>
                      <w:rFonts w:hint="eastAsia"/>
                      <w:color w:val="auto"/>
                      <w:highlight w:val="none"/>
                    </w:rPr>
                    <w:t>液态</w:t>
                  </w:r>
                </w:p>
              </w:tc>
              <w:tc>
                <w:tcPr>
                  <w:tcW w:w="948"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1</w:t>
                  </w:r>
                </w:p>
              </w:tc>
              <w:tc>
                <w:tcPr>
                  <w:tcW w:w="1343"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油水化合物</w:t>
                  </w:r>
                </w:p>
              </w:tc>
              <w:tc>
                <w:tcPr>
                  <w:tcW w:w="1150" w:type="dxa"/>
                  <w:tcBorders>
                    <w:tl2br w:val="nil"/>
                    <w:tr2bl w:val="nil"/>
                  </w:tcBorders>
                  <w:vAlign w:val="center"/>
                </w:tcPr>
                <w:p>
                  <w:pPr>
                    <w:pStyle w:val="70"/>
                    <w:rPr>
                      <w:color w:val="auto"/>
                      <w:highlight w:val="none"/>
                    </w:rPr>
                  </w:pPr>
                  <w:r>
                    <w:rPr>
                      <w:rFonts w:hint="eastAsia"/>
                      <w:color w:val="auto"/>
                      <w:highlight w:val="none"/>
                    </w:rPr>
                    <w:t>2500</w:t>
                  </w:r>
                </w:p>
              </w:tc>
              <w:tc>
                <w:tcPr>
                  <w:tcW w:w="1170" w:type="dxa"/>
                  <w:tcBorders>
                    <w:tl2br w:val="nil"/>
                    <w:tr2bl w:val="nil"/>
                  </w:tcBorders>
                  <w:vAlign w:val="center"/>
                </w:tcPr>
                <w:p>
                  <w:pPr>
                    <w:pStyle w:val="7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0.0004</w:t>
                  </w:r>
                </w:p>
              </w:tc>
              <w:tc>
                <w:tcPr>
                  <w:tcW w:w="1411" w:type="dxa"/>
                  <w:tcBorders>
                    <w:tl2br w:val="nil"/>
                    <w:tr2bl w:val="nil"/>
                  </w:tcBorders>
                  <w:vAlign w:val="center"/>
                </w:tcPr>
                <w:p>
                  <w:pPr>
                    <w:pStyle w:val="70"/>
                    <w:rPr>
                      <w:color w:val="auto"/>
                      <w:highlight w:val="none"/>
                    </w:rPr>
                  </w:pPr>
                  <w:r>
                    <w:rPr>
                      <w:rFonts w:hint="eastAsia"/>
                      <w:color w:val="auto"/>
                      <w:highlight w:val="none"/>
                    </w:rPr>
                    <w:t>危废仓库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322"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废油</w:t>
                  </w:r>
                </w:p>
              </w:tc>
              <w:tc>
                <w:tcPr>
                  <w:tcW w:w="773" w:type="dxa"/>
                  <w:tcBorders>
                    <w:tl2br w:val="nil"/>
                    <w:tr2bl w:val="nil"/>
                  </w:tcBorders>
                  <w:vAlign w:val="center"/>
                </w:tcPr>
                <w:p>
                  <w:pPr>
                    <w:pStyle w:val="70"/>
                    <w:rPr>
                      <w:rFonts w:hint="eastAsia"/>
                      <w:color w:val="auto"/>
                      <w:highlight w:val="none"/>
                    </w:rPr>
                  </w:pPr>
                  <w:r>
                    <w:rPr>
                      <w:rFonts w:hint="eastAsia"/>
                      <w:color w:val="auto"/>
                      <w:highlight w:val="none"/>
                    </w:rPr>
                    <w:t>液态</w:t>
                  </w:r>
                </w:p>
              </w:tc>
              <w:tc>
                <w:tcPr>
                  <w:tcW w:w="948"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0.5</w:t>
                  </w:r>
                </w:p>
              </w:tc>
              <w:tc>
                <w:tcPr>
                  <w:tcW w:w="1343"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矿物油</w:t>
                  </w:r>
                </w:p>
              </w:tc>
              <w:tc>
                <w:tcPr>
                  <w:tcW w:w="1150"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2500</w:t>
                  </w:r>
                </w:p>
              </w:tc>
              <w:tc>
                <w:tcPr>
                  <w:tcW w:w="1170" w:type="dxa"/>
                  <w:tcBorders>
                    <w:tl2br w:val="nil"/>
                    <w:tr2bl w:val="nil"/>
                  </w:tcBorders>
                  <w:vAlign w:val="center"/>
                </w:tcPr>
                <w:p>
                  <w:pPr>
                    <w:pStyle w:val="7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0.0002</w:t>
                  </w:r>
                </w:p>
              </w:tc>
              <w:tc>
                <w:tcPr>
                  <w:tcW w:w="1411" w:type="dxa"/>
                  <w:tcBorders>
                    <w:tl2br w:val="nil"/>
                    <w:tr2bl w:val="nil"/>
                  </w:tcBorders>
                  <w:vAlign w:val="center"/>
                </w:tcPr>
                <w:p>
                  <w:pPr>
                    <w:pStyle w:val="70"/>
                    <w:rPr>
                      <w:rFonts w:hint="eastAsia"/>
                      <w:color w:val="auto"/>
                      <w:highlight w:val="none"/>
                    </w:rPr>
                  </w:pPr>
                  <w:r>
                    <w:rPr>
                      <w:rFonts w:hint="eastAsia"/>
                      <w:color w:val="auto"/>
                      <w:highlight w:val="none"/>
                    </w:rPr>
                    <w:t>危废仓库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322" w:type="dxa"/>
                  <w:tcBorders>
                    <w:tl2br w:val="nil"/>
                    <w:tr2bl w:val="nil"/>
                  </w:tcBorders>
                  <w:vAlign w:val="center"/>
                </w:tcPr>
                <w:p>
                  <w:pPr>
                    <w:pStyle w:val="70"/>
                    <w:rPr>
                      <w:color w:val="auto"/>
                      <w:highlight w:val="none"/>
                    </w:rPr>
                  </w:pPr>
                  <w:r>
                    <w:rPr>
                      <w:rFonts w:hint="eastAsia"/>
                      <w:color w:val="auto"/>
                      <w:highlight w:val="none"/>
                    </w:rPr>
                    <w:t>切削液</w:t>
                  </w:r>
                </w:p>
              </w:tc>
              <w:tc>
                <w:tcPr>
                  <w:tcW w:w="773" w:type="dxa"/>
                  <w:tcBorders>
                    <w:tl2br w:val="nil"/>
                    <w:tr2bl w:val="nil"/>
                  </w:tcBorders>
                  <w:vAlign w:val="center"/>
                </w:tcPr>
                <w:p>
                  <w:pPr>
                    <w:pStyle w:val="70"/>
                    <w:rPr>
                      <w:color w:val="auto"/>
                      <w:highlight w:val="none"/>
                    </w:rPr>
                  </w:pPr>
                  <w:r>
                    <w:rPr>
                      <w:rFonts w:hint="eastAsia"/>
                      <w:color w:val="auto"/>
                      <w:highlight w:val="none"/>
                    </w:rPr>
                    <w:t>液态</w:t>
                  </w:r>
                </w:p>
              </w:tc>
              <w:tc>
                <w:tcPr>
                  <w:tcW w:w="948" w:type="dxa"/>
                  <w:tcBorders>
                    <w:tl2br w:val="nil"/>
                    <w:tr2bl w:val="nil"/>
                  </w:tcBorders>
                  <w:vAlign w:val="center"/>
                </w:tcPr>
                <w:p>
                  <w:pPr>
                    <w:pStyle w:val="70"/>
                    <w:rPr>
                      <w:rFonts w:hint="eastAsia" w:eastAsia="宋体"/>
                      <w:color w:val="auto"/>
                      <w:highlight w:val="none"/>
                      <w:lang w:eastAsia="zh-CN"/>
                    </w:rPr>
                  </w:pPr>
                  <w:r>
                    <w:rPr>
                      <w:rFonts w:hint="eastAsia"/>
                      <w:color w:val="auto"/>
                      <w:highlight w:val="none"/>
                      <w:lang w:val="en-US" w:eastAsia="zh-CN"/>
                    </w:rPr>
                    <w:t>1</w:t>
                  </w:r>
                </w:p>
              </w:tc>
              <w:tc>
                <w:tcPr>
                  <w:tcW w:w="1343" w:type="dxa"/>
                  <w:tcBorders>
                    <w:tl2br w:val="nil"/>
                    <w:tr2bl w:val="nil"/>
                  </w:tcBorders>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油水化合物</w:t>
                  </w:r>
                </w:p>
              </w:tc>
              <w:tc>
                <w:tcPr>
                  <w:tcW w:w="1150" w:type="dxa"/>
                  <w:tcBorders>
                    <w:tl2br w:val="nil"/>
                    <w:tr2bl w:val="nil"/>
                  </w:tcBorders>
                  <w:vAlign w:val="center"/>
                </w:tcPr>
                <w:p>
                  <w:pPr>
                    <w:pStyle w:val="70"/>
                    <w:rPr>
                      <w:color w:val="auto"/>
                      <w:highlight w:val="none"/>
                    </w:rPr>
                  </w:pPr>
                  <w:r>
                    <w:rPr>
                      <w:rFonts w:hint="eastAsia"/>
                      <w:color w:val="auto"/>
                      <w:highlight w:val="none"/>
                    </w:rPr>
                    <w:t>2500</w:t>
                  </w:r>
                </w:p>
              </w:tc>
              <w:tc>
                <w:tcPr>
                  <w:tcW w:w="1170" w:type="dxa"/>
                  <w:tcBorders>
                    <w:tl2br w:val="nil"/>
                    <w:tr2bl w:val="nil"/>
                  </w:tcBorders>
                  <w:vAlign w:val="center"/>
                </w:tcPr>
                <w:p>
                  <w:pPr>
                    <w:pStyle w:val="7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0.0004</w:t>
                  </w:r>
                </w:p>
              </w:tc>
              <w:tc>
                <w:tcPr>
                  <w:tcW w:w="1411"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化学品仓库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1" w:hRule="atLeast"/>
              </w:trPr>
              <w:tc>
                <w:tcPr>
                  <w:tcW w:w="1322"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机油</w:t>
                  </w:r>
                </w:p>
              </w:tc>
              <w:tc>
                <w:tcPr>
                  <w:tcW w:w="773"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液态</w:t>
                  </w:r>
                </w:p>
              </w:tc>
              <w:tc>
                <w:tcPr>
                  <w:tcW w:w="948"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1</w:t>
                  </w:r>
                </w:p>
              </w:tc>
              <w:tc>
                <w:tcPr>
                  <w:tcW w:w="1343" w:type="dxa"/>
                  <w:tcBorders>
                    <w:tl2br w:val="nil"/>
                    <w:tr2bl w:val="nil"/>
                  </w:tcBorders>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矿物油</w:t>
                  </w:r>
                </w:p>
              </w:tc>
              <w:tc>
                <w:tcPr>
                  <w:tcW w:w="1150" w:type="dxa"/>
                  <w:tcBorders>
                    <w:tl2br w:val="nil"/>
                    <w:tr2bl w:val="nil"/>
                  </w:tcBorders>
                  <w:vAlign w:val="center"/>
                </w:tcPr>
                <w:p>
                  <w:pPr>
                    <w:pStyle w:val="70"/>
                    <w:rPr>
                      <w:rFonts w:hint="eastAsia"/>
                      <w:color w:val="auto"/>
                      <w:highlight w:val="none"/>
                    </w:rPr>
                  </w:pPr>
                  <w:r>
                    <w:rPr>
                      <w:rFonts w:hint="eastAsia"/>
                      <w:color w:val="auto"/>
                      <w:highlight w:val="none"/>
                    </w:rPr>
                    <w:t>2500</w:t>
                  </w:r>
                </w:p>
              </w:tc>
              <w:tc>
                <w:tcPr>
                  <w:tcW w:w="1170" w:type="dxa"/>
                  <w:tcBorders>
                    <w:tl2br w:val="nil"/>
                    <w:tr2bl w:val="nil"/>
                  </w:tcBorders>
                  <w:vAlign w:val="center"/>
                </w:tcPr>
                <w:p>
                  <w:pPr>
                    <w:pStyle w:val="7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0.0004</w:t>
                  </w:r>
                </w:p>
              </w:tc>
              <w:tc>
                <w:tcPr>
                  <w:tcW w:w="1411"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化学品仓库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1322"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酒精</w:t>
                  </w:r>
                </w:p>
              </w:tc>
              <w:tc>
                <w:tcPr>
                  <w:tcW w:w="773" w:type="dxa"/>
                  <w:tcBorders>
                    <w:tl2br w:val="nil"/>
                    <w:tr2bl w:val="nil"/>
                  </w:tcBorders>
                  <w:vAlign w:val="center"/>
                </w:tcPr>
                <w:p>
                  <w:pPr>
                    <w:pStyle w:val="70"/>
                    <w:rPr>
                      <w:color w:val="auto"/>
                      <w:highlight w:val="none"/>
                    </w:rPr>
                  </w:pPr>
                  <w:r>
                    <w:rPr>
                      <w:rFonts w:hint="eastAsia"/>
                      <w:color w:val="auto"/>
                      <w:highlight w:val="none"/>
                    </w:rPr>
                    <w:t>液态</w:t>
                  </w:r>
                </w:p>
              </w:tc>
              <w:tc>
                <w:tcPr>
                  <w:tcW w:w="948" w:type="dxa"/>
                  <w:tcBorders>
                    <w:tl2br w:val="nil"/>
                    <w:tr2bl w:val="nil"/>
                  </w:tcBorders>
                  <w:vAlign w:val="center"/>
                </w:tcPr>
                <w:p>
                  <w:pPr>
                    <w:pStyle w:val="70"/>
                    <w:rPr>
                      <w:rFonts w:hint="eastAsia" w:eastAsia="宋体"/>
                      <w:color w:val="auto"/>
                      <w:highlight w:val="none"/>
                      <w:lang w:eastAsia="zh-CN"/>
                    </w:rPr>
                  </w:pPr>
                  <w:r>
                    <w:rPr>
                      <w:rFonts w:hint="eastAsia"/>
                      <w:color w:val="auto"/>
                      <w:highlight w:val="none"/>
                      <w:lang w:val="en-US" w:eastAsia="zh-CN"/>
                    </w:rPr>
                    <w:t>1</w:t>
                  </w:r>
                </w:p>
              </w:tc>
              <w:tc>
                <w:tcPr>
                  <w:tcW w:w="1343" w:type="dxa"/>
                  <w:tcBorders>
                    <w:tl2br w:val="nil"/>
                    <w:tr2bl w:val="nil"/>
                  </w:tcBorders>
                  <w:vAlign w:val="center"/>
                </w:tcPr>
                <w:p>
                  <w:pPr>
                    <w:pStyle w:val="70"/>
                    <w:rPr>
                      <w:color w:val="auto"/>
                      <w:highlight w:val="none"/>
                    </w:rPr>
                  </w:pPr>
                  <w:r>
                    <w:rPr>
                      <w:rFonts w:hint="eastAsia"/>
                      <w:color w:val="auto"/>
                      <w:highlight w:val="none"/>
                    </w:rPr>
                    <w:t>乙醇</w:t>
                  </w:r>
                </w:p>
              </w:tc>
              <w:tc>
                <w:tcPr>
                  <w:tcW w:w="1150" w:type="dxa"/>
                  <w:tcBorders>
                    <w:tl2br w:val="nil"/>
                    <w:tr2bl w:val="nil"/>
                  </w:tcBorders>
                  <w:vAlign w:val="center"/>
                </w:tcPr>
                <w:p>
                  <w:pPr>
                    <w:pStyle w:val="70"/>
                    <w:rPr>
                      <w:color w:val="auto"/>
                      <w:highlight w:val="none"/>
                    </w:rPr>
                  </w:pPr>
                  <w:r>
                    <w:rPr>
                      <w:rFonts w:hint="eastAsia"/>
                      <w:color w:val="auto"/>
                      <w:highlight w:val="none"/>
                    </w:rPr>
                    <w:t>500</w:t>
                  </w:r>
                </w:p>
              </w:tc>
              <w:tc>
                <w:tcPr>
                  <w:tcW w:w="1170" w:type="dxa"/>
                  <w:tcBorders>
                    <w:tl2br w:val="nil"/>
                    <w:tr2bl w:val="nil"/>
                  </w:tcBorders>
                  <w:vAlign w:val="center"/>
                </w:tcPr>
                <w:p>
                  <w:pPr>
                    <w:pStyle w:val="7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0.002</w:t>
                  </w:r>
                </w:p>
              </w:tc>
              <w:tc>
                <w:tcPr>
                  <w:tcW w:w="1411"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化学品仓库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1322"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硝酸</w:t>
                  </w:r>
                </w:p>
              </w:tc>
              <w:tc>
                <w:tcPr>
                  <w:tcW w:w="773" w:type="dxa"/>
                  <w:tcBorders>
                    <w:tl2br w:val="nil"/>
                    <w:tr2bl w:val="nil"/>
                  </w:tcBorders>
                  <w:vAlign w:val="center"/>
                </w:tcPr>
                <w:p>
                  <w:pPr>
                    <w:pStyle w:val="70"/>
                    <w:rPr>
                      <w:rFonts w:hint="eastAsia"/>
                      <w:color w:val="auto"/>
                      <w:highlight w:val="none"/>
                    </w:rPr>
                  </w:pPr>
                  <w:r>
                    <w:rPr>
                      <w:rFonts w:hint="eastAsia"/>
                      <w:color w:val="auto"/>
                      <w:highlight w:val="none"/>
                    </w:rPr>
                    <w:t>液态</w:t>
                  </w:r>
                </w:p>
              </w:tc>
              <w:tc>
                <w:tcPr>
                  <w:tcW w:w="948"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0.015</w:t>
                  </w:r>
                </w:p>
              </w:tc>
              <w:tc>
                <w:tcPr>
                  <w:tcW w:w="1343"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硝酸</w:t>
                  </w:r>
                </w:p>
              </w:tc>
              <w:tc>
                <w:tcPr>
                  <w:tcW w:w="1150" w:type="dxa"/>
                  <w:tcBorders>
                    <w:tl2br w:val="nil"/>
                    <w:tr2bl w:val="nil"/>
                  </w:tcBorders>
                  <w:vAlign w:val="center"/>
                </w:tcPr>
                <w:p>
                  <w:pPr>
                    <w:pStyle w:val="70"/>
                    <w:rPr>
                      <w:rFonts w:hint="default" w:eastAsia="宋体"/>
                      <w:color w:val="auto"/>
                      <w:highlight w:val="none"/>
                      <w:lang w:val="en-US" w:eastAsia="zh-CN"/>
                    </w:rPr>
                  </w:pPr>
                  <w:r>
                    <w:rPr>
                      <w:rFonts w:hint="eastAsia"/>
                      <w:color w:val="auto"/>
                      <w:highlight w:val="none"/>
                      <w:lang w:val="en-US" w:eastAsia="zh-CN"/>
                    </w:rPr>
                    <w:t>7.5</w:t>
                  </w:r>
                </w:p>
              </w:tc>
              <w:tc>
                <w:tcPr>
                  <w:tcW w:w="1170" w:type="dxa"/>
                  <w:tcBorders>
                    <w:tl2br w:val="nil"/>
                    <w:tr2bl w:val="nil"/>
                  </w:tcBorders>
                  <w:vAlign w:val="center"/>
                </w:tcPr>
                <w:p>
                  <w:pPr>
                    <w:pStyle w:val="7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0.002</w:t>
                  </w:r>
                </w:p>
              </w:tc>
              <w:tc>
                <w:tcPr>
                  <w:tcW w:w="1411"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研发实验室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6" w:hRule="atLeast"/>
              </w:trPr>
              <w:tc>
                <w:tcPr>
                  <w:tcW w:w="1322" w:type="dxa"/>
                  <w:tcBorders>
                    <w:tl2br w:val="nil"/>
                    <w:tr2bl w:val="nil"/>
                  </w:tcBorders>
                  <w:vAlign w:val="center"/>
                </w:tcPr>
                <w:p>
                  <w:pPr>
                    <w:pStyle w:val="70"/>
                    <w:rPr>
                      <w:rFonts w:hint="default"/>
                      <w:color w:val="auto"/>
                      <w:highlight w:val="none"/>
                      <w:lang w:val="en-US" w:eastAsia="zh-CN"/>
                    </w:rPr>
                  </w:pPr>
                  <w:r>
                    <w:rPr>
                      <w:rFonts w:hint="eastAsia"/>
                      <w:color w:val="auto"/>
                      <w:highlight w:val="none"/>
                      <w:lang w:val="en-US" w:eastAsia="zh-CN"/>
                    </w:rPr>
                    <w:t>合计</w:t>
                  </w:r>
                </w:p>
              </w:tc>
              <w:tc>
                <w:tcPr>
                  <w:tcW w:w="773" w:type="dxa"/>
                  <w:tcBorders>
                    <w:tl2br w:val="nil"/>
                    <w:tr2bl w:val="nil"/>
                  </w:tcBorders>
                  <w:vAlign w:val="center"/>
                </w:tcPr>
                <w:p>
                  <w:pPr>
                    <w:pStyle w:val="70"/>
                    <w:rPr>
                      <w:rFonts w:hint="eastAsia"/>
                      <w:color w:val="auto"/>
                      <w:highlight w:val="none"/>
                    </w:rPr>
                  </w:pPr>
                </w:p>
              </w:tc>
              <w:tc>
                <w:tcPr>
                  <w:tcW w:w="948" w:type="dxa"/>
                  <w:tcBorders>
                    <w:tl2br w:val="nil"/>
                    <w:tr2bl w:val="nil"/>
                  </w:tcBorders>
                  <w:vAlign w:val="center"/>
                </w:tcPr>
                <w:p>
                  <w:pPr>
                    <w:pStyle w:val="70"/>
                    <w:rPr>
                      <w:rFonts w:hint="eastAsia"/>
                      <w:color w:val="auto"/>
                      <w:highlight w:val="none"/>
                      <w:lang w:val="en-US" w:eastAsia="zh-CN"/>
                    </w:rPr>
                  </w:pPr>
                </w:p>
              </w:tc>
              <w:tc>
                <w:tcPr>
                  <w:tcW w:w="1343" w:type="dxa"/>
                  <w:tcBorders>
                    <w:tl2br w:val="nil"/>
                    <w:tr2bl w:val="nil"/>
                  </w:tcBorders>
                  <w:vAlign w:val="center"/>
                </w:tcPr>
                <w:p>
                  <w:pPr>
                    <w:pStyle w:val="70"/>
                    <w:rPr>
                      <w:rFonts w:hint="eastAsia"/>
                      <w:color w:val="auto"/>
                      <w:highlight w:val="none"/>
                      <w:lang w:val="en-US" w:eastAsia="zh-CN"/>
                    </w:rPr>
                  </w:pPr>
                </w:p>
              </w:tc>
              <w:tc>
                <w:tcPr>
                  <w:tcW w:w="1150" w:type="dxa"/>
                  <w:tcBorders>
                    <w:tl2br w:val="nil"/>
                    <w:tr2bl w:val="nil"/>
                  </w:tcBorders>
                  <w:vAlign w:val="center"/>
                </w:tcPr>
                <w:p>
                  <w:pPr>
                    <w:pStyle w:val="70"/>
                    <w:rPr>
                      <w:rFonts w:hint="eastAsia"/>
                      <w:color w:val="auto"/>
                      <w:highlight w:val="none"/>
                      <w:lang w:val="en-US" w:eastAsia="zh-CN"/>
                    </w:rPr>
                  </w:pPr>
                </w:p>
              </w:tc>
              <w:tc>
                <w:tcPr>
                  <w:tcW w:w="1170" w:type="dxa"/>
                  <w:tcBorders>
                    <w:tl2br w:val="nil"/>
                    <w:tr2bl w:val="nil"/>
                  </w:tcBorders>
                  <w:vAlign w:val="center"/>
                </w:tcPr>
                <w:p>
                  <w:pPr>
                    <w:pStyle w:val="7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0.0054</w:t>
                  </w:r>
                </w:p>
              </w:tc>
              <w:tc>
                <w:tcPr>
                  <w:tcW w:w="1411" w:type="dxa"/>
                  <w:tcBorders>
                    <w:tl2br w:val="nil"/>
                    <w:tr2bl w:val="nil"/>
                  </w:tcBorders>
                  <w:vAlign w:val="center"/>
                </w:tcPr>
                <w:p>
                  <w:pPr>
                    <w:pStyle w:val="70"/>
                    <w:rPr>
                      <w:rFonts w:hint="eastAsia"/>
                      <w:color w:val="auto"/>
                      <w:highlight w:val="none"/>
                      <w:lang w:val="en-US" w:eastAsia="zh-CN"/>
                    </w:rPr>
                  </w:pPr>
                </w:p>
              </w:tc>
            </w:tr>
          </w:tbl>
          <w:p>
            <w:pPr>
              <w:pStyle w:val="70"/>
              <w:rPr>
                <w:color w:val="auto"/>
                <w:highlight w:val="none"/>
              </w:rPr>
            </w:pPr>
          </w:p>
          <w:p>
            <w:pPr>
              <w:pStyle w:val="72"/>
              <w:ind w:firstLine="480"/>
              <w:rPr>
                <w:color w:val="auto"/>
                <w:highlight w:val="none"/>
              </w:rPr>
            </w:pPr>
            <w:r>
              <w:rPr>
                <w:rFonts w:hint="eastAsia"/>
                <w:color w:val="auto"/>
                <w:highlight w:val="none"/>
                <w:lang w:val="en-US" w:eastAsia="zh-CN"/>
              </w:rPr>
              <w:t>由上述分析可知，全厂</w:t>
            </w:r>
            <w:r>
              <w:rPr>
                <w:rFonts w:hint="eastAsia"/>
                <w:color w:val="auto"/>
                <w:highlight w:val="none"/>
              </w:rPr>
              <w:t>涉及的危险物质Q值=0.00</w:t>
            </w:r>
            <w:r>
              <w:rPr>
                <w:rFonts w:hint="eastAsia"/>
                <w:color w:val="auto"/>
                <w:highlight w:val="none"/>
                <w:lang w:val="en-US" w:eastAsia="zh-CN"/>
              </w:rPr>
              <w:t>54</w:t>
            </w:r>
            <w:r>
              <w:rPr>
                <w:rFonts w:hint="eastAsia"/>
                <w:color w:val="auto"/>
                <w:highlight w:val="none"/>
              </w:rPr>
              <w:t>，小于1，风险潜势为</w:t>
            </w:r>
            <w:r>
              <w:rPr>
                <w:color w:val="auto"/>
                <w:highlight w:val="none"/>
              </w:rPr>
              <w:t>Ⅰ</w:t>
            </w:r>
            <w:r>
              <w:rPr>
                <w:rFonts w:hint="eastAsia"/>
                <w:color w:val="auto"/>
                <w:highlight w:val="none"/>
                <w:lang w:eastAsia="zh-CN"/>
              </w:rPr>
              <w:t>，</w:t>
            </w:r>
            <w:r>
              <w:rPr>
                <w:rFonts w:hint="eastAsia"/>
                <w:color w:val="auto"/>
                <w:highlight w:val="none"/>
                <w:lang w:val="en-US" w:eastAsia="zh-CN"/>
              </w:rPr>
              <w:t>仅需对环境风险影响进行简要分析</w:t>
            </w:r>
            <w:r>
              <w:rPr>
                <w:rFonts w:hint="eastAsia"/>
                <w:color w:val="auto"/>
                <w:highlight w:val="none"/>
              </w:rPr>
              <w:t>。</w:t>
            </w:r>
          </w:p>
          <w:p>
            <w:pPr>
              <w:pStyle w:val="72"/>
              <w:ind w:firstLine="480"/>
              <w:rPr>
                <w:color w:val="auto"/>
                <w:highlight w:val="none"/>
              </w:rPr>
            </w:pPr>
            <w:r>
              <w:rPr>
                <w:rFonts w:hint="eastAsia"/>
                <w:color w:val="auto"/>
                <w:highlight w:val="none"/>
                <w:lang w:val="en-US" w:eastAsia="zh-CN"/>
              </w:rPr>
              <w:t>本项目涉及的风险物质主要是废油、废切削液、油类物质和酒精</w:t>
            </w:r>
            <w:r>
              <w:rPr>
                <w:rFonts w:hint="eastAsia"/>
                <w:color w:val="auto"/>
                <w:highlight w:val="none"/>
              </w:rPr>
              <w:t>，项目潜在环境风险事故单元</w:t>
            </w:r>
            <w:r>
              <w:rPr>
                <w:rFonts w:hint="eastAsia"/>
                <w:color w:val="auto"/>
                <w:highlight w:val="none"/>
                <w:lang w:val="en-US" w:eastAsia="zh-CN"/>
              </w:rPr>
              <w:t>为危险化学品仓库、危废仓库</w:t>
            </w:r>
            <w:r>
              <w:rPr>
                <w:rFonts w:hint="eastAsia"/>
                <w:color w:val="auto"/>
                <w:highlight w:val="none"/>
              </w:rPr>
              <w:t>，事故类型识别结果见下表4.</w:t>
            </w:r>
            <w:r>
              <w:rPr>
                <w:rFonts w:hint="eastAsia"/>
                <w:color w:val="auto"/>
                <w:highlight w:val="none"/>
                <w:lang w:val="en-US" w:eastAsia="zh-CN"/>
              </w:rPr>
              <w:t>7</w:t>
            </w:r>
            <w:r>
              <w:rPr>
                <w:rFonts w:hint="eastAsia"/>
                <w:color w:val="auto"/>
                <w:highlight w:val="none"/>
              </w:rPr>
              <w:t>.2。</w:t>
            </w:r>
          </w:p>
          <w:p>
            <w:pPr>
              <w:pStyle w:val="68"/>
              <w:rPr>
                <w:color w:val="auto"/>
                <w:highlight w:val="none"/>
              </w:rPr>
            </w:pPr>
            <w:r>
              <w:rPr>
                <w:rFonts w:hint="eastAsia"/>
                <w:color w:val="auto"/>
                <w:highlight w:val="none"/>
              </w:rPr>
              <w:t>表4.</w:t>
            </w:r>
            <w:r>
              <w:rPr>
                <w:rFonts w:hint="eastAsia"/>
                <w:color w:val="auto"/>
                <w:highlight w:val="none"/>
                <w:lang w:val="en-US" w:eastAsia="zh-CN"/>
              </w:rPr>
              <w:t>7</w:t>
            </w:r>
            <w:r>
              <w:rPr>
                <w:rFonts w:hint="eastAsia"/>
                <w:color w:val="auto"/>
                <w:highlight w:val="none"/>
              </w:rPr>
              <w:t>.2项目危险物质潜在环境风险事故一览表</w:t>
            </w:r>
          </w:p>
          <w:tbl>
            <w:tblPr>
              <w:tblStyle w:val="29"/>
              <w:tblW w:w="8158"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0"/>
              <w:gridCol w:w="1887"/>
              <w:gridCol w:w="3234"/>
              <w:gridCol w:w="16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90" w:type="dxa"/>
                  <w:tcBorders>
                    <w:tl2br w:val="nil"/>
                    <w:tr2bl w:val="nil"/>
                  </w:tcBorders>
                  <w:vAlign w:val="center"/>
                </w:tcPr>
                <w:p>
                  <w:pPr>
                    <w:pStyle w:val="70"/>
                    <w:rPr>
                      <w:color w:val="auto"/>
                      <w:highlight w:val="none"/>
                    </w:rPr>
                  </w:pPr>
                  <w:r>
                    <w:rPr>
                      <w:rFonts w:hint="eastAsia"/>
                      <w:color w:val="auto"/>
                      <w:highlight w:val="none"/>
                    </w:rPr>
                    <w:t>潜在事故类型</w:t>
                  </w:r>
                </w:p>
              </w:tc>
              <w:tc>
                <w:tcPr>
                  <w:tcW w:w="1887" w:type="dxa"/>
                  <w:tcBorders>
                    <w:tl2br w:val="nil"/>
                    <w:tr2bl w:val="nil"/>
                  </w:tcBorders>
                  <w:vAlign w:val="center"/>
                </w:tcPr>
                <w:p>
                  <w:pPr>
                    <w:pStyle w:val="70"/>
                    <w:rPr>
                      <w:color w:val="auto"/>
                      <w:highlight w:val="none"/>
                    </w:rPr>
                  </w:pPr>
                  <w:r>
                    <w:rPr>
                      <w:rFonts w:hint="eastAsia"/>
                      <w:color w:val="auto"/>
                      <w:highlight w:val="none"/>
                    </w:rPr>
                    <w:t>事故原因</w:t>
                  </w:r>
                </w:p>
              </w:tc>
              <w:tc>
                <w:tcPr>
                  <w:tcW w:w="3234" w:type="dxa"/>
                  <w:tcBorders>
                    <w:tl2br w:val="nil"/>
                    <w:tr2bl w:val="nil"/>
                  </w:tcBorders>
                  <w:vAlign w:val="center"/>
                </w:tcPr>
                <w:p>
                  <w:pPr>
                    <w:pStyle w:val="70"/>
                    <w:rPr>
                      <w:color w:val="auto"/>
                      <w:highlight w:val="none"/>
                    </w:rPr>
                  </w:pPr>
                  <w:r>
                    <w:rPr>
                      <w:rFonts w:hint="eastAsia"/>
                      <w:color w:val="auto"/>
                      <w:highlight w:val="none"/>
                    </w:rPr>
                    <w:t>危险物质向环境转移的可能途径</w:t>
                  </w:r>
                </w:p>
              </w:tc>
              <w:tc>
                <w:tcPr>
                  <w:tcW w:w="1647" w:type="dxa"/>
                  <w:tcBorders>
                    <w:tl2br w:val="nil"/>
                    <w:tr2bl w:val="nil"/>
                  </w:tcBorders>
                  <w:vAlign w:val="center"/>
                </w:tcPr>
                <w:p>
                  <w:pPr>
                    <w:pStyle w:val="70"/>
                    <w:rPr>
                      <w:color w:val="auto"/>
                      <w:highlight w:val="none"/>
                    </w:rPr>
                  </w:pPr>
                  <w:r>
                    <w:rPr>
                      <w:rFonts w:hint="eastAsia"/>
                      <w:color w:val="auto"/>
                      <w:highlight w:val="none"/>
                    </w:rPr>
                    <w:t>影响程度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1" w:hRule="atLeast"/>
              </w:trPr>
              <w:tc>
                <w:tcPr>
                  <w:tcW w:w="1390" w:type="dxa"/>
                  <w:tcBorders>
                    <w:tl2br w:val="nil"/>
                    <w:tr2bl w:val="nil"/>
                  </w:tcBorders>
                  <w:vAlign w:val="center"/>
                </w:tcPr>
                <w:p>
                  <w:pPr>
                    <w:pStyle w:val="70"/>
                    <w:rPr>
                      <w:color w:val="auto"/>
                      <w:highlight w:val="none"/>
                    </w:rPr>
                  </w:pPr>
                  <w:r>
                    <w:rPr>
                      <w:rFonts w:hint="eastAsia"/>
                      <w:color w:val="auto"/>
                      <w:highlight w:val="none"/>
                      <w:lang w:val="en-US" w:eastAsia="zh-CN"/>
                    </w:rPr>
                    <w:t>危废暂存间</w:t>
                  </w:r>
                  <w:r>
                    <w:rPr>
                      <w:rFonts w:hint="eastAsia"/>
                      <w:color w:val="auto"/>
                      <w:highlight w:val="none"/>
                    </w:rPr>
                    <w:t>、</w:t>
                  </w:r>
                  <w:r>
                    <w:rPr>
                      <w:rFonts w:hint="eastAsia"/>
                      <w:color w:val="auto"/>
                      <w:highlight w:val="none"/>
                      <w:lang w:val="en-US" w:eastAsia="zh-CN"/>
                    </w:rPr>
                    <w:t>化学品</w:t>
                  </w:r>
                  <w:r>
                    <w:rPr>
                      <w:rFonts w:hint="eastAsia"/>
                      <w:color w:val="auto"/>
                      <w:highlight w:val="none"/>
                    </w:rPr>
                    <w:t>仓库</w:t>
                  </w:r>
                  <w:r>
                    <w:rPr>
                      <w:rFonts w:hint="eastAsia"/>
                      <w:color w:val="auto"/>
                      <w:highlight w:val="none"/>
                      <w:lang w:eastAsia="zh-CN"/>
                    </w:rPr>
                    <w:t>泄漏</w:t>
                  </w:r>
                </w:p>
              </w:tc>
              <w:tc>
                <w:tcPr>
                  <w:tcW w:w="1887" w:type="dxa"/>
                  <w:tcBorders>
                    <w:tl2br w:val="nil"/>
                    <w:tr2bl w:val="nil"/>
                  </w:tcBorders>
                  <w:vAlign w:val="center"/>
                </w:tcPr>
                <w:p>
                  <w:pPr>
                    <w:pStyle w:val="70"/>
                    <w:rPr>
                      <w:color w:val="auto"/>
                      <w:highlight w:val="none"/>
                    </w:rPr>
                  </w:pPr>
                  <w:r>
                    <w:rPr>
                      <w:rFonts w:hint="eastAsia"/>
                      <w:color w:val="auto"/>
                      <w:highlight w:val="none"/>
                    </w:rPr>
                    <w:t>原料桶泄漏、危险废物泄漏</w:t>
                  </w:r>
                </w:p>
              </w:tc>
              <w:tc>
                <w:tcPr>
                  <w:tcW w:w="3234" w:type="dxa"/>
                  <w:tcBorders>
                    <w:tl2br w:val="nil"/>
                    <w:tr2bl w:val="nil"/>
                  </w:tcBorders>
                  <w:vAlign w:val="center"/>
                </w:tcPr>
                <w:p>
                  <w:pPr>
                    <w:pStyle w:val="70"/>
                    <w:rPr>
                      <w:color w:val="auto"/>
                      <w:highlight w:val="none"/>
                    </w:rPr>
                  </w:pPr>
                  <w:r>
                    <w:rPr>
                      <w:rFonts w:hint="eastAsia"/>
                      <w:color w:val="auto"/>
                      <w:highlight w:val="none"/>
                    </w:rPr>
                    <w:t>渗入土壤及排入周边水体</w:t>
                  </w:r>
                </w:p>
              </w:tc>
              <w:tc>
                <w:tcPr>
                  <w:tcW w:w="1647" w:type="dxa"/>
                  <w:tcBorders>
                    <w:tl2br w:val="nil"/>
                    <w:tr2bl w:val="nil"/>
                  </w:tcBorders>
                  <w:vAlign w:val="center"/>
                </w:tcPr>
                <w:p>
                  <w:pPr>
                    <w:pStyle w:val="70"/>
                    <w:rPr>
                      <w:color w:val="auto"/>
                      <w:highlight w:val="none"/>
                    </w:rPr>
                  </w:pPr>
                  <w:r>
                    <w:rPr>
                      <w:rFonts w:hint="eastAsia"/>
                      <w:color w:val="auto"/>
                      <w:highlight w:val="none"/>
                    </w:rPr>
                    <w:t>对周边地下水及土壤可能造成严重影响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6" w:hRule="atLeast"/>
              </w:trPr>
              <w:tc>
                <w:tcPr>
                  <w:tcW w:w="1390" w:type="dxa"/>
                  <w:tcBorders>
                    <w:tl2br w:val="nil"/>
                    <w:tr2bl w:val="nil"/>
                  </w:tcBorders>
                  <w:vAlign w:val="center"/>
                </w:tcPr>
                <w:p>
                  <w:pPr>
                    <w:pStyle w:val="70"/>
                    <w:rPr>
                      <w:color w:val="auto"/>
                      <w:highlight w:val="none"/>
                    </w:rPr>
                  </w:pPr>
                  <w:r>
                    <w:rPr>
                      <w:rFonts w:hint="eastAsia"/>
                      <w:color w:val="auto"/>
                      <w:highlight w:val="none"/>
                    </w:rPr>
                    <w:t>火灾事故</w:t>
                  </w:r>
                </w:p>
              </w:tc>
              <w:tc>
                <w:tcPr>
                  <w:tcW w:w="1887" w:type="dxa"/>
                  <w:tcBorders>
                    <w:tl2br w:val="nil"/>
                    <w:tr2bl w:val="nil"/>
                  </w:tcBorders>
                  <w:vAlign w:val="center"/>
                </w:tcPr>
                <w:p>
                  <w:pPr>
                    <w:pStyle w:val="70"/>
                    <w:rPr>
                      <w:color w:val="auto"/>
                      <w:highlight w:val="none"/>
                    </w:rPr>
                  </w:pPr>
                  <w:r>
                    <w:rPr>
                      <w:rFonts w:hint="eastAsia"/>
                      <w:color w:val="auto"/>
                      <w:highlight w:val="none"/>
                      <w:lang w:val="en-US" w:eastAsia="zh-CN"/>
                    </w:rPr>
                    <w:t xml:space="preserve">酒精、有机溶剂等易燃物质泄漏 </w:t>
                  </w:r>
                  <w:r>
                    <w:rPr>
                      <w:rFonts w:hint="eastAsia"/>
                      <w:color w:val="auto"/>
                      <w:highlight w:val="none"/>
                    </w:rPr>
                    <w:t>遇明火或高热发生火灾事故</w:t>
                  </w:r>
                </w:p>
              </w:tc>
              <w:tc>
                <w:tcPr>
                  <w:tcW w:w="3234" w:type="dxa"/>
                  <w:tcBorders>
                    <w:tl2br w:val="nil"/>
                    <w:tr2bl w:val="nil"/>
                  </w:tcBorders>
                  <w:vAlign w:val="center"/>
                </w:tcPr>
                <w:p>
                  <w:pPr>
                    <w:pStyle w:val="70"/>
                    <w:rPr>
                      <w:color w:val="auto"/>
                      <w:highlight w:val="none"/>
                    </w:rPr>
                  </w:pPr>
                  <w:r>
                    <w:rPr>
                      <w:rFonts w:hint="eastAsia"/>
                      <w:color w:val="auto"/>
                      <w:highlight w:val="none"/>
                    </w:rPr>
                    <w:t>火灾产生的热辐射、浓烟、有害气体等直接进入环境，火灾扑救过</w:t>
                  </w:r>
                  <w:r>
                    <w:rPr>
                      <w:rFonts w:hint="eastAsia"/>
                      <w:color w:val="auto"/>
                      <w:highlight w:val="none"/>
                      <w:lang w:eastAsia="zh-CN"/>
                    </w:rPr>
                    <w:t>程中</w:t>
                  </w:r>
                  <w:r>
                    <w:rPr>
                      <w:rFonts w:hint="eastAsia"/>
                      <w:color w:val="auto"/>
                      <w:highlight w:val="none"/>
                    </w:rPr>
                    <w:t>产生的消防废水直接排入周边水体</w:t>
                  </w:r>
                </w:p>
              </w:tc>
              <w:tc>
                <w:tcPr>
                  <w:tcW w:w="1647" w:type="dxa"/>
                  <w:tcBorders>
                    <w:tl2br w:val="nil"/>
                    <w:tr2bl w:val="nil"/>
                  </w:tcBorders>
                  <w:vAlign w:val="center"/>
                </w:tcPr>
                <w:p>
                  <w:pPr>
                    <w:pStyle w:val="70"/>
                    <w:rPr>
                      <w:color w:val="auto"/>
                      <w:highlight w:val="none"/>
                    </w:rPr>
                  </w:pPr>
                  <w:r>
                    <w:rPr>
                      <w:rFonts w:hint="eastAsia"/>
                      <w:color w:val="auto"/>
                      <w:highlight w:val="none"/>
                    </w:rPr>
                    <w:t>对外环境可能造成严重影响</w:t>
                  </w:r>
                </w:p>
              </w:tc>
            </w:tr>
          </w:tbl>
          <w:p>
            <w:pPr>
              <w:pStyle w:val="70"/>
              <w:rPr>
                <w:color w:val="auto"/>
                <w:highlight w:val="none"/>
              </w:rPr>
            </w:pPr>
          </w:p>
          <w:p>
            <w:pPr>
              <w:pStyle w:val="72"/>
              <w:ind w:firstLine="480"/>
              <w:rPr>
                <w:color w:val="auto"/>
                <w:highlight w:val="none"/>
              </w:rPr>
            </w:pPr>
            <w:r>
              <w:rPr>
                <w:rFonts w:hint="eastAsia"/>
                <w:color w:val="auto"/>
                <w:highlight w:val="none"/>
              </w:rPr>
              <w:t>（2）环境风险防范措施</w:t>
            </w:r>
          </w:p>
          <w:p>
            <w:pPr>
              <w:pStyle w:val="72"/>
              <w:ind w:firstLine="480"/>
              <w:rPr>
                <w:color w:val="auto"/>
                <w:highlight w:val="none"/>
              </w:rPr>
            </w:pPr>
            <w:r>
              <w:rPr>
                <w:rFonts w:hint="eastAsia"/>
                <w:color w:val="auto"/>
                <w:highlight w:val="none"/>
              </w:rPr>
              <w:t>1）火灾事故风险防范措施</w:t>
            </w:r>
          </w:p>
          <w:p>
            <w:pPr>
              <w:pStyle w:val="72"/>
              <w:ind w:firstLine="480"/>
              <w:rPr>
                <w:color w:val="auto"/>
                <w:highlight w:val="none"/>
              </w:rPr>
            </w:pPr>
            <w:r>
              <w:rPr>
                <w:rFonts w:hint="eastAsia"/>
                <w:color w:val="auto"/>
                <w:highlight w:val="none"/>
              </w:rPr>
              <w:t>①加强消防设施和灭火器材的配备，严格落实有关消防技术规范的规定，加强人员疏散设施管理，保证疏散通道畅通。</w:t>
            </w:r>
          </w:p>
          <w:p>
            <w:pPr>
              <w:pStyle w:val="72"/>
              <w:ind w:firstLine="480"/>
              <w:rPr>
                <w:color w:val="auto"/>
                <w:highlight w:val="none"/>
              </w:rPr>
            </w:pPr>
            <w:r>
              <w:rPr>
                <w:rFonts w:hint="eastAsia"/>
                <w:color w:val="auto"/>
                <w:highlight w:val="none"/>
              </w:rPr>
              <w:t>②定期进行防火安全检查，确保消防设施完整好用。</w:t>
            </w:r>
          </w:p>
          <w:p>
            <w:pPr>
              <w:pStyle w:val="72"/>
              <w:ind w:firstLine="480"/>
              <w:rPr>
                <w:color w:val="auto"/>
                <w:highlight w:val="none"/>
              </w:rPr>
            </w:pPr>
            <w:r>
              <w:rPr>
                <w:rFonts w:hint="eastAsia"/>
                <w:color w:val="auto"/>
                <w:highlight w:val="none"/>
              </w:rPr>
              <w:t>③公司要求职工应遵守各项规章制度，杜绝“三违”（违章作业、违章指挥、违反劳动纪律），作业时要遵守各项规定（如动火、高处作业、进入设备作业等规定）要求，确保安全生产。</w:t>
            </w:r>
          </w:p>
          <w:p>
            <w:pPr>
              <w:pStyle w:val="72"/>
              <w:ind w:firstLine="480"/>
              <w:rPr>
                <w:color w:val="auto"/>
                <w:highlight w:val="none"/>
              </w:rPr>
            </w:pPr>
            <w:r>
              <w:rPr>
                <w:rFonts w:hint="eastAsia"/>
                <w:color w:val="auto"/>
                <w:highlight w:val="none"/>
              </w:rPr>
              <w:t>④公司强化安全、消防和环保管理，完善环保安全管理机构，完善各项管理制度，加强日常监督检查；厂区内严禁烟火，严格动火审批制度，进料车辆必须戴阻火器。</w:t>
            </w:r>
          </w:p>
          <w:p>
            <w:pPr>
              <w:pStyle w:val="72"/>
              <w:ind w:firstLine="480"/>
              <w:rPr>
                <w:color w:val="auto"/>
                <w:highlight w:val="none"/>
              </w:rPr>
            </w:pPr>
            <w:r>
              <w:rPr>
                <w:rFonts w:hint="eastAsia"/>
                <w:color w:val="auto"/>
                <w:highlight w:val="none"/>
              </w:rPr>
              <w:t>2）危废仓库、</w:t>
            </w:r>
            <w:r>
              <w:rPr>
                <w:rFonts w:hint="eastAsia"/>
                <w:color w:val="auto"/>
                <w:highlight w:val="none"/>
                <w:lang w:val="en-US" w:eastAsia="zh-CN"/>
              </w:rPr>
              <w:t>化学品</w:t>
            </w:r>
            <w:r>
              <w:rPr>
                <w:rFonts w:hint="eastAsia"/>
                <w:color w:val="auto"/>
                <w:highlight w:val="none"/>
              </w:rPr>
              <w:t>仓库泄漏事故风险防范措施</w:t>
            </w:r>
          </w:p>
          <w:p>
            <w:pPr>
              <w:pStyle w:val="72"/>
              <w:ind w:firstLine="480"/>
              <w:rPr>
                <w:color w:val="auto"/>
                <w:highlight w:val="none"/>
              </w:rPr>
            </w:pPr>
            <w:r>
              <w:rPr>
                <w:rFonts w:hint="eastAsia"/>
                <w:color w:val="auto"/>
                <w:highlight w:val="none"/>
              </w:rPr>
              <w:t>①危废仓库地面采取防渗，</w:t>
            </w:r>
            <w:r>
              <w:rPr>
                <w:rFonts w:hint="eastAsia"/>
                <w:color w:val="auto"/>
                <w:highlight w:val="none"/>
                <w:lang w:val="en-US" w:eastAsia="zh-CN"/>
              </w:rPr>
              <w:t>废切削液、废油</w:t>
            </w:r>
            <w:r>
              <w:rPr>
                <w:rFonts w:hint="eastAsia"/>
                <w:color w:val="auto"/>
                <w:highlight w:val="none"/>
              </w:rPr>
              <w:t>等采用桶装，放置于托盘上，四周设置导流沟，设置警示标识等。</w:t>
            </w:r>
          </w:p>
          <w:p>
            <w:pPr>
              <w:pStyle w:val="72"/>
              <w:ind w:firstLine="480"/>
              <w:rPr>
                <w:color w:val="auto"/>
                <w:highlight w:val="none"/>
              </w:rPr>
            </w:pPr>
            <w:r>
              <w:rPr>
                <w:rFonts w:hint="eastAsia"/>
                <w:color w:val="auto"/>
                <w:highlight w:val="none"/>
              </w:rPr>
              <w:t>②</w:t>
            </w:r>
            <w:r>
              <w:rPr>
                <w:rFonts w:hint="eastAsia"/>
                <w:color w:val="auto"/>
                <w:highlight w:val="none"/>
                <w:lang w:val="en-US" w:eastAsia="zh-CN"/>
              </w:rPr>
              <w:t>化学品</w:t>
            </w:r>
            <w:r>
              <w:rPr>
                <w:rFonts w:hint="eastAsia"/>
                <w:color w:val="auto"/>
                <w:highlight w:val="none"/>
              </w:rPr>
              <w:t>仓库切削液</w:t>
            </w:r>
            <w:r>
              <w:rPr>
                <w:rFonts w:hint="eastAsia"/>
                <w:color w:val="auto"/>
                <w:highlight w:val="none"/>
                <w:lang w:eastAsia="zh-CN"/>
              </w:rPr>
              <w:t>、</w:t>
            </w:r>
            <w:r>
              <w:rPr>
                <w:rFonts w:hint="eastAsia"/>
                <w:color w:val="auto"/>
                <w:highlight w:val="none"/>
                <w:lang w:val="en-US" w:eastAsia="zh-CN"/>
              </w:rPr>
              <w:t>油类等</w:t>
            </w:r>
            <w:r>
              <w:rPr>
                <w:rFonts w:hint="eastAsia"/>
                <w:color w:val="auto"/>
                <w:highlight w:val="none"/>
              </w:rPr>
              <w:t>专区堆存，周围设置围堰及防渗，设置导流沟。</w:t>
            </w:r>
          </w:p>
          <w:p>
            <w:pPr>
              <w:pStyle w:val="72"/>
              <w:ind w:firstLine="480"/>
              <w:rPr>
                <w:color w:val="auto"/>
                <w:highlight w:val="none"/>
              </w:rPr>
            </w:pPr>
            <w:r>
              <w:rPr>
                <w:rFonts w:hint="eastAsia"/>
                <w:color w:val="auto"/>
                <w:highlight w:val="none"/>
              </w:rPr>
              <w:t>③仓库严禁明火，严格遵守操作规程，避免因操作失误发生事故。</w:t>
            </w:r>
          </w:p>
          <w:p>
            <w:pPr>
              <w:pStyle w:val="72"/>
              <w:ind w:firstLine="480"/>
              <w:rPr>
                <w:color w:val="auto"/>
                <w:highlight w:val="none"/>
              </w:rPr>
            </w:pPr>
            <w:r>
              <w:rPr>
                <w:rFonts w:hint="eastAsia"/>
                <w:color w:val="auto"/>
                <w:highlight w:val="none"/>
              </w:rPr>
              <w:t>④配备相应的堵漏材料（</w:t>
            </w:r>
            <w:r>
              <w:rPr>
                <w:rFonts w:hint="eastAsia"/>
                <w:color w:val="auto"/>
                <w:highlight w:val="none"/>
                <w:lang w:eastAsia="zh-CN"/>
              </w:rPr>
              <w:t>沙袋</w:t>
            </w:r>
            <w:r>
              <w:rPr>
                <w:rFonts w:hint="eastAsia"/>
                <w:color w:val="auto"/>
                <w:highlight w:val="none"/>
              </w:rPr>
              <w:t>、生石灰、吸油毡等）。</w:t>
            </w:r>
          </w:p>
          <w:p>
            <w:pPr>
              <w:pStyle w:val="72"/>
              <w:ind w:firstLine="480"/>
              <w:rPr>
                <w:color w:val="auto"/>
                <w:highlight w:val="none"/>
              </w:rPr>
            </w:pPr>
            <w:r>
              <w:rPr>
                <w:rFonts w:hint="eastAsia"/>
                <w:color w:val="auto"/>
                <w:highlight w:val="none"/>
              </w:rPr>
              <w:t>（3）应急处置措施</w:t>
            </w:r>
          </w:p>
          <w:p>
            <w:pPr>
              <w:pStyle w:val="72"/>
              <w:ind w:firstLine="480"/>
              <w:rPr>
                <w:color w:val="auto"/>
                <w:highlight w:val="none"/>
              </w:rPr>
            </w:pPr>
            <w:r>
              <w:rPr>
                <w:rFonts w:hint="eastAsia"/>
                <w:color w:val="auto"/>
                <w:highlight w:val="none"/>
              </w:rPr>
              <w:t>当发生泄漏、火灾等事故时，应首先组织人员疏散，在确保安全的前提下，尝试进行以下应急处理措施：</w:t>
            </w:r>
          </w:p>
          <w:p>
            <w:pPr>
              <w:pStyle w:val="72"/>
              <w:ind w:firstLine="480"/>
              <w:rPr>
                <w:color w:val="auto"/>
                <w:highlight w:val="none"/>
              </w:rPr>
            </w:pPr>
            <w:r>
              <w:rPr>
                <w:rFonts w:hint="eastAsia"/>
                <w:color w:val="auto"/>
                <w:highlight w:val="none"/>
              </w:rPr>
              <w:t>1）泄漏应急措施</w:t>
            </w:r>
          </w:p>
          <w:p>
            <w:pPr>
              <w:pStyle w:val="72"/>
              <w:ind w:firstLine="480"/>
              <w:rPr>
                <w:color w:val="auto"/>
                <w:highlight w:val="none"/>
              </w:rPr>
            </w:pPr>
            <w:r>
              <w:rPr>
                <w:rFonts w:hint="eastAsia"/>
                <w:color w:val="auto"/>
                <w:highlight w:val="none"/>
                <w:lang w:val="en-US" w:eastAsia="zh-CN"/>
              </w:rPr>
              <w:t>化学品</w:t>
            </w:r>
            <w:r>
              <w:rPr>
                <w:rFonts w:hint="eastAsia"/>
                <w:color w:val="auto"/>
                <w:highlight w:val="none"/>
              </w:rPr>
              <w:t>仓库专区内四周设置导流沟，物料放置于</w:t>
            </w:r>
            <w:r>
              <w:rPr>
                <w:rFonts w:hint="eastAsia"/>
                <w:color w:val="auto"/>
                <w:highlight w:val="none"/>
                <w:lang w:eastAsia="zh-CN"/>
              </w:rPr>
              <w:t>托盘</w:t>
            </w:r>
            <w:r>
              <w:rPr>
                <w:rFonts w:hint="eastAsia"/>
                <w:color w:val="auto"/>
                <w:highlight w:val="none"/>
              </w:rPr>
              <w:t>内，发生泄漏时，立即找出泄漏</w:t>
            </w:r>
            <w:r>
              <w:rPr>
                <w:rFonts w:hint="eastAsia"/>
                <w:color w:val="auto"/>
                <w:highlight w:val="none"/>
                <w:lang w:val="en-US" w:eastAsia="zh-CN"/>
              </w:rPr>
              <w:t>源，采取更换桶、托盘等措施，</w:t>
            </w:r>
            <w:r>
              <w:rPr>
                <w:rFonts w:hint="eastAsia"/>
                <w:color w:val="auto"/>
                <w:highlight w:val="none"/>
              </w:rPr>
              <w:t>切断污染源，</w:t>
            </w:r>
            <w:r>
              <w:rPr>
                <w:rFonts w:hint="eastAsia"/>
                <w:color w:val="auto"/>
                <w:highlight w:val="none"/>
                <w:lang w:val="en-US" w:eastAsia="zh-CN"/>
              </w:rPr>
              <w:t>泄漏至地面或外环境的油类物质可</w:t>
            </w:r>
            <w:r>
              <w:rPr>
                <w:rFonts w:hint="eastAsia"/>
                <w:color w:val="auto"/>
                <w:highlight w:val="none"/>
              </w:rPr>
              <w:t>用</w:t>
            </w:r>
            <w:r>
              <w:rPr>
                <w:rFonts w:hint="eastAsia"/>
                <w:color w:val="auto"/>
                <w:highlight w:val="none"/>
                <w:lang w:eastAsia="zh-CN"/>
              </w:rPr>
              <w:t>沙袋</w:t>
            </w:r>
            <w:r>
              <w:rPr>
                <w:rFonts w:hint="eastAsia"/>
                <w:color w:val="auto"/>
                <w:highlight w:val="none"/>
              </w:rPr>
              <w:t>、吸油毡</w:t>
            </w:r>
            <w:r>
              <w:rPr>
                <w:rFonts w:hint="eastAsia"/>
                <w:color w:val="auto"/>
                <w:highlight w:val="none"/>
                <w:lang w:val="en-US" w:eastAsia="zh-CN"/>
              </w:rPr>
              <w:t>吸收，避免事故影响扩大。泄漏应急吸收的砂或吸油毡以及污染的土壤等作为危险废物处置。</w:t>
            </w:r>
          </w:p>
          <w:p>
            <w:pPr>
              <w:pStyle w:val="72"/>
              <w:ind w:firstLine="480"/>
              <w:rPr>
                <w:color w:val="auto"/>
                <w:highlight w:val="none"/>
              </w:rPr>
            </w:pPr>
            <w:r>
              <w:rPr>
                <w:rFonts w:hint="eastAsia"/>
                <w:color w:val="auto"/>
                <w:highlight w:val="none"/>
              </w:rPr>
              <w:t>2）火灾应急措施</w:t>
            </w:r>
          </w:p>
          <w:p>
            <w:pPr>
              <w:pStyle w:val="72"/>
              <w:ind w:firstLine="480"/>
              <w:rPr>
                <w:rFonts w:hint="eastAsia"/>
                <w:color w:val="auto"/>
                <w:highlight w:val="none"/>
              </w:rPr>
            </w:pPr>
            <w:r>
              <w:rPr>
                <w:rFonts w:hint="eastAsia"/>
                <w:color w:val="auto"/>
                <w:highlight w:val="none"/>
              </w:rPr>
              <w:t>在车间发生火灾时，组织企业自身人员利用干粉、CO</w:t>
            </w:r>
            <w:r>
              <w:rPr>
                <w:rFonts w:hint="eastAsia"/>
                <w:color w:val="auto"/>
                <w:highlight w:val="none"/>
                <w:vertAlign w:val="subscript"/>
              </w:rPr>
              <w:t>2</w:t>
            </w:r>
            <w:r>
              <w:rPr>
                <w:rFonts w:hint="eastAsia"/>
                <w:color w:val="auto"/>
                <w:highlight w:val="none"/>
              </w:rPr>
              <w:t>、雾状水或泡沫灭火器等消防器材进行自救，将火源与原料和产品分离，发生初期火灾时，在岗员工应立即对初期火灾进行扑救</w:t>
            </w:r>
            <w:r>
              <w:rPr>
                <w:rFonts w:hint="eastAsia"/>
                <w:color w:val="auto"/>
                <w:highlight w:val="none"/>
                <w:lang w:eastAsia="zh-CN"/>
              </w:rPr>
              <w:t>，以</w:t>
            </w:r>
            <w:r>
              <w:rPr>
                <w:rFonts w:hint="eastAsia"/>
                <w:color w:val="auto"/>
                <w:highlight w:val="none"/>
              </w:rPr>
              <w:t>就近原则运用灭火器材扑灭火源；如发生重大火灾事故，还应报告环保、公安、医疗等部门机构，组织社会多方力量救援。</w:t>
            </w:r>
          </w:p>
          <w:p>
            <w:pPr>
              <w:pStyle w:val="72"/>
              <w:ind w:firstLine="480"/>
              <w:rPr>
                <w:rFonts w:hint="eastAsia"/>
                <w:color w:val="auto"/>
                <w:highlight w:val="none"/>
                <w:lang w:val="en-US" w:eastAsia="zh-CN"/>
              </w:rPr>
            </w:pPr>
            <w:r>
              <w:rPr>
                <w:rFonts w:hint="eastAsia"/>
                <w:color w:val="auto"/>
                <w:highlight w:val="none"/>
                <w:lang w:val="en-US" w:eastAsia="zh-CN"/>
              </w:rPr>
              <w:t>发生火灾事故，应关闭雨水总排口截断阀，打开事故应急池前的雨水切换阀，让事故洗消废水通过管道自流入拟在三期地块新建的1座260m</w:t>
            </w:r>
            <w:r>
              <w:rPr>
                <w:rFonts w:hint="eastAsia"/>
                <w:color w:val="auto"/>
                <w:highlight w:val="none"/>
                <w:vertAlign w:val="superscript"/>
                <w:lang w:val="en-US" w:eastAsia="zh-CN"/>
              </w:rPr>
              <w:t>3</w:t>
            </w:r>
            <w:r>
              <w:rPr>
                <w:rFonts w:hint="eastAsia"/>
                <w:color w:val="auto"/>
                <w:highlight w:val="none"/>
                <w:lang w:val="en-US" w:eastAsia="zh-CN"/>
              </w:rPr>
              <w:t>事故应急池暂存，避免对外环境的影响。</w:t>
            </w:r>
          </w:p>
          <w:p>
            <w:pPr>
              <w:pStyle w:val="78"/>
              <w:keepNext w:val="0"/>
              <w:keepLines w:val="0"/>
              <w:pageBreakBefore w:val="0"/>
              <w:kinsoku/>
              <w:wordWrap/>
              <w:overflowPunct/>
              <w:topLinePunct w:val="0"/>
              <w:autoSpaceDE/>
              <w:autoSpaceDN/>
              <w:bidi w:val="0"/>
              <w:adjustRightInd/>
              <w:snapToGrid/>
              <w:spacing w:line="360"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事故应急池设置参考《事故状态下水体污染的预防和控制规范》（Q/SY08190-2019）进行计算，具体如下：</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V</w:t>
            </w:r>
            <w:r>
              <w:rPr>
                <w:rFonts w:hint="eastAsia" w:ascii="Times New Roman" w:hAnsi="Times New Roman"/>
                <w:color w:val="auto"/>
                <w:sz w:val="24"/>
                <w:szCs w:val="24"/>
                <w:highlight w:val="none"/>
                <w:vertAlign w:val="subscript"/>
              </w:rPr>
              <w:t>总</w:t>
            </w:r>
            <w:r>
              <w:rPr>
                <w:rFonts w:ascii="Times New Roman" w:hAnsi="Times New Roman"/>
                <w:color w:val="auto"/>
                <w:sz w:val="24"/>
                <w:szCs w:val="24"/>
                <w:highlight w:val="none"/>
              </w:rPr>
              <w:t>=(V</w:t>
            </w:r>
            <w:r>
              <w:rPr>
                <w:rFonts w:ascii="Times New Roman" w:hAnsi="Times New Roman"/>
                <w:color w:val="auto"/>
                <w:sz w:val="24"/>
                <w:szCs w:val="24"/>
                <w:highlight w:val="none"/>
                <w:vertAlign w:val="subscript"/>
              </w:rPr>
              <w:t>1</w:t>
            </w:r>
            <w:r>
              <w:rPr>
                <w:rFonts w:ascii="Times New Roman" w:hAnsi="Times New Roman"/>
                <w:color w:val="auto"/>
                <w:sz w:val="24"/>
                <w:szCs w:val="24"/>
                <w:highlight w:val="none"/>
              </w:rPr>
              <w:t>+V</w:t>
            </w:r>
            <w:r>
              <w:rPr>
                <w:rFonts w:ascii="Times New Roman" w:hAnsi="Times New Roman"/>
                <w:color w:val="auto"/>
                <w:sz w:val="24"/>
                <w:szCs w:val="24"/>
                <w:highlight w:val="none"/>
                <w:vertAlign w:val="subscript"/>
              </w:rPr>
              <w:t>2</w:t>
            </w:r>
            <w:r>
              <w:rPr>
                <w:rFonts w:ascii="Times New Roman" w:hAnsi="Times New Roman"/>
                <w:color w:val="auto"/>
                <w:sz w:val="24"/>
                <w:szCs w:val="24"/>
                <w:highlight w:val="none"/>
              </w:rPr>
              <w:t>-V</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w:t>
            </w:r>
            <w:r>
              <w:rPr>
                <w:rFonts w:ascii="Times New Roman" w:hAnsi="Times New Roman"/>
                <w:color w:val="auto"/>
                <w:sz w:val="24"/>
                <w:szCs w:val="24"/>
                <w:highlight w:val="none"/>
                <w:vertAlign w:val="subscript"/>
              </w:rPr>
              <w:t>max</w:t>
            </w:r>
            <w:r>
              <w:rPr>
                <w:rFonts w:ascii="Times New Roman" w:hAnsi="Times New Roman"/>
                <w:color w:val="auto"/>
                <w:sz w:val="24"/>
                <w:szCs w:val="24"/>
                <w:highlight w:val="none"/>
              </w:rPr>
              <w:t>+V</w:t>
            </w:r>
            <w:r>
              <w:rPr>
                <w:rFonts w:ascii="Times New Roman" w:hAnsi="Times New Roman"/>
                <w:color w:val="auto"/>
                <w:sz w:val="24"/>
                <w:szCs w:val="24"/>
                <w:highlight w:val="none"/>
                <w:vertAlign w:val="subscript"/>
              </w:rPr>
              <w:t>4</w:t>
            </w:r>
            <w:r>
              <w:rPr>
                <w:rFonts w:ascii="Times New Roman" w:hAnsi="Times New Roman"/>
                <w:color w:val="auto"/>
                <w:sz w:val="24"/>
                <w:szCs w:val="24"/>
                <w:highlight w:val="none"/>
              </w:rPr>
              <w:t>+V</w:t>
            </w:r>
            <w:r>
              <w:rPr>
                <w:rFonts w:ascii="Times New Roman" w:hAnsi="Times New Roman"/>
                <w:color w:val="auto"/>
                <w:sz w:val="24"/>
                <w:szCs w:val="24"/>
                <w:highlight w:val="none"/>
                <w:vertAlign w:val="subscript"/>
              </w:rPr>
              <w:t>5</w:t>
            </w:r>
          </w:p>
          <w:p>
            <w:pPr>
              <w:pStyle w:val="7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V</w:t>
            </w:r>
            <w:r>
              <w:rPr>
                <w:rFonts w:hint="eastAsia" w:ascii="Times New Roman" w:hAnsi="Times New Roman"/>
                <w:color w:val="auto"/>
                <w:sz w:val="24"/>
                <w:szCs w:val="24"/>
                <w:highlight w:val="none"/>
                <w:vertAlign w:val="subscript"/>
                <w:lang w:val="en-US" w:eastAsia="zh-CN"/>
              </w:rPr>
              <w:t>1</w:t>
            </w:r>
            <w:r>
              <w:rPr>
                <w:rFonts w:hint="eastAsia" w:ascii="Times New Roman" w:hAnsi="Times New Roman"/>
                <w:color w:val="auto"/>
                <w:sz w:val="24"/>
                <w:szCs w:val="24"/>
                <w:highlight w:val="none"/>
                <w:lang w:val="en-US" w:eastAsia="zh-CN"/>
              </w:rPr>
              <w:t>——收集系统范围内发生事故的一个罐组或一套装置的物料量；本项目 没有罐组或是装置区，发生事故最大泄漏量为桶装油或化学品等，约0.25m</w:t>
            </w:r>
            <w:r>
              <w:rPr>
                <w:rFonts w:ascii="Times New Roman" w:hAnsi="Times New Roman"/>
                <w:color w:val="auto"/>
                <w:kern w:val="0"/>
                <w:sz w:val="24"/>
                <w:szCs w:val="24"/>
                <w:highlight w:val="none"/>
                <w:vertAlign w:val="superscript"/>
              </w:rPr>
              <w:t>3</w:t>
            </w:r>
            <w:r>
              <w:rPr>
                <w:rFonts w:hint="eastAsia" w:ascii="Times New Roman" w:hAnsi="Times New Roman"/>
                <w:color w:val="auto"/>
                <w:kern w:val="0"/>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olor w:val="auto"/>
                <w:sz w:val="24"/>
                <w:szCs w:val="24"/>
                <w:highlight w:val="none"/>
              </w:rPr>
            </w:pPr>
            <w:r>
              <w:rPr>
                <w:rFonts w:ascii="Times New Roman" w:hAnsi="Times New Roman"/>
                <w:color w:val="auto"/>
                <w:kern w:val="0"/>
                <w:sz w:val="24"/>
                <w:szCs w:val="24"/>
                <w:highlight w:val="none"/>
              </w:rPr>
              <w:t>V</w:t>
            </w:r>
            <w:r>
              <w:rPr>
                <w:rFonts w:ascii="Times New Roman" w:hAnsi="Times New Roman"/>
                <w:color w:val="auto"/>
                <w:kern w:val="0"/>
                <w:sz w:val="24"/>
                <w:szCs w:val="24"/>
                <w:highlight w:val="none"/>
                <w:vertAlign w:val="subscript"/>
              </w:rPr>
              <w:t>2</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rPr>
              <w:t>发生事故的储罐或装置的消防水量，</w:t>
            </w:r>
            <w:r>
              <w:rPr>
                <w:rFonts w:ascii="Times New Roman" w:hAnsi="Times New Roman"/>
                <w:color w:val="auto"/>
                <w:kern w:val="0"/>
                <w:sz w:val="24"/>
                <w:szCs w:val="24"/>
                <w:highlight w:val="none"/>
              </w:rPr>
              <w:t>m</w:t>
            </w:r>
            <w:r>
              <w:rPr>
                <w:rFonts w:ascii="Times New Roman" w:hAnsi="Times New Roman"/>
                <w:color w:val="auto"/>
                <w:kern w:val="0"/>
                <w:sz w:val="24"/>
                <w:szCs w:val="24"/>
                <w:highlight w:val="none"/>
                <w:vertAlign w:val="superscript"/>
              </w:rPr>
              <w:t>3</w:t>
            </w:r>
            <w:r>
              <w:rPr>
                <w:rFonts w:hint="eastAsia" w:ascii="Times New Roman" w:hAnsi="Times New Roman"/>
                <w:color w:val="auto"/>
                <w:kern w:val="0"/>
                <w:sz w:val="24"/>
                <w:szCs w:val="24"/>
                <w:highlight w:val="none"/>
              </w:rPr>
              <w:t>；</w:t>
            </w:r>
          </w:p>
          <w:p>
            <w:pPr>
              <w:pStyle w:val="7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sz w:val="24"/>
                <w:szCs w:val="24"/>
                <w:highlight w:val="none"/>
                <w:vertAlign w:val="superscript"/>
                <w:lang w:val="en-US" w:eastAsia="zh-CN"/>
              </w:rPr>
            </w:pP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3</w:t>
            </w:r>
            <w:r>
              <w:rPr>
                <w:rFonts w:hint="default" w:ascii="Times New Roman" w:hAnsi="Times New Roman" w:cs="Times New Roman"/>
                <w:color w:val="auto"/>
                <w:kern w:val="0"/>
                <w:sz w:val="24"/>
                <w:szCs w:val="24"/>
                <w:highlight w:val="none"/>
              </w:rPr>
              <w:t>——发生事故时可以转输到其他储存或处理设施的物料量，m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化学品仓库或危废仓库液体化学品一般有托盘或是导流沟，集液池等，容积约2m</w:t>
            </w:r>
            <w:r>
              <w:rPr>
                <w:rFonts w:hint="eastAsia"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kern w:val="0"/>
                <w:sz w:val="24"/>
                <w:szCs w:val="24"/>
                <w:highlight w:val="none"/>
              </w:rPr>
              <w:t>；</w:t>
            </w:r>
          </w:p>
          <w:p>
            <w:pPr>
              <w:pStyle w:val="7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sz w:val="24"/>
                <w:szCs w:val="24"/>
                <w:highlight w:val="none"/>
                <w:vertAlign w:val="superscript"/>
                <w:lang w:val="en-US" w:eastAsia="zh-CN"/>
              </w:rPr>
            </w:pP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4</w:t>
            </w:r>
            <w:r>
              <w:rPr>
                <w:rFonts w:hint="default" w:ascii="Times New Roman" w:hAnsi="Times New Roman" w:cs="Times New Roman"/>
                <w:color w:val="auto"/>
                <w:kern w:val="0"/>
                <w:sz w:val="24"/>
                <w:szCs w:val="24"/>
                <w:highlight w:val="none"/>
              </w:rPr>
              <w:t>——发生事故时仍必须进入该收集系统的生产废水量，m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发生事故时废水进入废水站，废水站调节池考虑至少暂存1次间歇排放废水的水量，40m</w:t>
            </w:r>
            <w:r>
              <w:rPr>
                <w:rFonts w:hint="eastAsia" w:ascii="Times New Roman" w:hAnsi="Times New Roman" w:cs="Times New Roman"/>
                <w:color w:val="auto"/>
                <w:kern w:val="0"/>
                <w:sz w:val="24"/>
                <w:szCs w:val="24"/>
                <w:highlight w:val="none"/>
                <w:vertAlign w:val="superscript"/>
                <w:lang w:val="en-US" w:eastAsia="zh-CN"/>
              </w:rPr>
              <w:t>3</w:t>
            </w:r>
            <w:r>
              <w:rPr>
                <w:rFonts w:hint="eastAsia" w:ascii="Times New Roman" w:hAnsi="Times New Roman" w:cs="Times New Roman"/>
                <w:color w:val="auto"/>
                <w:kern w:val="0"/>
                <w:sz w:val="24"/>
                <w:szCs w:val="24"/>
                <w:highlight w:val="none"/>
                <w:vertAlign w:val="baseline"/>
                <w:lang w:val="en-US" w:eastAsia="zh-CN"/>
              </w:rPr>
              <w:t>/d，因此，发生事故时仍必须进入该收集系统的生产废水量按0考虑。</w:t>
            </w:r>
          </w:p>
          <w:p>
            <w:pPr>
              <w:pStyle w:val="78"/>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5</w:t>
            </w:r>
            <w:r>
              <w:rPr>
                <w:rFonts w:hint="default" w:ascii="Times New Roman" w:hAnsi="Times New Roman" w:cs="Times New Roman"/>
                <w:color w:val="auto"/>
                <w:kern w:val="0"/>
                <w:sz w:val="24"/>
                <w:szCs w:val="24"/>
                <w:highlight w:val="none"/>
              </w:rPr>
              <w:t>——发生事故时可能进入该收集系统的降雨量，m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lang w:val="en-US" w:eastAsia="zh-CN"/>
              </w:rPr>
              <w:t xml:space="preserve"> </w:t>
            </w:r>
          </w:p>
          <w:p>
            <w:pPr>
              <w:pStyle w:val="7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其中：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rPr>
                <w:rFonts w:ascii="Times New Roman" w:hAnsi="Times New Roman"/>
                <w:color w:val="auto"/>
                <w:sz w:val="24"/>
                <w:szCs w:val="24"/>
                <w:highlight w:val="none"/>
              </w:rPr>
            </w:pPr>
            <w:r>
              <w:rPr>
                <w:rFonts w:ascii="Times New Roman" w:hAnsi="Times New Roman"/>
                <w:color w:val="auto"/>
                <w:kern w:val="0"/>
                <w:sz w:val="24"/>
                <w:szCs w:val="24"/>
                <w:highlight w:val="none"/>
              </w:rPr>
              <w:t>V</w:t>
            </w:r>
            <w:r>
              <w:rPr>
                <w:rFonts w:ascii="Times New Roman" w:hAnsi="Times New Roman"/>
                <w:color w:val="auto"/>
                <w:kern w:val="0"/>
                <w:sz w:val="24"/>
                <w:szCs w:val="24"/>
                <w:highlight w:val="none"/>
                <w:vertAlign w:val="subscript"/>
              </w:rPr>
              <w:t>2</w:t>
            </w:r>
            <w:r>
              <w:rPr>
                <w:rFonts w:ascii="Times New Roman" w:hAnsi="Times New Roman"/>
                <w:color w:val="auto"/>
                <w:kern w:val="0"/>
                <w:sz w:val="24"/>
                <w:szCs w:val="24"/>
                <w:highlight w:val="none"/>
              </w:rPr>
              <w:t>=∑Q</w:t>
            </w:r>
            <w:r>
              <w:rPr>
                <w:rFonts w:hint="eastAsia" w:ascii="Times New Roman" w:hAnsi="Times New Roman"/>
                <w:color w:val="auto"/>
                <w:kern w:val="0"/>
                <w:sz w:val="24"/>
                <w:szCs w:val="24"/>
                <w:highlight w:val="none"/>
                <w:vertAlign w:val="subscript"/>
              </w:rPr>
              <w:t>消</w:t>
            </w:r>
            <w:r>
              <w:rPr>
                <w:rFonts w:ascii="Times New Roman" w:hAnsi="Times New Roman"/>
                <w:color w:val="auto"/>
                <w:kern w:val="0"/>
                <w:sz w:val="24"/>
                <w:szCs w:val="24"/>
                <w:highlight w:val="none"/>
              </w:rPr>
              <w:t>t</w:t>
            </w:r>
            <w:r>
              <w:rPr>
                <w:rFonts w:hint="eastAsia" w:ascii="Times New Roman" w:hAnsi="Times New Roman"/>
                <w:color w:val="auto"/>
                <w:kern w:val="0"/>
                <w:sz w:val="24"/>
                <w:szCs w:val="24"/>
                <w:highlight w:val="none"/>
                <w:vertAlign w:val="subscript"/>
              </w:rPr>
              <w:t>消</w:t>
            </w:r>
          </w:p>
          <w:p>
            <w:pPr>
              <w:pStyle w:val="78"/>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color w:val="auto"/>
                <w:sz w:val="24"/>
                <w:szCs w:val="24"/>
                <w:highlight w:val="none"/>
              </w:rPr>
            </w:pPr>
            <w:r>
              <w:rPr>
                <w:rFonts w:ascii="Times New Roman" w:hAnsi="Times New Roman"/>
                <w:color w:val="auto"/>
                <w:kern w:val="0"/>
                <w:sz w:val="24"/>
                <w:szCs w:val="24"/>
                <w:highlight w:val="none"/>
              </w:rPr>
              <w:t>Q</w:t>
            </w:r>
            <w:r>
              <w:rPr>
                <w:rFonts w:hint="eastAsia" w:ascii="Times New Roman" w:hAnsi="Times New Roman"/>
                <w:color w:val="auto"/>
                <w:kern w:val="0"/>
                <w:sz w:val="24"/>
                <w:szCs w:val="24"/>
                <w:highlight w:val="none"/>
                <w:vertAlign w:val="subscript"/>
              </w:rPr>
              <w:t>消</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rPr>
              <w:t>发生事故的储罐或装置的同时使用的消防设施给水流量，</w:t>
            </w:r>
            <w:r>
              <w:rPr>
                <w:rFonts w:ascii="Times New Roman" w:hAnsi="Times New Roman"/>
                <w:color w:val="auto"/>
                <w:kern w:val="0"/>
                <w:sz w:val="24"/>
                <w:szCs w:val="24"/>
                <w:highlight w:val="none"/>
              </w:rPr>
              <w:t>m</w:t>
            </w:r>
            <w:r>
              <w:rPr>
                <w:rFonts w:ascii="Times New Roman" w:hAnsi="Times New Roman"/>
                <w:color w:val="auto"/>
                <w:kern w:val="0"/>
                <w:sz w:val="24"/>
                <w:szCs w:val="24"/>
                <w:highlight w:val="none"/>
                <w:vertAlign w:val="superscript"/>
              </w:rPr>
              <w:t>3</w:t>
            </w:r>
            <w:r>
              <w:rPr>
                <w:rFonts w:ascii="Times New Roman" w:hAnsi="Times New Roman"/>
                <w:color w:val="auto"/>
                <w:kern w:val="0"/>
                <w:sz w:val="24"/>
                <w:szCs w:val="24"/>
                <w:highlight w:val="none"/>
              </w:rPr>
              <w:t>/h</w:t>
            </w:r>
            <w:r>
              <w:rPr>
                <w:rFonts w:hint="eastAsia" w:ascii="Times New Roman" w:hAnsi="Times New Roman"/>
                <w:color w:val="auto"/>
                <w:kern w:val="0"/>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olor w:val="auto"/>
                <w:kern w:val="0"/>
                <w:sz w:val="24"/>
                <w:szCs w:val="24"/>
                <w:highlight w:val="none"/>
              </w:rPr>
            </w:pPr>
            <w:r>
              <w:rPr>
                <w:rFonts w:ascii="Times New Roman" w:hAnsi="Times New Roman"/>
                <w:color w:val="auto"/>
                <w:kern w:val="0"/>
                <w:sz w:val="24"/>
                <w:szCs w:val="24"/>
                <w:highlight w:val="none"/>
              </w:rPr>
              <w:t>t</w:t>
            </w:r>
            <w:r>
              <w:rPr>
                <w:rFonts w:hint="eastAsia" w:ascii="Times New Roman" w:hAnsi="Times New Roman"/>
                <w:color w:val="auto"/>
                <w:kern w:val="0"/>
                <w:sz w:val="24"/>
                <w:szCs w:val="24"/>
                <w:highlight w:val="none"/>
                <w:vertAlign w:val="subscript"/>
              </w:rPr>
              <w:t>消</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rPr>
              <w:t>消防设施对应的设计消防历时，</w:t>
            </w:r>
            <w:r>
              <w:rPr>
                <w:rFonts w:ascii="Times New Roman" w:hAnsi="Times New Roman"/>
                <w:color w:val="auto"/>
                <w:kern w:val="0"/>
                <w:sz w:val="24"/>
                <w:szCs w:val="24"/>
                <w:highlight w:val="none"/>
              </w:rPr>
              <w:t>h</w:t>
            </w:r>
            <w:r>
              <w:rPr>
                <w:rFonts w:hint="eastAsia" w:ascii="Times New Roman" w:hAnsi="Times New Roman"/>
                <w:color w:val="auto"/>
                <w:kern w:val="0"/>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kern w:val="0"/>
                <w:sz w:val="24"/>
                <w:szCs w:val="24"/>
                <w:highlight w:val="none"/>
                <w:lang w:val="en-US" w:eastAsia="zh-CN"/>
              </w:rPr>
              <w:t>根据企业提供的设计资料，企业最大设计消防水量为30L/s，消防历时1h，则V</w:t>
            </w:r>
            <w:r>
              <w:rPr>
                <w:rFonts w:hint="eastAsia" w:ascii="Times New Roman" w:hAnsi="Times New Roman" w:eastAsia="宋体"/>
                <w:color w:val="auto"/>
                <w:kern w:val="0"/>
                <w:sz w:val="24"/>
                <w:szCs w:val="24"/>
                <w:highlight w:val="none"/>
                <w:vertAlign w:val="subscript"/>
                <w:lang w:val="en-US" w:eastAsia="zh-CN"/>
              </w:rPr>
              <w:t>2</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lang w:val="en-US" w:eastAsia="zh-CN"/>
              </w:rPr>
              <w:t>108</w:t>
            </w:r>
            <w:r>
              <w:rPr>
                <w:rFonts w:ascii="Times New Roman" w:hAnsi="Times New Roman"/>
                <w:color w:val="auto"/>
                <w:kern w:val="0"/>
                <w:sz w:val="24"/>
                <w:szCs w:val="24"/>
                <w:highlight w:val="none"/>
              </w:rPr>
              <w:t>m</w:t>
            </w:r>
            <w:r>
              <w:rPr>
                <w:rFonts w:ascii="Times New Roman" w:hAnsi="Times New Roman"/>
                <w:color w:val="auto"/>
                <w:kern w:val="0"/>
                <w:sz w:val="24"/>
                <w:szCs w:val="24"/>
                <w:highlight w:val="none"/>
                <w:vertAlign w:val="superscript"/>
              </w:rPr>
              <w:t>3</w:t>
            </w:r>
            <w:r>
              <w:rPr>
                <w:rFonts w:hint="eastAsia" w:ascii="Times New Roman" w:hAnsi="Times New Roman"/>
                <w:color w:val="auto"/>
                <w:kern w:val="0"/>
                <w:sz w:val="24"/>
                <w:szCs w:val="24"/>
                <w:highlight w:val="none"/>
                <w:vertAlign w:val="baseline"/>
                <w:lang w:eastAsia="zh-CN"/>
              </w:rPr>
              <w:t>。</w:t>
            </w:r>
          </w:p>
          <w:p>
            <w:pPr>
              <w:pStyle w:val="2"/>
              <w:rPr>
                <w:rFonts w:hint="default" w:eastAsia="宋体"/>
                <w:color w:val="auto"/>
                <w:highlight w:val="none"/>
                <w:vertAlign w:val="subscript"/>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5</w:t>
            </w:r>
            <w:r>
              <w:rPr>
                <w:rFonts w:hint="default" w:ascii="Times New Roman" w:hAnsi="Times New Roman" w:cs="Times New Roman"/>
                <w:color w:val="auto"/>
                <w:kern w:val="0"/>
                <w:sz w:val="24"/>
                <w:szCs w:val="24"/>
                <w:highlight w:val="none"/>
              </w:rPr>
              <w:t>=10qF</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q=q</w:t>
            </w:r>
            <w:r>
              <w:rPr>
                <w:rFonts w:hint="default" w:ascii="Times New Roman" w:hAnsi="Times New Roman" w:cs="Times New Roman"/>
                <w:color w:val="auto"/>
                <w:kern w:val="0"/>
                <w:sz w:val="24"/>
                <w:szCs w:val="24"/>
                <w:highlight w:val="none"/>
                <w:vertAlign w:val="subscript"/>
              </w:rPr>
              <w:t>a</w:t>
            </w:r>
            <w:r>
              <w:rPr>
                <w:rFonts w:hint="default" w:ascii="Times New Roman" w:hAnsi="Times New Roman" w:cs="Times New Roman"/>
                <w:color w:val="auto"/>
                <w:kern w:val="0"/>
                <w:sz w:val="24"/>
                <w:szCs w:val="24"/>
                <w:highlight w:val="none"/>
              </w:rPr>
              <w:t>/n</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q——降雨强度，mm；按平均日降雨量；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sz w:val="24"/>
                <w:szCs w:val="24"/>
                <w:highlight w:val="none"/>
              </w:rPr>
              <w:t>q</w:t>
            </w:r>
            <w:r>
              <w:rPr>
                <w:rFonts w:hint="default" w:ascii="Times New Roman" w:hAnsi="Times New Roman" w:cs="Times New Roman"/>
                <w:color w:val="auto"/>
                <w:kern w:val="0"/>
                <w:sz w:val="24"/>
                <w:szCs w:val="24"/>
                <w:highlight w:val="none"/>
                <w:vertAlign w:val="subscript"/>
              </w:rPr>
              <w:t>a</w:t>
            </w:r>
            <w:r>
              <w:rPr>
                <w:rFonts w:hint="default" w:ascii="Times New Roman" w:hAnsi="Times New Roman" w:cs="Times New Roman"/>
                <w:color w:val="auto"/>
                <w:kern w:val="0"/>
                <w:sz w:val="24"/>
                <w:szCs w:val="24"/>
                <w:highlight w:val="none"/>
              </w:rPr>
              <w:t>——年平均降雨量，mm；</w:t>
            </w:r>
            <w:r>
              <w:rPr>
                <w:rFonts w:hint="eastAsia" w:ascii="Times New Roman" w:hAnsi="Times New Roman" w:cs="Times New Roman"/>
                <w:color w:val="auto"/>
                <w:kern w:val="0"/>
                <w:sz w:val="24"/>
                <w:szCs w:val="24"/>
                <w:highlight w:val="none"/>
                <w:lang w:val="en-US" w:eastAsia="zh-CN"/>
              </w:rPr>
              <w:t>长乐区近20年平均降水量</w:t>
            </w:r>
            <w:r>
              <w:rPr>
                <w:rFonts w:hint="eastAsia" w:ascii="Times New Roman" w:hAnsi="Times New Roman" w:eastAsia="宋体" w:cs="Times New Roman"/>
                <w:color w:val="auto"/>
                <w:kern w:val="0"/>
                <w:sz w:val="24"/>
                <w:szCs w:val="24"/>
                <w:highlight w:val="none"/>
                <w:lang w:val="en-US" w:eastAsia="zh-CN"/>
              </w:rPr>
              <w:t>为1598.1mm。</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n——年平均降雨日数</w:t>
            </w: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约160天</w:t>
            </w:r>
            <w:r>
              <w:rPr>
                <w:rFonts w:hint="default" w:ascii="Times New Roman" w:hAnsi="Times New Roman" w:cs="Times New Roman"/>
                <w:color w:val="auto"/>
                <w:kern w:val="0"/>
                <w:sz w:val="24"/>
                <w:szCs w:val="24"/>
                <w:highlight w:val="none"/>
              </w:rPr>
              <w:t>。</w:t>
            </w:r>
          </w:p>
          <w:p>
            <w:pPr>
              <w:pStyle w:val="7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F——必须进入事故废水收集系统的雨水汇水面积，ha；</w:t>
            </w:r>
          </w:p>
          <w:p>
            <w:pPr>
              <w:pStyle w:val="7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rPr>
              <w:t>全厂共分为三个雨水片，最大雨水片汇水面积约为1.5ha。</w:t>
            </w: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24"/>
                <w:szCs w:val="24"/>
                <w:highlight w:val="none"/>
                <w:vertAlign w:val="subscript"/>
                <w:lang w:val="en-US" w:eastAsia="zh-CN" w:bidi="ar"/>
              </w:rPr>
              <w:t>5</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149.8</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p>
          <w:p>
            <w:pPr>
              <w:pStyle w:val="78"/>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则：V</w:t>
            </w:r>
            <w:r>
              <w:rPr>
                <w:rFonts w:hint="eastAsia" w:ascii="Times New Roman" w:hAnsi="Times New Roman" w:eastAsia="宋体" w:cs="Times New Roman"/>
                <w:color w:val="auto"/>
                <w:kern w:val="0"/>
                <w:sz w:val="24"/>
                <w:szCs w:val="24"/>
                <w:highlight w:val="none"/>
                <w:vertAlign w:val="subscript"/>
                <w:lang w:val="en-US" w:eastAsia="zh-CN" w:bidi="ar"/>
              </w:rPr>
              <w:t>总</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24"/>
                <w:szCs w:val="24"/>
                <w:highlight w:val="none"/>
                <w:vertAlign w:val="subscript"/>
                <w:lang w:val="en-US" w:eastAsia="zh-CN" w:bidi="ar"/>
              </w:rPr>
              <w:t>1</w:t>
            </w:r>
            <w:r>
              <w:rPr>
                <w:rFonts w:hint="default" w:ascii="Times New Roman" w:hAnsi="Times New Roman" w:eastAsia="宋体" w:cs="Times New Roman"/>
                <w:color w:val="auto"/>
                <w:kern w:val="0"/>
                <w:sz w:val="24"/>
                <w:szCs w:val="24"/>
                <w:highlight w:val="none"/>
                <w:lang w:val="en-US" w:eastAsia="zh-CN" w:bidi="ar"/>
              </w:rPr>
              <w:t>+ V</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 V</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max + V</w:t>
            </w:r>
            <w:r>
              <w:rPr>
                <w:rFonts w:hint="default" w:ascii="Times New Roman" w:hAnsi="Times New Roman" w:eastAsia="宋体" w:cs="Times New Roman"/>
                <w:color w:val="auto"/>
                <w:kern w:val="0"/>
                <w:sz w:val="24"/>
                <w:szCs w:val="24"/>
                <w:highlight w:val="none"/>
                <w:vertAlign w:val="subscript"/>
                <w:lang w:val="en-US" w:eastAsia="zh-CN" w:bidi="ar"/>
              </w:rPr>
              <w:t>4</w:t>
            </w:r>
            <w:r>
              <w:rPr>
                <w:rFonts w:hint="default" w:ascii="Times New Roman" w:hAnsi="Times New Roman" w:eastAsia="宋体" w:cs="Times New Roman"/>
                <w:color w:val="auto"/>
                <w:kern w:val="0"/>
                <w:sz w:val="24"/>
                <w:szCs w:val="24"/>
                <w:highlight w:val="none"/>
                <w:lang w:val="en-US" w:eastAsia="zh-CN" w:bidi="ar"/>
              </w:rPr>
              <w:t>+ V</w:t>
            </w:r>
            <w:r>
              <w:rPr>
                <w:rFonts w:hint="default" w:ascii="Times New Roman" w:hAnsi="Times New Roman" w:eastAsia="宋体" w:cs="Times New Roman"/>
                <w:color w:val="auto"/>
                <w:kern w:val="0"/>
                <w:sz w:val="24"/>
                <w:szCs w:val="24"/>
                <w:highlight w:val="none"/>
                <w:vertAlign w:val="subscript"/>
                <w:lang w:val="en-US" w:eastAsia="zh-CN" w:bidi="ar"/>
              </w:rPr>
              <w:t>5</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0.25+108-2</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149.8</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254.75</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p>
          <w:p>
            <w:pPr>
              <w:pStyle w:val="72"/>
              <w:ind w:firstLine="480"/>
              <w:rPr>
                <w:color w:val="auto"/>
                <w:highlight w:val="none"/>
              </w:rPr>
            </w:pPr>
            <w:r>
              <w:rPr>
                <w:rFonts w:hint="eastAsia"/>
                <w:color w:val="auto"/>
                <w:highlight w:val="none"/>
              </w:rPr>
              <w:t>3）应急预案</w:t>
            </w:r>
          </w:p>
          <w:p>
            <w:pPr>
              <w:pStyle w:val="72"/>
              <w:ind w:firstLine="480"/>
              <w:rPr>
                <w:color w:val="auto"/>
                <w:highlight w:val="none"/>
              </w:rPr>
            </w:pPr>
            <w:r>
              <w:rPr>
                <w:rFonts w:hint="eastAsia"/>
                <w:color w:val="auto"/>
                <w:highlight w:val="none"/>
              </w:rPr>
              <w:t>建设单位应按照《突发环境事件应急预案管理暂行办法》（环发</w:t>
            </w:r>
            <w:r>
              <w:rPr>
                <w:rFonts w:hint="eastAsia"/>
                <w:color w:val="auto"/>
                <w:highlight w:val="none"/>
                <w:lang w:eastAsia="zh-CN"/>
              </w:rPr>
              <w:t>〔2010〕113号</w:t>
            </w:r>
            <w:r>
              <w:rPr>
                <w:rFonts w:hint="eastAsia"/>
                <w:color w:val="auto"/>
                <w:highlight w:val="none"/>
              </w:rPr>
              <w:t>）、《关于进一步加强环境影响评价管理防范环境风险的通知》（环发</w:t>
            </w:r>
            <w:r>
              <w:rPr>
                <w:rFonts w:hint="eastAsia"/>
                <w:color w:val="auto"/>
                <w:highlight w:val="none"/>
                <w:lang w:eastAsia="zh-CN"/>
              </w:rPr>
              <w:t>〔2012〕77号</w:t>
            </w:r>
            <w:r>
              <w:rPr>
                <w:rFonts w:hint="eastAsia"/>
                <w:color w:val="auto"/>
                <w:highlight w:val="none"/>
              </w:rPr>
              <w:t>）、《企业事业单位突发环境事件应急预案备案管理办法（试行）》（环发</w:t>
            </w:r>
            <w:r>
              <w:rPr>
                <w:rFonts w:hint="eastAsia"/>
                <w:color w:val="auto"/>
                <w:highlight w:val="none"/>
                <w:lang w:eastAsia="zh-CN"/>
              </w:rPr>
              <w:t>〔2015〕4号</w:t>
            </w:r>
            <w:r>
              <w:rPr>
                <w:rFonts w:hint="eastAsia"/>
                <w:color w:val="auto"/>
                <w:highlight w:val="none"/>
              </w:rPr>
              <w:t>）等要求，</w:t>
            </w:r>
            <w:r>
              <w:rPr>
                <w:rFonts w:hint="eastAsia"/>
                <w:color w:val="auto"/>
                <w:highlight w:val="none"/>
                <w:lang w:val="en-US" w:eastAsia="zh-CN"/>
              </w:rPr>
              <w:t>编制或修订</w:t>
            </w:r>
            <w:r>
              <w:rPr>
                <w:rFonts w:hint="eastAsia"/>
                <w:color w:val="auto"/>
                <w:highlight w:val="none"/>
              </w:rPr>
              <w:t>突发事件应急预案，并定期组织开展培训和演练。</w:t>
            </w:r>
          </w:p>
          <w:p>
            <w:pPr>
              <w:pStyle w:val="72"/>
              <w:ind w:firstLine="480"/>
              <w:rPr>
                <w:color w:val="auto"/>
                <w:highlight w:val="none"/>
              </w:rPr>
            </w:pPr>
            <w:r>
              <w:rPr>
                <w:rFonts w:hint="eastAsia"/>
                <w:color w:val="auto"/>
                <w:highlight w:val="none"/>
              </w:rPr>
              <w:t>（4）风险分析结论</w:t>
            </w:r>
          </w:p>
          <w:p>
            <w:pPr>
              <w:pStyle w:val="72"/>
              <w:ind w:firstLine="480"/>
              <w:rPr>
                <w:color w:val="auto"/>
                <w:highlight w:val="none"/>
              </w:rPr>
            </w:pPr>
            <w:r>
              <w:rPr>
                <w:rFonts w:hint="eastAsia"/>
                <w:color w:val="auto"/>
                <w:highlight w:val="none"/>
              </w:rPr>
              <w:t>本项目危险化学品储存量较少，不构成重大危险源。配套相应的应急物资的前提下，在加强厂区防火管理、定期保养维护设备的基础上，事故发生概率很低，经过采取妥善的风险防范措施，本项目环境风险在可接受的范围内。</w:t>
            </w:r>
          </w:p>
        </w:tc>
      </w:tr>
    </w:tbl>
    <w:p>
      <w:pPr>
        <w:adjustRightInd w:val="0"/>
        <w:snapToGrid w:val="0"/>
        <w:spacing w:line="360" w:lineRule="auto"/>
        <w:rPr>
          <w:rFonts w:ascii="宋体" w:cs="宋体"/>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both"/>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1" w:name="_Hlk54167917"/>
      <w:r>
        <w:rPr>
          <w:rFonts w:hint="eastAsia" w:ascii="黑体" w:hAnsi="黑体" w:eastAsia="黑体"/>
          <w:snapToGrid w:val="0"/>
          <w:color w:val="auto"/>
          <w:sz w:val="30"/>
          <w:szCs w:val="30"/>
          <w:highlight w:val="none"/>
        </w:rPr>
        <w:t>环境保护措施监督检查清单</w:t>
      </w:r>
      <w:bookmarkEnd w:id="1"/>
    </w:p>
    <w:tbl>
      <w:tblPr>
        <w:tblStyle w:val="28"/>
        <w:tblW w:w="90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3"/>
        <w:gridCol w:w="373"/>
        <w:gridCol w:w="1472"/>
        <w:gridCol w:w="7"/>
        <w:gridCol w:w="1314"/>
        <w:gridCol w:w="7"/>
        <w:gridCol w:w="1978"/>
        <w:gridCol w:w="3226"/>
        <w:gridCol w:w="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5" w:hRule="atLeast"/>
          <w:jc w:val="center"/>
        </w:trPr>
        <w:tc>
          <w:tcPr>
            <w:tcW w:w="683" w:type="dxa"/>
            <w:tcBorders>
              <w:tl2br w:val="single" w:color="auto" w:sz="4" w:space="0"/>
            </w:tcBorders>
          </w:tcPr>
          <w:p>
            <w:pPr>
              <w:pStyle w:val="70"/>
              <w:rPr>
                <w:color w:val="auto"/>
                <w:highlight w:val="none"/>
              </w:rPr>
            </w:pPr>
            <w:r>
              <w:rPr>
                <w:rFonts w:hint="eastAsia"/>
                <w:color w:val="auto"/>
                <w:highlight w:val="none"/>
              </w:rPr>
              <w:t>内容</w:t>
            </w:r>
          </w:p>
          <w:p>
            <w:pPr>
              <w:pStyle w:val="70"/>
              <w:jc w:val="both"/>
              <w:rPr>
                <w:color w:val="auto"/>
                <w:highlight w:val="none"/>
              </w:rPr>
            </w:pPr>
            <w:r>
              <w:rPr>
                <w:rFonts w:hint="eastAsia"/>
                <w:color w:val="auto"/>
                <w:highlight w:val="none"/>
              </w:rPr>
              <w:t>要素</w:t>
            </w:r>
          </w:p>
        </w:tc>
        <w:tc>
          <w:tcPr>
            <w:tcW w:w="1845" w:type="dxa"/>
            <w:gridSpan w:val="2"/>
            <w:vAlign w:val="center"/>
          </w:tcPr>
          <w:p>
            <w:pPr>
              <w:pStyle w:val="70"/>
              <w:rPr>
                <w:color w:val="auto"/>
                <w:highlight w:val="none"/>
              </w:rPr>
            </w:pPr>
            <w:r>
              <w:rPr>
                <w:rFonts w:hint="eastAsia"/>
                <w:color w:val="auto"/>
                <w:highlight w:val="none"/>
              </w:rPr>
              <w:t>排放口(编号、</w:t>
            </w:r>
          </w:p>
          <w:p>
            <w:pPr>
              <w:pStyle w:val="70"/>
              <w:rPr>
                <w:color w:val="auto"/>
                <w:highlight w:val="none"/>
              </w:rPr>
            </w:pPr>
            <w:r>
              <w:rPr>
                <w:rFonts w:hint="eastAsia"/>
                <w:color w:val="auto"/>
                <w:highlight w:val="none"/>
              </w:rPr>
              <w:t>名称)/污染源</w:t>
            </w:r>
          </w:p>
        </w:tc>
        <w:tc>
          <w:tcPr>
            <w:tcW w:w="1321" w:type="dxa"/>
            <w:gridSpan w:val="2"/>
            <w:vAlign w:val="center"/>
          </w:tcPr>
          <w:p>
            <w:pPr>
              <w:pStyle w:val="70"/>
              <w:rPr>
                <w:color w:val="auto"/>
                <w:highlight w:val="none"/>
              </w:rPr>
            </w:pPr>
            <w:r>
              <w:rPr>
                <w:rFonts w:hint="eastAsia"/>
                <w:color w:val="auto"/>
                <w:highlight w:val="none"/>
              </w:rPr>
              <w:t>污染物项目</w:t>
            </w:r>
          </w:p>
        </w:tc>
        <w:tc>
          <w:tcPr>
            <w:tcW w:w="1985" w:type="dxa"/>
            <w:gridSpan w:val="2"/>
            <w:vAlign w:val="center"/>
          </w:tcPr>
          <w:p>
            <w:pPr>
              <w:pStyle w:val="70"/>
              <w:rPr>
                <w:color w:val="auto"/>
                <w:highlight w:val="none"/>
              </w:rPr>
            </w:pPr>
            <w:r>
              <w:rPr>
                <w:rFonts w:hint="eastAsia"/>
                <w:color w:val="auto"/>
                <w:highlight w:val="none"/>
              </w:rPr>
              <w:t>环境保护措施</w:t>
            </w:r>
          </w:p>
        </w:tc>
        <w:tc>
          <w:tcPr>
            <w:tcW w:w="3226" w:type="dxa"/>
            <w:vAlign w:val="center"/>
          </w:tcPr>
          <w:p>
            <w:pPr>
              <w:pStyle w:val="70"/>
              <w:rPr>
                <w:color w:val="auto"/>
                <w:highlight w:val="none"/>
              </w:rPr>
            </w:pPr>
            <w:r>
              <w:rPr>
                <w:rFonts w:hint="eastAsia"/>
                <w:color w:val="auto"/>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5" w:hRule="atLeast"/>
          <w:jc w:val="center"/>
        </w:trPr>
        <w:tc>
          <w:tcPr>
            <w:tcW w:w="683" w:type="dxa"/>
            <w:vMerge w:val="restart"/>
            <w:vAlign w:val="center"/>
          </w:tcPr>
          <w:p>
            <w:pPr>
              <w:pStyle w:val="70"/>
              <w:rPr>
                <w:color w:val="auto"/>
                <w:highlight w:val="none"/>
              </w:rPr>
            </w:pPr>
            <w:r>
              <w:rPr>
                <w:rFonts w:hint="eastAsia"/>
                <w:color w:val="auto"/>
                <w:highlight w:val="none"/>
              </w:rPr>
              <w:t>大气环境</w:t>
            </w:r>
          </w:p>
        </w:tc>
        <w:tc>
          <w:tcPr>
            <w:tcW w:w="1845" w:type="dxa"/>
            <w:gridSpan w:val="2"/>
            <w:vAlign w:val="center"/>
          </w:tcPr>
          <w:p>
            <w:pPr>
              <w:pStyle w:val="70"/>
              <w:rPr>
                <w:rFonts w:hint="eastAsia"/>
                <w:color w:val="auto"/>
                <w:highlight w:val="none"/>
                <w:lang w:val="en-US" w:eastAsia="zh-CN"/>
              </w:rPr>
            </w:pPr>
            <w:r>
              <w:rPr>
                <w:rFonts w:hint="eastAsia"/>
                <w:color w:val="auto"/>
                <w:highlight w:val="none"/>
                <w:lang w:val="en-US" w:eastAsia="zh-CN"/>
              </w:rPr>
              <w:t>喷砂工序排气筒DA001</w:t>
            </w:r>
          </w:p>
        </w:tc>
        <w:tc>
          <w:tcPr>
            <w:tcW w:w="1321" w:type="dxa"/>
            <w:gridSpan w:val="2"/>
            <w:vAlign w:val="center"/>
          </w:tcPr>
          <w:p>
            <w:pPr>
              <w:pStyle w:val="70"/>
              <w:rPr>
                <w:rFonts w:hint="eastAsia"/>
                <w:color w:val="auto"/>
                <w:highlight w:val="none"/>
              </w:rPr>
            </w:pPr>
            <w:r>
              <w:rPr>
                <w:rFonts w:hint="eastAsia"/>
                <w:color w:val="auto"/>
                <w:highlight w:val="none"/>
              </w:rPr>
              <w:t>颗粒物</w:t>
            </w:r>
          </w:p>
        </w:tc>
        <w:tc>
          <w:tcPr>
            <w:tcW w:w="1985" w:type="dxa"/>
            <w:gridSpan w:val="2"/>
            <w:vAlign w:val="center"/>
          </w:tcPr>
          <w:p>
            <w:pPr>
              <w:pStyle w:val="70"/>
              <w:rPr>
                <w:rFonts w:hint="default" w:eastAsia="宋体"/>
                <w:color w:val="auto"/>
                <w:highlight w:val="none"/>
                <w:vertAlign w:val="baseline"/>
                <w:lang w:val="en-US" w:eastAsia="zh-CN"/>
              </w:rPr>
            </w:pPr>
            <w:r>
              <w:rPr>
                <w:rFonts w:hint="eastAsia"/>
                <w:color w:val="auto"/>
                <w:highlight w:val="none"/>
                <w:lang w:val="en-US" w:eastAsia="zh-CN"/>
              </w:rPr>
              <w:t>负压密闭喷砂房，</w:t>
            </w:r>
            <w:r>
              <w:rPr>
                <w:rFonts w:hint="eastAsia"/>
                <w:color w:val="auto"/>
                <w:highlight w:val="none"/>
              </w:rPr>
              <w:t>集气罩+</w:t>
            </w:r>
            <w:r>
              <w:rPr>
                <w:rFonts w:hint="eastAsia"/>
                <w:color w:val="auto"/>
                <w:highlight w:val="none"/>
                <w:lang w:val="en-US" w:eastAsia="zh-CN"/>
              </w:rPr>
              <w:t>3套布袋除尘（单套设计最大风量30000m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r>
              <w:rPr>
                <w:rFonts w:hint="eastAsia"/>
                <w:color w:val="auto"/>
                <w:highlight w:val="none"/>
                <w:lang w:val="en-US" w:eastAsia="zh-CN"/>
              </w:rPr>
              <w:t>+1根15m高</w:t>
            </w:r>
            <w:r>
              <w:rPr>
                <w:rFonts w:hint="eastAsia"/>
                <w:color w:val="auto"/>
                <w:highlight w:val="none"/>
              </w:rPr>
              <w:t>排气</w:t>
            </w:r>
            <w:r>
              <w:rPr>
                <w:rFonts w:hint="eastAsia"/>
                <w:color w:val="auto"/>
                <w:highlight w:val="none"/>
                <w:lang w:val="en-US" w:eastAsia="zh-CN"/>
              </w:rPr>
              <w:t>筒排放</w:t>
            </w:r>
          </w:p>
        </w:tc>
        <w:tc>
          <w:tcPr>
            <w:tcW w:w="3226" w:type="dxa"/>
            <w:vMerge w:val="restart"/>
            <w:vAlign w:val="center"/>
          </w:tcPr>
          <w:p>
            <w:pPr>
              <w:pStyle w:val="70"/>
              <w:rPr>
                <w:rFonts w:hint="eastAsia" w:eastAsia="宋体"/>
                <w:color w:val="auto"/>
                <w:highlight w:val="none"/>
                <w:lang w:eastAsia="zh-CN"/>
              </w:rPr>
            </w:pPr>
            <w:r>
              <w:rPr>
                <w:rFonts w:hint="eastAsia"/>
                <w:color w:val="auto"/>
                <w:highlight w:val="none"/>
              </w:rPr>
              <w:t>《大气污染物综合排放标准》（GB16297-1996）表2颗粒物（其他）有组织最高允许排放浓度</w:t>
            </w:r>
            <w:r>
              <w:rPr>
                <w:rFonts w:hint="eastAsia"/>
                <w:color w:val="auto"/>
                <w:highlight w:val="none"/>
                <w:lang w:eastAsia="zh-CN"/>
              </w:rPr>
              <w:t>、</w:t>
            </w:r>
            <w:r>
              <w:rPr>
                <w:rFonts w:hint="eastAsia"/>
                <w:color w:val="auto"/>
                <w:highlight w:val="none"/>
                <w:lang w:val="en-US" w:eastAsia="zh-CN"/>
              </w:rPr>
              <w:t>速率</w:t>
            </w:r>
            <w:r>
              <w:rPr>
                <w:rFonts w:hint="eastAsia"/>
                <w:color w:val="auto"/>
                <w:highlight w:val="none"/>
              </w:rPr>
              <w:t>和无组织排放监控浓度限值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5" w:hRule="atLeast"/>
          <w:jc w:val="center"/>
        </w:trPr>
        <w:tc>
          <w:tcPr>
            <w:tcW w:w="683" w:type="dxa"/>
            <w:vMerge w:val="continue"/>
            <w:vAlign w:val="center"/>
          </w:tcPr>
          <w:p>
            <w:pPr>
              <w:pStyle w:val="70"/>
              <w:rPr>
                <w:color w:val="auto"/>
                <w:highlight w:val="none"/>
              </w:rPr>
            </w:pPr>
          </w:p>
        </w:tc>
        <w:tc>
          <w:tcPr>
            <w:tcW w:w="1845" w:type="dxa"/>
            <w:gridSpan w:val="2"/>
            <w:vAlign w:val="center"/>
          </w:tcPr>
          <w:p>
            <w:pPr>
              <w:pStyle w:val="70"/>
              <w:rPr>
                <w:rFonts w:hint="default"/>
                <w:color w:val="auto"/>
                <w:highlight w:val="none"/>
                <w:lang w:val="en-US" w:eastAsia="zh-CN"/>
              </w:rPr>
            </w:pPr>
            <w:r>
              <w:rPr>
                <w:rFonts w:hint="eastAsia"/>
                <w:color w:val="auto"/>
                <w:highlight w:val="none"/>
                <w:lang w:val="en-US" w:eastAsia="zh-CN"/>
              </w:rPr>
              <w:t>抛光工序排气筒DA002</w:t>
            </w:r>
          </w:p>
        </w:tc>
        <w:tc>
          <w:tcPr>
            <w:tcW w:w="1321" w:type="dxa"/>
            <w:gridSpan w:val="2"/>
            <w:shd w:val="clear" w:color="auto" w:fill="auto"/>
            <w:vAlign w:val="center"/>
          </w:tcPr>
          <w:p>
            <w:pPr>
              <w:pStyle w:val="70"/>
              <w:rPr>
                <w:rFonts w:hint="eastAsia"/>
                <w:color w:val="auto"/>
                <w:highlight w:val="none"/>
                <w:lang w:val="en-US" w:eastAsia="zh-CN"/>
              </w:rPr>
            </w:pPr>
            <w:r>
              <w:rPr>
                <w:rFonts w:hint="eastAsia"/>
                <w:color w:val="auto"/>
                <w:highlight w:val="none"/>
              </w:rPr>
              <w:t>颗粒物</w:t>
            </w:r>
          </w:p>
        </w:tc>
        <w:tc>
          <w:tcPr>
            <w:tcW w:w="1985" w:type="dxa"/>
            <w:gridSpan w:val="2"/>
            <w:vAlign w:val="center"/>
          </w:tcPr>
          <w:p>
            <w:pPr>
              <w:pStyle w:val="70"/>
              <w:rPr>
                <w:rFonts w:hint="eastAsia" w:eastAsia="宋体"/>
                <w:color w:val="auto"/>
                <w:highlight w:val="none"/>
                <w:lang w:val="en-US" w:eastAsia="zh-CN"/>
              </w:rPr>
            </w:pPr>
            <w:r>
              <w:rPr>
                <w:rFonts w:hint="eastAsia"/>
                <w:color w:val="auto"/>
                <w:highlight w:val="none"/>
                <w:lang w:val="en-US" w:eastAsia="zh-CN"/>
              </w:rPr>
              <w:t>负压密闭抛光房，侧吸</w:t>
            </w:r>
            <w:r>
              <w:rPr>
                <w:rFonts w:hint="eastAsia"/>
                <w:color w:val="auto"/>
                <w:highlight w:val="none"/>
              </w:rPr>
              <w:t>集气罩+</w:t>
            </w:r>
            <w:r>
              <w:rPr>
                <w:rFonts w:hint="eastAsia"/>
                <w:color w:val="auto"/>
                <w:highlight w:val="none"/>
                <w:lang w:val="en-US" w:eastAsia="zh-CN"/>
              </w:rPr>
              <w:t>2套湿法除尘（单套设计风量30000m</w:t>
            </w:r>
            <w:r>
              <w:rPr>
                <w:rFonts w:hint="eastAsia"/>
                <w:color w:val="auto"/>
                <w:highlight w:val="none"/>
                <w:vertAlign w:val="superscript"/>
                <w:lang w:val="en-US" w:eastAsia="zh-CN"/>
              </w:rPr>
              <w:t>3</w:t>
            </w:r>
            <w:r>
              <w:rPr>
                <w:rFonts w:hint="eastAsia"/>
                <w:color w:val="auto"/>
                <w:highlight w:val="none"/>
                <w:vertAlign w:val="baseline"/>
                <w:lang w:val="en-US" w:eastAsia="zh-CN"/>
              </w:rPr>
              <w:t>/h）</w:t>
            </w:r>
            <w:r>
              <w:rPr>
                <w:rFonts w:hint="eastAsia"/>
                <w:color w:val="auto"/>
                <w:highlight w:val="none"/>
                <w:lang w:val="en-US" w:eastAsia="zh-CN"/>
              </w:rPr>
              <w:t>+1根15m高</w:t>
            </w:r>
            <w:r>
              <w:rPr>
                <w:rFonts w:hint="eastAsia"/>
                <w:color w:val="auto"/>
                <w:highlight w:val="none"/>
              </w:rPr>
              <w:t>排气</w:t>
            </w:r>
            <w:r>
              <w:rPr>
                <w:rFonts w:hint="eastAsia"/>
                <w:color w:val="auto"/>
                <w:highlight w:val="none"/>
                <w:lang w:val="en-US" w:eastAsia="zh-CN"/>
              </w:rPr>
              <w:t>筒</w:t>
            </w:r>
          </w:p>
        </w:tc>
        <w:tc>
          <w:tcPr>
            <w:tcW w:w="3226" w:type="dxa"/>
            <w:vMerge w:val="continue"/>
            <w:vAlign w:val="center"/>
          </w:tcPr>
          <w:p>
            <w:pPr>
              <w:pStyle w:val="70"/>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606" w:hRule="atLeast"/>
          <w:jc w:val="center"/>
        </w:trPr>
        <w:tc>
          <w:tcPr>
            <w:tcW w:w="683" w:type="dxa"/>
            <w:vMerge w:val="continue"/>
            <w:vAlign w:val="center"/>
          </w:tcPr>
          <w:p>
            <w:pPr>
              <w:pStyle w:val="70"/>
              <w:rPr>
                <w:color w:val="auto"/>
                <w:highlight w:val="none"/>
              </w:rPr>
            </w:pPr>
          </w:p>
        </w:tc>
        <w:tc>
          <w:tcPr>
            <w:tcW w:w="1845" w:type="dxa"/>
            <w:gridSpan w:val="2"/>
            <w:shd w:val="clear" w:color="auto" w:fill="auto"/>
            <w:vAlign w:val="center"/>
          </w:tcPr>
          <w:p>
            <w:pPr>
              <w:pStyle w:val="70"/>
              <w:rPr>
                <w:rFonts w:hint="eastAsia" w:eastAsia="宋体"/>
                <w:color w:val="auto"/>
                <w:highlight w:val="none"/>
                <w:lang w:val="en-US" w:eastAsia="zh-CN"/>
              </w:rPr>
            </w:pPr>
            <w:r>
              <w:rPr>
                <w:rFonts w:hint="eastAsia"/>
                <w:color w:val="auto"/>
                <w:highlight w:val="none"/>
                <w:lang w:val="en-US" w:eastAsia="zh-CN"/>
              </w:rPr>
              <w:t>清洁工序（无组织排放面源）</w:t>
            </w:r>
          </w:p>
        </w:tc>
        <w:tc>
          <w:tcPr>
            <w:tcW w:w="1321" w:type="dxa"/>
            <w:gridSpan w:val="2"/>
            <w:vAlign w:val="center"/>
          </w:tcPr>
          <w:p>
            <w:pPr>
              <w:pStyle w:val="70"/>
              <w:rPr>
                <w:color w:val="auto"/>
                <w:highlight w:val="none"/>
              </w:rPr>
            </w:pPr>
            <w:r>
              <w:rPr>
                <w:rFonts w:hint="eastAsia"/>
                <w:color w:val="auto"/>
                <w:highlight w:val="none"/>
              </w:rPr>
              <w:t>非甲烷总烃</w:t>
            </w:r>
          </w:p>
        </w:tc>
        <w:tc>
          <w:tcPr>
            <w:tcW w:w="1985" w:type="dxa"/>
            <w:gridSpan w:val="2"/>
            <w:shd w:val="clear" w:color="auto" w:fill="auto"/>
            <w:vAlign w:val="center"/>
          </w:tcPr>
          <w:p>
            <w:pPr>
              <w:pStyle w:val="70"/>
              <w:rPr>
                <w:rFonts w:hint="default" w:eastAsia="宋体"/>
                <w:color w:val="auto"/>
                <w:highlight w:val="none"/>
                <w:lang w:val="en-US" w:eastAsia="zh-CN"/>
              </w:rPr>
            </w:pPr>
            <w:r>
              <w:rPr>
                <w:rFonts w:hint="eastAsia"/>
                <w:color w:val="auto"/>
                <w:highlight w:val="none"/>
                <w:lang w:val="en-US" w:eastAsia="zh-CN"/>
              </w:rPr>
              <w:t>车间换气</w:t>
            </w:r>
          </w:p>
        </w:tc>
        <w:tc>
          <w:tcPr>
            <w:tcW w:w="3226" w:type="dxa"/>
            <w:vAlign w:val="center"/>
          </w:tcPr>
          <w:p>
            <w:pPr>
              <w:pStyle w:val="70"/>
              <w:rPr>
                <w:color w:val="auto"/>
                <w:highlight w:val="none"/>
              </w:rPr>
            </w:pPr>
            <w:r>
              <w:rPr>
                <w:rFonts w:hint="eastAsia"/>
                <w:color w:val="auto"/>
                <w:highlight w:val="none"/>
              </w:rPr>
              <w:t>《工业企业挥发性有机物排放标准》（DB35/1782—2018）表3企业边界监控点浓度限值、《挥发性有机物无组织排放控制标准》（GB37822—2019）表A.1厂区内VOCs无组织排放浓度限值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dxa"/>
            <w:vMerge w:val="restart"/>
            <w:vAlign w:val="center"/>
          </w:tcPr>
          <w:p>
            <w:pPr>
              <w:pStyle w:val="70"/>
              <w:rPr>
                <w:color w:val="auto"/>
                <w:highlight w:val="none"/>
              </w:rPr>
            </w:pPr>
            <w:r>
              <w:rPr>
                <w:rFonts w:hint="eastAsia"/>
                <w:color w:val="auto"/>
                <w:highlight w:val="none"/>
              </w:rPr>
              <w:t>地表水环境</w:t>
            </w:r>
          </w:p>
        </w:tc>
        <w:tc>
          <w:tcPr>
            <w:tcW w:w="373" w:type="dxa"/>
            <w:vMerge w:val="restart"/>
            <w:vAlign w:val="center"/>
          </w:tcPr>
          <w:p>
            <w:pPr>
              <w:pStyle w:val="70"/>
              <w:rPr>
                <w:color w:val="auto"/>
                <w:highlight w:val="none"/>
              </w:rPr>
            </w:pPr>
            <w:r>
              <w:rPr>
                <w:rFonts w:hint="eastAsia"/>
                <w:color w:val="auto"/>
                <w:highlight w:val="none"/>
              </w:rPr>
              <w:t>生产废水</w:t>
            </w:r>
          </w:p>
        </w:tc>
        <w:tc>
          <w:tcPr>
            <w:tcW w:w="1479" w:type="dxa"/>
            <w:gridSpan w:val="2"/>
            <w:vAlign w:val="center"/>
          </w:tcPr>
          <w:p>
            <w:pPr>
              <w:pStyle w:val="70"/>
              <w:rPr>
                <w:rFonts w:hint="default" w:eastAsia="宋体"/>
                <w:color w:val="auto"/>
                <w:highlight w:val="none"/>
                <w:lang w:val="en-US" w:eastAsia="zh-CN"/>
              </w:rPr>
            </w:pPr>
            <w:r>
              <w:rPr>
                <w:rFonts w:hint="eastAsia"/>
                <w:color w:val="auto"/>
                <w:highlight w:val="none"/>
                <w:lang w:val="en-US" w:eastAsia="zh-CN"/>
              </w:rPr>
              <w:t>纯水制备废水</w:t>
            </w:r>
          </w:p>
        </w:tc>
        <w:tc>
          <w:tcPr>
            <w:tcW w:w="1321" w:type="dxa"/>
            <w:gridSpan w:val="2"/>
            <w:vAlign w:val="center"/>
          </w:tcPr>
          <w:p>
            <w:pPr>
              <w:pStyle w:val="70"/>
              <w:rPr>
                <w:rFonts w:hint="default" w:eastAsia="宋体"/>
                <w:color w:val="auto"/>
                <w:highlight w:val="none"/>
                <w:lang w:val="en-US" w:eastAsia="zh-CN"/>
              </w:rPr>
            </w:pPr>
            <w:r>
              <w:rPr>
                <w:rFonts w:hint="eastAsia"/>
                <w:color w:val="auto"/>
                <w:highlight w:val="none"/>
                <w:lang w:val="en-US" w:eastAsia="zh-CN"/>
              </w:rPr>
              <w:t>COD、SS</w:t>
            </w:r>
          </w:p>
        </w:tc>
        <w:tc>
          <w:tcPr>
            <w:tcW w:w="1978" w:type="dxa"/>
            <w:vMerge w:val="restart"/>
            <w:vAlign w:val="center"/>
          </w:tcPr>
          <w:p>
            <w:pPr>
              <w:pStyle w:val="70"/>
              <w:rPr>
                <w:rFonts w:hint="default" w:eastAsia="宋体"/>
                <w:color w:val="auto"/>
                <w:highlight w:val="none"/>
                <w:lang w:val="en-US" w:eastAsia="zh-CN"/>
              </w:rPr>
            </w:pPr>
            <w:r>
              <w:rPr>
                <w:rFonts w:hint="eastAsia"/>
                <w:color w:val="auto"/>
                <w:highlight w:val="none"/>
                <w:lang w:val="en-US" w:eastAsia="zh-CN"/>
              </w:rPr>
              <w:t>pH调节+化学混凝沉淀</w:t>
            </w:r>
          </w:p>
        </w:tc>
        <w:tc>
          <w:tcPr>
            <w:tcW w:w="3233" w:type="dxa"/>
            <w:gridSpan w:val="2"/>
            <w:vMerge w:val="restart"/>
            <w:vAlign w:val="center"/>
          </w:tcPr>
          <w:p>
            <w:pPr>
              <w:pStyle w:val="70"/>
              <w:rPr>
                <w:color w:val="auto"/>
                <w:highlight w:val="none"/>
              </w:rPr>
            </w:pPr>
            <w:r>
              <w:rPr>
                <w:rFonts w:hint="eastAsia"/>
                <w:color w:val="auto"/>
                <w:highlight w:val="none"/>
              </w:rPr>
              <w:t>《</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）表</w:t>
            </w:r>
            <w:r>
              <w:rPr>
                <w:rFonts w:hint="eastAsia"/>
                <w:color w:val="auto"/>
                <w:highlight w:val="none"/>
                <w:lang w:val="en-US" w:eastAsia="zh-CN"/>
              </w:rPr>
              <w:t>1</w:t>
            </w:r>
            <w:r>
              <w:rPr>
                <w:rFonts w:hint="eastAsia"/>
                <w:color w:val="auto"/>
                <w:highlight w:val="none"/>
              </w:rPr>
              <w:t>中的</w:t>
            </w:r>
            <w:r>
              <w:rPr>
                <w:rFonts w:hint="eastAsia"/>
                <w:color w:val="auto"/>
                <w:highlight w:val="none"/>
                <w:lang w:val="en-US" w:eastAsia="zh-CN"/>
              </w:rPr>
              <w:t>间接</w:t>
            </w:r>
            <w:r>
              <w:rPr>
                <w:rFonts w:hint="eastAsia"/>
                <w:color w:val="auto"/>
                <w:highlight w:val="none"/>
              </w:rPr>
              <w:t>排放</w:t>
            </w:r>
            <w:r>
              <w:rPr>
                <w:rFonts w:hint="eastAsia"/>
                <w:color w:val="auto"/>
                <w:highlight w:val="none"/>
                <w:lang w:val="en-US" w:eastAsia="zh-CN"/>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dxa"/>
            <w:vMerge w:val="continue"/>
            <w:vAlign w:val="center"/>
          </w:tcPr>
          <w:p>
            <w:pPr>
              <w:pStyle w:val="70"/>
              <w:rPr>
                <w:rFonts w:hint="eastAsia"/>
                <w:color w:val="auto"/>
                <w:highlight w:val="none"/>
              </w:rPr>
            </w:pPr>
          </w:p>
        </w:tc>
        <w:tc>
          <w:tcPr>
            <w:tcW w:w="373" w:type="dxa"/>
            <w:vMerge w:val="continue"/>
            <w:vAlign w:val="center"/>
          </w:tcPr>
          <w:p>
            <w:pPr>
              <w:pStyle w:val="70"/>
              <w:rPr>
                <w:rFonts w:hint="eastAsia"/>
                <w:color w:val="auto"/>
                <w:highlight w:val="none"/>
              </w:rPr>
            </w:pPr>
          </w:p>
        </w:tc>
        <w:tc>
          <w:tcPr>
            <w:tcW w:w="1479" w:type="dxa"/>
            <w:gridSpan w:val="2"/>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超声探伤废水</w:t>
            </w:r>
          </w:p>
        </w:tc>
        <w:tc>
          <w:tcPr>
            <w:tcW w:w="1321" w:type="dxa"/>
            <w:gridSpan w:val="2"/>
            <w:vMerge w:val="restart"/>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SS、COD、石油类</w:t>
            </w:r>
          </w:p>
        </w:tc>
        <w:tc>
          <w:tcPr>
            <w:tcW w:w="1978" w:type="dxa"/>
            <w:vMerge w:val="continue"/>
            <w:vAlign w:val="center"/>
          </w:tcPr>
          <w:p>
            <w:pPr>
              <w:pStyle w:val="70"/>
              <w:rPr>
                <w:rFonts w:hint="eastAsia"/>
                <w:color w:val="auto"/>
                <w:highlight w:val="none"/>
              </w:rPr>
            </w:pPr>
          </w:p>
        </w:tc>
        <w:tc>
          <w:tcPr>
            <w:tcW w:w="3233" w:type="dxa"/>
            <w:gridSpan w:val="2"/>
            <w:vMerge w:val="continue"/>
            <w:vAlign w:val="center"/>
          </w:tcPr>
          <w:p>
            <w:pPr>
              <w:pStyle w:val="70"/>
              <w:rPr>
                <w:rFonts w:hint="eastAsia"/>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dxa"/>
            <w:vMerge w:val="continue"/>
            <w:vAlign w:val="center"/>
          </w:tcPr>
          <w:p>
            <w:pPr>
              <w:pStyle w:val="70"/>
              <w:rPr>
                <w:rFonts w:hint="eastAsia"/>
                <w:color w:val="auto"/>
                <w:highlight w:val="none"/>
              </w:rPr>
            </w:pPr>
          </w:p>
        </w:tc>
        <w:tc>
          <w:tcPr>
            <w:tcW w:w="373" w:type="dxa"/>
            <w:vMerge w:val="continue"/>
            <w:vAlign w:val="center"/>
          </w:tcPr>
          <w:p>
            <w:pPr>
              <w:pStyle w:val="70"/>
              <w:rPr>
                <w:rFonts w:hint="eastAsia"/>
                <w:color w:val="auto"/>
                <w:highlight w:val="none"/>
              </w:rPr>
            </w:pPr>
          </w:p>
        </w:tc>
        <w:tc>
          <w:tcPr>
            <w:tcW w:w="1479" w:type="dxa"/>
            <w:gridSpan w:val="2"/>
            <w:vAlign w:val="center"/>
          </w:tcPr>
          <w:p>
            <w:pPr>
              <w:pStyle w:val="70"/>
              <w:rPr>
                <w:rFonts w:hint="default" w:eastAsia="宋体"/>
                <w:color w:val="auto"/>
                <w:highlight w:val="none"/>
                <w:lang w:val="en-US" w:eastAsia="zh-CN"/>
              </w:rPr>
            </w:pPr>
            <w:r>
              <w:rPr>
                <w:rFonts w:hint="eastAsia"/>
                <w:color w:val="auto"/>
                <w:highlight w:val="none"/>
                <w:lang w:val="en-US" w:eastAsia="zh-CN"/>
              </w:rPr>
              <w:t>水刀切割废水</w:t>
            </w:r>
          </w:p>
        </w:tc>
        <w:tc>
          <w:tcPr>
            <w:tcW w:w="1321" w:type="dxa"/>
            <w:gridSpan w:val="2"/>
            <w:vMerge w:val="continue"/>
            <w:vAlign w:val="center"/>
          </w:tcPr>
          <w:p>
            <w:pPr>
              <w:pStyle w:val="70"/>
              <w:rPr>
                <w:rFonts w:hint="eastAsia"/>
                <w:color w:val="auto"/>
                <w:highlight w:val="none"/>
              </w:rPr>
            </w:pPr>
          </w:p>
        </w:tc>
        <w:tc>
          <w:tcPr>
            <w:tcW w:w="1978" w:type="dxa"/>
            <w:vMerge w:val="continue"/>
            <w:vAlign w:val="center"/>
          </w:tcPr>
          <w:p>
            <w:pPr>
              <w:pStyle w:val="70"/>
              <w:rPr>
                <w:rFonts w:hint="eastAsia"/>
                <w:color w:val="auto"/>
                <w:highlight w:val="none"/>
              </w:rPr>
            </w:pPr>
          </w:p>
        </w:tc>
        <w:tc>
          <w:tcPr>
            <w:tcW w:w="3233" w:type="dxa"/>
            <w:gridSpan w:val="2"/>
            <w:vMerge w:val="continue"/>
            <w:vAlign w:val="center"/>
          </w:tcPr>
          <w:p>
            <w:pPr>
              <w:pStyle w:val="70"/>
              <w:rPr>
                <w:rFonts w:hint="eastAsia"/>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dxa"/>
            <w:vMerge w:val="continue"/>
            <w:vAlign w:val="center"/>
          </w:tcPr>
          <w:p>
            <w:pPr>
              <w:pStyle w:val="70"/>
              <w:rPr>
                <w:rFonts w:hint="eastAsia"/>
                <w:color w:val="auto"/>
                <w:highlight w:val="none"/>
              </w:rPr>
            </w:pPr>
          </w:p>
        </w:tc>
        <w:tc>
          <w:tcPr>
            <w:tcW w:w="373" w:type="dxa"/>
            <w:vMerge w:val="continue"/>
            <w:vAlign w:val="center"/>
          </w:tcPr>
          <w:p>
            <w:pPr>
              <w:pStyle w:val="70"/>
              <w:rPr>
                <w:rFonts w:hint="eastAsia"/>
                <w:color w:val="auto"/>
                <w:highlight w:val="none"/>
              </w:rPr>
            </w:pPr>
          </w:p>
        </w:tc>
        <w:tc>
          <w:tcPr>
            <w:tcW w:w="1479" w:type="dxa"/>
            <w:gridSpan w:val="2"/>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喷淋</w:t>
            </w:r>
            <w:r>
              <w:rPr>
                <w:rFonts w:hint="eastAsia"/>
                <w:color w:val="auto"/>
                <w:highlight w:val="none"/>
                <w:lang w:val="en-US" w:eastAsia="zh-CN"/>
              </w:rPr>
              <w:t>除尘</w:t>
            </w:r>
            <w:r>
              <w:rPr>
                <w:rFonts w:hint="eastAsia"/>
                <w:color w:val="auto"/>
                <w:highlight w:val="none"/>
              </w:rPr>
              <w:t>废水</w:t>
            </w:r>
          </w:p>
        </w:tc>
        <w:tc>
          <w:tcPr>
            <w:tcW w:w="1321" w:type="dxa"/>
            <w:gridSpan w:val="2"/>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SS、COD</w:t>
            </w:r>
          </w:p>
        </w:tc>
        <w:tc>
          <w:tcPr>
            <w:tcW w:w="1978" w:type="dxa"/>
            <w:vMerge w:val="continue"/>
            <w:vAlign w:val="center"/>
          </w:tcPr>
          <w:p>
            <w:pPr>
              <w:pStyle w:val="70"/>
              <w:rPr>
                <w:rFonts w:hint="eastAsia"/>
                <w:color w:val="auto"/>
                <w:highlight w:val="none"/>
              </w:rPr>
            </w:pPr>
          </w:p>
        </w:tc>
        <w:tc>
          <w:tcPr>
            <w:tcW w:w="3233" w:type="dxa"/>
            <w:gridSpan w:val="2"/>
            <w:vMerge w:val="continue"/>
            <w:vAlign w:val="center"/>
          </w:tcPr>
          <w:p>
            <w:pPr>
              <w:pStyle w:val="70"/>
              <w:rPr>
                <w:rFonts w:hint="eastAsia"/>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dxa"/>
            <w:vMerge w:val="continue"/>
            <w:vAlign w:val="center"/>
          </w:tcPr>
          <w:p>
            <w:pPr>
              <w:pStyle w:val="70"/>
              <w:rPr>
                <w:color w:val="auto"/>
                <w:highlight w:val="none"/>
              </w:rPr>
            </w:pPr>
          </w:p>
        </w:tc>
        <w:tc>
          <w:tcPr>
            <w:tcW w:w="373" w:type="dxa"/>
            <w:vMerge w:val="continue"/>
            <w:vAlign w:val="center"/>
          </w:tcPr>
          <w:p>
            <w:pPr>
              <w:pStyle w:val="70"/>
              <w:rPr>
                <w:color w:val="auto"/>
                <w:highlight w:val="none"/>
              </w:rPr>
            </w:pPr>
          </w:p>
        </w:tc>
        <w:tc>
          <w:tcPr>
            <w:tcW w:w="1479" w:type="dxa"/>
            <w:gridSpan w:val="2"/>
            <w:vAlign w:val="center"/>
          </w:tcPr>
          <w:p>
            <w:pPr>
              <w:pStyle w:val="70"/>
              <w:rPr>
                <w:rFonts w:hint="default" w:eastAsia="宋体"/>
                <w:color w:val="auto"/>
                <w:highlight w:val="none"/>
                <w:lang w:val="en-US" w:eastAsia="zh-CN"/>
              </w:rPr>
            </w:pPr>
            <w:r>
              <w:rPr>
                <w:rFonts w:hint="eastAsia"/>
                <w:color w:val="auto"/>
                <w:highlight w:val="none"/>
                <w:lang w:val="en-US" w:eastAsia="zh-CN"/>
              </w:rPr>
              <w:t>车间清洗废水</w:t>
            </w:r>
          </w:p>
        </w:tc>
        <w:tc>
          <w:tcPr>
            <w:tcW w:w="1321" w:type="dxa"/>
            <w:gridSpan w:val="2"/>
            <w:shd w:val="clear" w:color="auto" w:fill="auto"/>
            <w:vAlign w:val="center"/>
          </w:tcPr>
          <w:p>
            <w:pPr>
              <w:pStyle w:val="70"/>
              <w:rPr>
                <w:rFonts w:hint="eastAsia"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SS、COD</w:t>
            </w:r>
          </w:p>
        </w:tc>
        <w:tc>
          <w:tcPr>
            <w:tcW w:w="1978" w:type="dxa"/>
            <w:vMerge w:val="continue"/>
            <w:vAlign w:val="center"/>
          </w:tcPr>
          <w:p>
            <w:pPr>
              <w:pStyle w:val="70"/>
              <w:rPr>
                <w:color w:val="auto"/>
                <w:highlight w:val="none"/>
              </w:rPr>
            </w:pPr>
          </w:p>
        </w:tc>
        <w:tc>
          <w:tcPr>
            <w:tcW w:w="3233" w:type="dxa"/>
            <w:gridSpan w:val="2"/>
            <w:vMerge w:val="continue"/>
            <w:vAlign w:val="center"/>
          </w:tcPr>
          <w:p>
            <w:pPr>
              <w:pStyle w:val="70"/>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95" w:hRule="atLeast"/>
          <w:jc w:val="center"/>
        </w:trPr>
        <w:tc>
          <w:tcPr>
            <w:tcW w:w="683" w:type="dxa"/>
            <w:vMerge w:val="continue"/>
            <w:vAlign w:val="center"/>
          </w:tcPr>
          <w:p>
            <w:pPr>
              <w:pStyle w:val="70"/>
              <w:rPr>
                <w:color w:val="auto"/>
                <w:highlight w:val="none"/>
              </w:rPr>
            </w:pPr>
          </w:p>
        </w:tc>
        <w:tc>
          <w:tcPr>
            <w:tcW w:w="1845" w:type="dxa"/>
            <w:gridSpan w:val="2"/>
            <w:vAlign w:val="center"/>
          </w:tcPr>
          <w:p>
            <w:pPr>
              <w:pStyle w:val="70"/>
              <w:rPr>
                <w:color w:val="auto"/>
                <w:highlight w:val="none"/>
              </w:rPr>
            </w:pPr>
            <w:r>
              <w:rPr>
                <w:rFonts w:hint="eastAsia"/>
                <w:color w:val="auto"/>
                <w:highlight w:val="none"/>
              </w:rPr>
              <w:t>生活污水</w:t>
            </w:r>
          </w:p>
        </w:tc>
        <w:tc>
          <w:tcPr>
            <w:tcW w:w="1321" w:type="dxa"/>
            <w:gridSpan w:val="2"/>
            <w:vAlign w:val="center"/>
          </w:tcPr>
          <w:p>
            <w:pPr>
              <w:pStyle w:val="70"/>
              <w:rPr>
                <w:color w:val="auto"/>
                <w:highlight w:val="none"/>
              </w:rPr>
            </w:pPr>
            <w:r>
              <w:rPr>
                <w:rFonts w:hint="eastAsia"/>
                <w:color w:val="auto"/>
                <w:highlight w:val="none"/>
              </w:rPr>
              <w:t>pH、氨氮、COD、BOD、SS</w:t>
            </w:r>
          </w:p>
        </w:tc>
        <w:tc>
          <w:tcPr>
            <w:tcW w:w="1985" w:type="dxa"/>
            <w:gridSpan w:val="2"/>
            <w:vAlign w:val="center"/>
          </w:tcPr>
          <w:p>
            <w:pPr>
              <w:pStyle w:val="70"/>
              <w:rPr>
                <w:color w:val="auto"/>
                <w:highlight w:val="none"/>
              </w:rPr>
            </w:pPr>
            <w:r>
              <w:rPr>
                <w:rFonts w:hint="eastAsia"/>
                <w:color w:val="auto"/>
                <w:highlight w:val="none"/>
              </w:rPr>
              <w:t>化粪池</w:t>
            </w:r>
          </w:p>
        </w:tc>
        <w:tc>
          <w:tcPr>
            <w:tcW w:w="3226" w:type="dxa"/>
            <w:vAlign w:val="center"/>
          </w:tcPr>
          <w:p>
            <w:pPr>
              <w:pStyle w:val="70"/>
              <w:rPr>
                <w:color w:val="auto"/>
                <w:highlight w:val="none"/>
              </w:rPr>
            </w:pPr>
            <w:r>
              <w:rPr>
                <w:rFonts w:hint="eastAsia"/>
                <w:color w:val="auto"/>
                <w:highlight w:val="none"/>
              </w:rPr>
              <w:t>《污水综合排放标准》（GB8978-1996）表4中的三级排放标准，氨氮参照执行《污水排入城镇下水道水质标准》（GB/T31962-2015）表1中的B级标准</w:t>
            </w:r>
            <w:r>
              <w:rPr>
                <w:rFonts w:hint="eastAsia"/>
                <w:color w:val="auto"/>
                <w:sz w:val="21"/>
                <w:szCs w:val="21"/>
                <w:lang w:eastAsia="zh-CN"/>
              </w:rPr>
              <w:t>（</w:t>
            </w:r>
            <w:r>
              <w:rPr>
                <w:rFonts w:hint="eastAsia"/>
                <w:color w:val="auto"/>
                <w:sz w:val="21"/>
                <w:szCs w:val="21"/>
                <w:lang w:val="en-US" w:eastAsia="zh-CN"/>
              </w:rPr>
              <w:t>pH：6~9、</w:t>
            </w:r>
            <w:r>
              <w:rPr>
                <w:rFonts w:hint="eastAsia"/>
                <w:color w:val="auto"/>
                <w:sz w:val="21"/>
                <w:szCs w:val="21"/>
              </w:rPr>
              <w:t>氨氮</w:t>
            </w:r>
            <w:r>
              <w:rPr>
                <w:rFonts w:hint="eastAsia"/>
                <w:color w:val="auto"/>
                <w:sz w:val="21"/>
                <w:szCs w:val="21"/>
                <w:lang w:eastAsia="zh-CN"/>
              </w:rPr>
              <w:t>：</w:t>
            </w:r>
            <w:r>
              <w:rPr>
                <w:rFonts w:hint="eastAsia"/>
                <w:color w:val="auto"/>
                <w:sz w:val="21"/>
                <w:szCs w:val="21"/>
                <w:lang w:val="en-US" w:eastAsia="zh-CN"/>
              </w:rPr>
              <w:t>45mg/L</w:t>
            </w:r>
            <w:r>
              <w:rPr>
                <w:rFonts w:hint="eastAsia"/>
                <w:color w:val="auto"/>
                <w:sz w:val="21"/>
                <w:szCs w:val="21"/>
              </w:rPr>
              <w:t>、COD</w:t>
            </w:r>
            <w:r>
              <w:rPr>
                <w:rFonts w:hint="eastAsia"/>
                <w:color w:val="auto"/>
                <w:sz w:val="21"/>
                <w:szCs w:val="21"/>
                <w:lang w:eastAsia="zh-CN"/>
              </w:rPr>
              <w:t>：</w:t>
            </w:r>
            <w:r>
              <w:rPr>
                <w:rFonts w:hint="eastAsia"/>
                <w:color w:val="auto"/>
                <w:sz w:val="21"/>
                <w:szCs w:val="21"/>
                <w:lang w:val="en-US" w:eastAsia="zh-CN"/>
              </w:rPr>
              <w:t>500mg/L</w:t>
            </w:r>
            <w:r>
              <w:rPr>
                <w:rFonts w:hint="eastAsia"/>
                <w:color w:val="auto"/>
                <w:sz w:val="21"/>
                <w:szCs w:val="21"/>
              </w:rPr>
              <w:t>、BOD</w:t>
            </w:r>
            <w:r>
              <w:rPr>
                <w:rFonts w:hint="eastAsia"/>
                <w:color w:val="auto"/>
                <w:sz w:val="21"/>
                <w:szCs w:val="21"/>
                <w:lang w:eastAsia="zh-CN"/>
              </w:rPr>
              <w:t>：</w:t>
            </w:r>
            <w:r>
              <w:rPr>
                <w:rFonts w:hint="eastAsia"/>
                <w:color w:val="auto"/>
                <w:sz w:val="21"/>
                <w:szCs w:val="21"/>
                <w:lang w:val="en-US" w:eastAsia="zh-CN"/>
              </w:rPr>
              <w:t>300mg/L</w:t>
            </w:r>
            <w:r>
              <w:rPr>
                <w:rFonts w:hint="eastAsia"/>
                <w:color w:val="auto"/>
                <w:sz w:val="21"/>
                <w:szCs w:val="21"/>
              </w:rPr>
              <w:t>、SS</w:t>
            </w:r>
            <w:r>
              <w:rPr>
                <w:rFonts w:hint="eastAsia"/>
                <w:color w:val="auto"/>
                <w:sz w:val="21"/>
                <w:szCs w:val="21"/>
                <w:lang w:val="en-US" w:eastAsia="zh-CN"/>
              </w:rPr>
              <w:t>:400mg/L</w:t>
            </w:r>
            <w:r>
              <w:rPr>
                <w:rFonts w:hint="eastAsia"/>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245" w:hRule="atLeast"/>
          <w:jc w:val="center"/>
        </w:trPr>
        <w:tc>
          <w:tcPr>
            <w:tcW w:w="683" w:type="dxa"/>
            <w:vAlign w:val="center"/>
          </w:tcPr>
          <w:p>
            <w:pPr>
              <w:pStyle w:val="70"/>
              <w:rPr>
                <w:color w:val="auto"/>
                <w:highlight w:val="none"/>
              </w:rPr>
            </w:pPr>
            <w:r>
              <w:rPr>
                <w:rFonts w:hint="eastAsia"/>
                <w:color w:val="auto"/>
                <w:highlight w:val="none"/>
              </w:rPr>
              <w:t>声环境</w:t>
            </w:r>
          </w:p>
        </w:tc>
        <w:tc>
          <w:tcPr>
            <w:tcW w:w="1845" w:type="dxa"/>
            <w:gridSpan w:val="2"/>
            <w:vAlign w:val="center"/>
          </w:tcPr>
          <w:p>
            <w:pPr>
              <w:pStyle w:val="70"/>
              <w:rPr>
                <w:color w:val="auto"/>
                <w:highlight w:val="none"/>
              </w:rPr>
            </w:pPr>
            <w:r>
              <w:rPr>
                <w:rFonts w:hint="eastAsia"/>
                <w:color w:val="auto"/>
                <w:highlight w:val="none"/>
              </w:rPr>
              <w:t>设备噪声</w:t>
            </w:r>
          </w:p>
        </w:tc>
        <w:tc>
          <w:tcPr>
            <w:tcW w:w="1321" w:type="dxa"/>
            <w:gridSpan w:val="2"/>
            <w:vAlign w:val="center"/>
          </w:tcPr>
          <w:p>
            <w:pPr>
              <w:pStyle w:val="70"/>
              <w:rPr>
                <w:color w:val="auto"/>
                <w:highlight w:val="none"/>
              </w:rPr>
            </w:pPr>
            <w:r>
              <w:rPr>
                <w:rFonts w:hint="eastAsia"/>
                <w:color w:val="auto"/>
                <w:highlight w:val="none"/>
              </w:rPr>
              <w:t>噪声</w:t>
            </w:r>
          </w:p>
        </w:tc>
        <w:tc>
          <w:tcPr>
            <w:tcW w:w="1985" w:type="dxa"/>
            <w:gridSpan w:val="2"/>
            <w:vAlign w:val="center"/>
          </w:tcPr>
          <w:p>
            <w:pPr>
              <w:pStyle w:val="70"/>
              <w:rPr>
                <w:rFonts w:hint="default" w:eastAsia="宋体"/>
                <w:color w:val="auto"/>
                <w:highlight w:val="none"/>
                <w:lang w:val="en-US" w:eastAsia="zh-CN"/>
              </w:rPr>
            </w:pPr>
            <w:r>
              <w:rPr>
                <w:rFonts w:hint="eastAsia"/>
                <w:color w:val="auto"/>
                <w:highlight w:val="none"/>
              </w:rPr>
              <w:t>优先选用低噪声设备、厂房隔声、设备减振</w:t>
            </w:r>
            <w:r>
              <w:rPr>
                <w:rFonts w:hint="eastAsia"/>
                <w:color w:val="auto"/>
                <w:highlight w:val="none"/>
                <w:lang w:eastAsia="zh-CN"/>
              </w:rPr>
              <w:t>，</w:t>
            </w:r>
            <w:r>
              <w:rPr>
                <w:rFonts w:hint="eastAsia"/>
                <w:color w:val="auto"/>
                <w:highlight w:val="none"/>
                <w:lang w:val="en-US" w:eastAsia="zh-CN"/>
              </w:rPr>
              <w:t>风机安装隔声罩，风道采取消声措施</w:t>
            </w:r>
          </w:p>
        </w:tc>
        <w:tc>
          <w:tcPr>
            <w:tcW w:w="3226" w:type="dxa"/>
            <w:vAlign w:val="center"/>
          </w:tcPr>
          <w:p>
            <w:pPr>
              <w:pStyle w:val="70"/>
              <w:rPr>
                <w:color w:val="auto"/>
                <w:highlight w:val="none"/>
              </w:rPr>
            </w:pPr>
            <w:r>
              <w:rPr>
                <w:rFonts w:hint="eastAsia"/>
                <w:color w:val="auto"/>
                <w:highlight w:val="none"/>
              </w:rPr>
              <w:t>《工业企业厂界环境噪声排放标准》（GB12348-2008）中3、4类标准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88" w:hRule="atLeast"/>
          <w:jc w:val="center"/>
        </w:trPr>
        <w:tc>
          <w:tcPr>
            <w:tcW w:w="683" w:type="dxa"/>
            <w:vAlign w:val="center"/>
          </w:tcPr>
          <w:p>
            <w:pPr>
              <w:pStyle w:val="70"/>
              <w:rPr>
                <w:color w:val="auto"/>
                <w:highlight w:val="none"/>
              </w:rPr>
            </w:pPr>
            <w:r>
              <w:rPr>
                <w:rFonts w:hint="eastAsia"/>
                <w:color w:val="auto"/>
                <w:highlight w:val="none"/>
              </w:rPr>
              <w:t>电磁辐射</w:t>
            </w:r>
          </w:p>
        </w:tc>
        <w:tc>
          <w:tcPr>
            <w:tcW w:w="1845" w:type="dxa"/>
            <w:gridSpan w:val="2"/>
            <w:vAlign w:val="center"/>
          </w:tcPr>
          <w:p>
            <w:pPr>
              <w:pStyle w:val="70"/>
              <w:rPr>
                <w:color w:val="auto"/>
                <w:highlight w:val="none"/>
              </w:rPr>
            </w:pPr>
            <w:r>
              <w:rPr>
                <w:rFonts w:hint="eastAsia"/>
                <w:color w:val="auto"/>
                <w:highlight w:val="none"/>
              </w:rPr>
              <w:t>/</w:t>
            </w:r>
          </w:p>
        </w:tc>
        <w:tc>
          <w:tcPr>
            <w:tcW w:w="1321" w:type="dxa"/>
            <w:gridSpan w:val="2"/>
            <w:vAlign w:val="center"/>
          </w:tcPr>
          <w:p>
            <w:pPr>
              <w:pStyle w:val="70"/>
              <w:rPr>
                <w:color w:val="auto"/>
                <w:highlight w:val="none"/>
              </w:rPr>
            </w:pPr>
            <w:r>
              <w:rPr>
                <w:rFonts w:hint="eastAsia"/>
                <w:color w:val="auto"/>
                <w:highlight w:val="none"/>
              </w:rPr>
              <w:t>/</w:t>
            </w:r>
          </w:p>
        </w:tc>
        <w:tc>
          <w:tcPr>
            <w:tcW w:w="1985" w:type="dxa"/>
            <w:gridSpan w:val="2"/>
            <w:vAlign w:val="center"/>
          </w:tcPr>
          <w:p>
            <w:pPr>
              <w:pStyle w:val="70"/>
              <w:rPr>
                <w:color w:val="auto"/>
                <w:highlight w:val="none"/>
              </w:rPr>
            </w:pPr>
            <w:r>
              <w:rPr>
                <w:rFonts w:hint="eastAsia"/>
                <w:color w:val="auto"/>
                <w:highlight w:val="none"/>
              </w:rPr>
              <w:t>/</w:t>
            </w:r>
          </w:p>
        </w:tc>
        <w:tc>
          <w:tcPr>
            <w:tcW w:w="3226" w:type="dxa"/>
            <w:vAlign w:val="center"/>
          </w:tcPr>
          <w:p>
            <w:pPr>
              <w:pStyle w:val="70"/>
              <w:rPr>
                <w:color w:val="auto"/>
                <w:highlight w:val="none"/>
              </w:rPr>
            </w:pPr>
            <w:r>
              <w:rPr>
                <w:rFonts w:hint="eastAsia"/>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71" w:hRule="atLeast"/>
          <w:jc w:val="center"/>
        </w:trPr>
        <w:tc>
          <w:tcPr>
            <w:tcW w:w="683" w:type="dxa"/>
            <w:vAlign w:val="center"/>
          </w:tcPr>
          <w:p>
            <w:pPr>
              <w:pStyle w:val="70"/>
              <w:rPr>
                <w:color w:val="auto"/>
                <w:highlight w:val="none"/>
              </w:rPr>
            </w:pPr>
            <w:r>
              <w:rPr>
                <w:rFonts w:hint="eastAsia"/>
                <w:color w:val="auto"/>
                <w:highlight w:val="none"/>
              </w:rPr>
              <w:t>固体废物</w:t>
            </w:r>
          </w:p>
        </w:tc>
        <w:tc>
          <w:tcPr>
            <w:tcW w:w="8377" w:type="dxa"/>
            <w:gridSpan w:val="7"/>
            <w:vAlign w:val="center"/>
          </w:tcPr>
          <w:p>
            <w:pPr>
              <w:pStyle w:val="70"/>
              <w:rPr>
                <w:rFonts w:hint="eastAsia" w:eastAsia="宋体"/>
                <w:color w:val="auto"/>
                <w:sz w:val="24"/>
                <w:szCs w:val="24"/>
                <w:highlight w:val="none"/>
                <w:lang w:eastAsia="zh-CN"/>
              </w:rPr>
            </w:pPr>
            <w:r>
              <w:rPr>
                <w:rFonts w:hint="eastAsia"/>
                <w:color w:val="auto"/>
                <w:sz w:val="24"/>
                <w:szCs w:val="24"/>
                <w:highlight w:val="none"/>
              </w:rPr>
              <w:t>一般工业固体废物</w:t>
            </w:r>
            <w:r>
              <w:rPr>
                <w:rFonts w:hint="eastAsia"/>
                <w:color w:val="auto"/>
                <w:sz w:val="24"/>
                <w:szCs w:val="24"/>
                <w:highlight w:val="none"/>
                <w:lang w:val="en-US" w:eastAsia="zh-CN"/>
              </w:rPr>
              <w:t>依托厂区东侧已建的一座80m</w:t>
            </w:r>
            <w:r>
              <w:rPr>
                <w:rFonts w:hint="eastAsia"/>
                <w:color w:val="auto"/>
                <w:sz w:val="24"/>
                <w:szCs w:val="24"/>
                <w:highlight w:val="none"/>
                <w:vertAlign w:val="superscript"/>
                <w:lang w:val="en-US" w:eastAsia="zh-CN"/>
              </w:rPr>
              <w:t>2</w:t>
            </w:r>
            <w:r>
              <w:rPr>
                <w:rFonts w:hint="eastAsia"/>
                <w:color w:val="auto"/>
                <w:sz w:val="24"/>
                <w:szCs w:val="24"/>
                <w:highlight w:val="none"/>
                <w:vertAlign w:val="baseline"/>
                <w:lang w:val="en-US" w:eastAsia="zh-CN"/>
              </w:rPr>
              <w:t>一般工业固废仓库暂存，定期</w:t>
            </w:r>
            <w:r>
              <w:rPr>
                <w:rFonts w:hint="eastAsia"/>
                <w:color w:val="auto"/>
                <w:sz w:val="24"/>
                <w:szCs w:val="24"/>
                <w:highlight w:val="none"/>
              </w:rPr>
              <w:t>委托一般工业固废处置单位处置</w:t>
            </w:r>
            <w:r>
              <w:rPr>
                <w:rFonts w:hint="eastAsia"/>
                <w:color w:val="auto"/>
                <w:sz w:val="24"/>
                <w:szCs w:val="24"/>
                <w:highlight w:val="none"/>
                <w:lang w:val="en-US" w:eastAsia="zh-CN"/>
              </w:rPr>
              <w:t>或外售综合利用</w:t>
            </w:r>
            <w:r>
              <w:rPr>
                <w:rFonts w:hint="eastAsia"/>
                <w:color w:val="auto"/>
                <w:sz w:val="24"/>
                <w:szCs w:val="24"/>
                <w:highlight w:val="none"/>
              </w:rPr>
              <w:t>；</w:t>
            </w:r>
            <w:r>
              <w:rPr>
                <w:rFonts w:hint="eastAsia"/>
                <w:color w:val="auto"/>
                <w:sz w:val="24"/>
                <w:szCs w:val="24"/>
                <w:highlight w:val="none"/>
                <w:lang w:val="en-US" w:eastAsia="zh-CN"/>
              </w:rPr>
              <w:t>厂内拟新建一座90m</w:t>
            </w:r>
            <w:r>
              <w:rPr>
                <w:rFonts w:hint="eastAsia"/>
                <w:color w:val="auto"/>
                <w:sz w:val="24"/>
                <w:szCs w:val="24"/>
                <w:highlight w:val="none"/>
                <w:vertAlign w:val="superscript"/>
                <w:lang w:val="en-US" w:eastAsia="zh-CN"/>
              </w:rPr>
              <w:t>2</w:t>
            </w:r>
            <w:r>
              <w:rPr>
                <w:rFonts w:hint="eastAsia"/>
                <w:color w:val="auto"/>
                <w:sz w:val="24"/>
                <w:szCs w:val="24"/>
                <w:highlight w:val="none"/>
              </w:rPr>
              <w:t>危</w:t>
            </w:r>
            <w:r>
              <w:rPr>
                <w:rFonts w:hint="eastAsia"/>
                <w:color w:val="auto"/>
                <w:sz w:val="24"/>
                <w:szCs w:val="24"/>
                <w:highlight w:val="none"/>
                <w:vertAlign w:val="baseline"/>
                <w:lang w:val="en-US" w:eastAsia="zh-CN"/>
              </w:rPr>
              <w:t>险固废仓库，危废在厂内暂存，定期</w:t>
            </w:r>
            <w:r>
              <w:rPr>
                <w:rFonts w:hint="eastAsia"/>
                <w:color w:val="auto"/>
                <w:sz w:val="24"/>
                <w:szCs w:val="24"/>
                <w:highlight w:val="none"/>
              </w:rPr>
              <w:t>委托有资质单位处置；生活垃圾委托环卫部门清运。</w:t>
            </w:r>
            <w:r>
              <w:rPr>
                <w:rFonts w:hint="eastAsia" w:ascii="Times New Roman" w:hAnsi="Times New Roman" w:eastAsia="宋体" w:cs="Times New Roman"/>
                <w:color w:val="auto"/>
                <w:sz w:val="24"/>
                <w:szCs w:val="24"/>
                <w:highlight w:val="none"/>
              </w:rPr>
              <w:t>一般工业固体废物贮存、处置执行《一般工业固体废物贮存和填埋污染控制标准》（GB18599-2020）的相关要求。危险废物按照《危险废物贮存污染控制标准》（GB18597-2023）的要求处置；危险废物外运处置执行《危险废物转移管理办法》</w:t>
            </w:r>
            <w:r>
              <w:rPr>
                <w:rFonts w:hint="eastAsia" w:ascii="Times New Roman" w:hAnsi="Times New Roman" w:eastAsia="宋体" w:cs="Times New Roman"/>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19" w:hRule="atLeast"/>
          <w:jc w:val="center"/>
        </w:trPr>
        <w:tc>
          <w:tcPr>
            <w:tcW w:w="683" w:type="dxa"/>
            <w:vAlign w:val="center"/>
          </w:tcPr>
          <w:p>
            <w:pPr>
              <w:pStyle w:val="70"/>
              <w:rPr>
                <w:color w:val="auto"/>
                <w:highlight w:val="none"/>
              </w:rPr>
            </w:pPr>
            <w:r>
              <w:rPr>
                <w:rFonts w:hint="eastAsia"/>
                <w:color w:val="auto"/>
                <w:highlight w:val="none"/>
              </w:rPr>
              <w:t>土壤及地下水</w:t>
            </w:r>
          </w:p>
          <w:p>
            <w:pPr>
              <w:pStyle w:val="70"/>
              <w:rPr>
                <w:color w:val="auto"/>
                <w:highlight w:val="none"/>
              </w:rPr>
            </w:pPr>
            <w:r>
              <w:rPr>
                <w:rFonts w:hint="eastAsia"/>
                <w:color w:val="auto"/>
                <w:highlight w:val="none"/>
              </w:rPr>
              <w:t>污染防治措施</w:t>
            </w:r>
          </w:p>
        </w:tc>
        <w:tc>
          <w:tcPr>
            <w:tcW w:w="8377" w:type="dxa"/>
            <w:gridSpan w:val="7"/>
            <w:vAlign w:val="center"/>
          </w:tcPr>
          <w:p>
            <w:pPr>
              <w:pStyle w:val="70"/>
              <w:rPr>
                <w:color w:val="auto"/>
                <w:sz w:val="24"/>
                <w:szCs w:val="24"/>
                <w:highlight w:val="none"/>
              </w:rPr>
            </w:pPr>
            <w:r>
              <w:rPr>
                <w:rFonts w:hint="eastAsia"/>
                <w:color w:val="auto"/>
                <w:sz w:val="24"/>
                <w:szCs w:val="24"/>
                <w:highlight w:val="none"/>
              </w:rPr>
              <w:t>采取分区防渗措施，化学品仓库</w:t>
            </w:r>
            <w:r>
              <w:rPr>
                <w:rFonts w:hint="eastAsia"/>
                <w:color w:val="auto"/>
                <w:sz w:val="24"/>
                <w:szCs w:val="24"/>
                <w:highlight w:val="none"/>
                <w:lang w:val="en-US" w:eastAsia="zh-CN"/>
              </w:rPr>
              <w:t>采取一般防渗措施，</w:t>
            </w:r>
            <w:r>
              <w:rPr>
                <w:rFonts w:hint="eastAsia"/>
                <w:color w:val="auto"/>
                <w:sz w:val="24"/>
                <w:szCs w:val="24"/>
                <w:highlight w:val="none"/>
              </w:rPr>
              <w:t>危废仓库采取重点防渗措施，防渗符合导则及相关标准要求；液体化学品和废机油、切削液等用桶装后置于防渗托盘上，仓库四周设置导流沟或防溢漏门坎等。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66" w:hRule="atLeast"/>
          <w:jc w:val="center"/>
        </w:trPr>
        <w:tc>
          <w:tcPr>
            <w:tcW w:w="683" w:type="dxa"/>
            <w:vAlign w:val="center"/>
          </w:tcPr>
          <w:p>
            <w:pPr>
              <w:pStyle w:val="70"/>
              <w:rPr>
                <w:color w:val="auto"/>
                <w:highlight w:val="none"/>
              </w:rPr>
            </w:pPr>
            <w:r>
              <w:rPr>
                <w:rFonts w:hint="eastAsia"/>
                <w:color w:val="auto"/>
                <w:highlight w:val="none"/>
              </w:rPr>
              <w:t>生态保护措施</w:t>
            </w:r>
          </w:p>
        </w:tc>
        <w:tc>
          <w:tcPr>
            <w:tcW w:w="8377" w:type="dxa"/>
            <w:gridSpan w:val="7"/>
            <w:vAlign w:val="center"/>
          </w:tcPr>
          <w:p>
            <w:pPr>
              <w:pStyle w:val="70"/>
              <w:rPr>
                <w:color w:val="auto"/>
                <w:sz w:val="24"/>
                <w:szCs w:val="24"/>
                <w:highlight w:val="none"/>
              </w:rPr>
            </w:pPr>
            <w:r>
              <w:rPr>
                <w:rFonts w:hint="eastAsia"/>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933" w:hRule="atLeast"/>
          <w:jc w:val="center"/>
        </w:trPr>
        <w:tc>
          <w:tcPr>
            <w:tcW w:w="683" w:type="dxa"/>
            <w:vAlign w:val="center"/>
          </w:tcPr>
          <w:p>
            <w:pPr>
              <w:pStyle w:val="70"/>
              <w:rPr>
                <w:color w:val="auto"/>
                <w:highlight w:val="none"/>
              </w:rPr>
            </w:pPr>
            <w:r>
              <w:rPr>
                <w:rFonts w:hint="eastAsia"/>
                <w:color w:val="auto"/>
                <w:highlight w:val="none"/>
              </w:rPr>
              <w:t>环境风险防范措施</w:t>
            </w:r>
          </w:p>
        </w:tc>
        <w:tc>
          <w:tcPr>
            <w:tcW w:w="8377" w:type="dxa"/>
            <w:gridSpan w:val="7"/>
            <w:vAlign w:val="center"/>
          </w:tcPr>
          <w:p>
            <w:pPr>
              <w:pStyle w:val="70"/>
              <w:rPr>
                <w:color w:val="auto"/>
                <w:sz w:val="24"/>
                <w:szCs w:val="24"/>
                <w:highlight w:val="none"/>
              </w:rPr>
            </w:pPr>
            <w:r>
              <w:rPr>
                <w:rFonts w:hint="eastAsia"/>
                <w:color w:val="auto"/>
                <w:sz w:val="24"/>
                <w:szCs w:val="24"/>
                <w:highlight w:val="none"/>
              </w:rPr>
              <w:t>危废仓库、</w:t>
            </w:r>
            <w:r>
              <w:rPr>
                <w:rFonts w:hint="eastAsia"/>
                <w:color w:val="auto"/>
                <w:sz w:val="24"/>
                <w:szCs w:val="24"/>
                <w:highlight w:val="none"/>
                <w:lang w:val="en-US" w:eastAsia="zh-CN"/>
              </w:rPr>
              <w:t>化学品</w:t>
            </w:r>
            <w:r>
              <w:rPr>
                <w:rFonts w:hint="eastAsia"/>
                <w:color w:val="auto"/>
                <w:sz w:val="24"/>
                <w:szCs w:val="24"/>
                <w:highlight w:val="none"/>
              </w:rPr>
              <w:t>仓库采取防渗措施，四周设置导流沟或防溢漏门坎等，原料桶或是废液等置于托盘之上，厂内配套消防灭火设施。</w:t>
            </w:r>
            <w:r>
              <w:rPr>
                <w:rFonts w:hint="eastAsia"/>
                <w:color w:val="auto"/>
                <w:sz w:val="24"/>
                <w:szCs w:val="24"/>
                <w:highlight w:val="none"/>
                <w:lang w:val="en-US" w:eastAsia="zh-CN"/>
              </w:rPr>
              <w:t>在三期地块建设一座容积约为260m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事故应急池，事故应急池废水可泵入厂内污水处理站处理，厂区雨水总排放口设置切断阀。</w:t>
            </w:r>
            <w:r>
              <w:rPr>
                <w:rFonts w:hint="eastAsia"/>
                <w:color w:val="auto"/>
                <w:sz w:val="24"/>
                <w:szCs w:val="24"/>
                <w:highlight w:val="none"/>
              </w:rPr>
              <w:t>扩建工程投产后应及时修订应急预案。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002" w:hRule="atLeast"/>
          <w:jc w:val="center"/>
        </w:trPr>
        <w:tc>
          <w:tcPr>
            <w:tcW w:w="683" w:type="dxa"/>
            <w:vAlign w:val="center"/>
          </w:tcPr>
          <w:p>
            <w:pPr>
              <w:pStyle w:val="70"/>
              <w:rPr>
                <w:color w:val="auto"/>
                <w:highlight w:val="none"/>
              </w:rPr>
            </w:pPr>
            <w:r>
              <w:rPr>
                <w:rFonts w:hint="eastAsia"/>
                <w:color w:val="auto"/>
                <w:highlight w:val="none"/>
              </w:rPr>
              <w:t>其他环境管理要求</w:t>
            </w:r>
          </w:p>
        </w:tc>
        <w:tc>
          <w:tcPr>
            <w:tcW w:w="8377" w:type="dxa"/>
            <w:gridSpan w:val="7"/>
            <w:vAlign w:val="center"/>
          </w:tcPr>
          <w:p>
            <w:pPr>
              <w:pStyle w:val="72"/>
              <w:ind w:firstLine="0" w:firstLineChars="0"/>
              <w:rPr>
                <w:color w:val="auto"/>
                <w:highlight w:val="none"/>
              </w:rPr>
            </w:pPr>
            <w:r>
              <w:rPr>
                <w:rFonts w:hint="eastAsia"/>
                <w:color w:val="auto"/>
                <w:highlight w:val="none"/>
              </w:rPr>
              <w:t>一、排污许可证申请要求</w:t>
            </w:r>
          </w:p>
          <w:p>
            <w:pPr>
              <w:pStyle w:val="72"/>
              <w:ind w:firstLine="480"/>
              <w:rPr>
                <w:rFonts w:hint="eastAsia" w:ascii="Times New Roman" w:hAnsi="Times New Roman" w:cs="Times New Roman"/>
                <w:color w:val="auto"/>
                <w:highlight w:val="none"/>
              </w:rPr>
            </w:pPr>
            <w:r>
              <w:rPr>
                <w:rFonts w:hint="eastAsia" w:ascii="Times New Roman" w:hAnsi="Times New Roman" w:cs="Times New Roman"/>
                <w:color w:val="auto"/>
                <w:highlight w:val="none"/>
              </w:rPr>
              <w:t>根据《关于做好环境影响评价制度与排污许可制衔接相关工作的通知》（环办环评[2017]84号）和《固定污染源排污许可分类管理名录（2019年版）》，项目纳入排污许可</w:t>
            </w:r>
            <w:r>
              <w:rPr>
                <w:rFonts w:hint="eastAsia" w:ascii="Times New Roman" w:hAnsi="Times New Roman" w:cs="Times New Roman"/>
                <w:color w:val="auto"/>
                <w:highlight w:val="none"/>
                <w:lang w:val="en-US" w:eastAsia="zh-CN"/>
              </w:rPr>
              <w:t>登记</w:t>
            </w:r>
            <w:r>
              <w:rPr>
                <w:rFonts w:hint="eastAsia" w:ascii="Times New Roman" w:hAnsi="Times New Roman" w:cs="Times New Roman"/>
                <w:color w:val="auto"/>
                <w:highlight w:val="none"/>
              </w:rPr>
              <w:t>管理</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项目在投产前应按要求进行排污许可证登记</w:t>
            </w:r>
            <w:r>
              <w:rPr>
                <w:rFonts w:hint="eastAsia" w:ascii="Times New Roman" w:hAnsi="Times New Roman" w:cs="Times New Roman"/>
                <w:color w:val="auto"/>
                <w:highlight w:val="none"/>
              </w:rPr>
              <w:t>。</w:t>
            </w:r>
          </w:p>
          <w:p>
            <w:pPr>
              <w:pStyle w:val="72"/>
              <w:ind w:firstLine="0" w:firstLineChars="0"/>
              <w:rPr>
                <w:color w:val="auto"/>
                <w:highlight w:val="none"/>
              </w:rPr>
            </w:pPr>
            <w:r>
              <w:rPr>
                <w:rFonts w:hint="eastAsia"/>
                <w:color w:val="auto"/>
                <w:highlight w:val="none"/>
              </w:rPr>
              <w:t>二、排污口规范化管理</w:t>
            </w:r>
          </w:p>
          <w:p>
            <w:pPr>
              <w:pStyle w:val="72"/>
              <w:ind w:firstLine="480"/>
              <w:rPr>
                <w:color w:val="auto"/>
                <w:highlight w:val="none"/>
              </w:rPr>
            </w:pPr>
            <w:r>
              <w:rPr>
                <w:rFonts w:hint="eastAsia"/>
                <w:color w:val="auto"/>
                <w:highlight w:val="none"/>
              </w:rPr>
              <w:t>各污染源排放口应设置专项图标，执行《环境图形标准排污口（源）》（GB15563.1-1995），见表5-1要求各排污口（源）提示标志形状采用正方形边框，背景颜色采用绿色，图形颜色采用白色。标志牌应设在与之功能相应的醒目处，并保持清晰、完整。排气筒预留监测口，以便环保部门监督检查。</w:t>
            </w:r>
          </w:p>
          <w:p>
            <w:pPr>
              <w:pStyle w:val="68"/>
              <w:rPr>
                <w:rFonts w:hint="eastAsia"/>
                <w:color w:val="auto"/>
                <w:highlight w:val="none"/>
              </w:rPr>
            </w:pPr>
            <w:r>
              <w:rPr>
                <w:rFonts w:hint="eastAsia"/>
                <w:color w:val="auto"/>
                <w:highlight w:val="none"/>
              </w:rPr>
              <w:t>表5-1各排污口（源）标志牌设置示意图</w:t>
            </w:r>
          </w:p>
          <w:tbl>
            <w:tblPr>
              <w:tblStyle w:val="28"/>
              <w:tblW w:w="8196" w:type="dxa"/>
              <w:tblInd w:w="-7"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47"/>
              <w:gridCol w:w="2035"/>
              <w:gridCol w:w="2013"/>
              <w:gridCol w:w="1600"/>
              <w:gridCol w:w="160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47"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序号</w:t>
                  </w:r>
                </w:p>
              </w:tc>
              <w:tc>
                <w:tcPr>
                  <w:tcW w:w="2035"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提示图形符号</w:t>
                  </w:r>
                </w:p>
              </w:tc>
              <w:tc>
                <w:tcPr>
                  <w:tcW w:w="2013"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警告图形符号</w:t>
                  </w:r>
                </w:p>
              </w:tc>
              <w:tc>
                <w:tcPr>
                  <w:tcW w:w="1600"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名称</w:t>
                  </w:r>
                </w:p>
              </w:tc>
              <w:tc>
                <w:tcPr>
                  <w:tcW w:w="1601"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功能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947"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1</w:t>
                  </w:r>
                </w:p>
              </w:tc>
              <w:tc>
                <w:tcPr>
                  <w:tcW w:w="2035"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drawing>
                      <wp:inline distT="0" distB="0" distL="0" distR="0">
                        <wp:extent cx="1133475" cy="1143000"/>
                        <wp:effectExtent l="0" t="0" r="9525" b="0"/>
                        <wp:docPr id="24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69"/>
                                <pic:cNvPicPr>
                                  <a:picLocks noChangeAspect="1" noChangeArrowheads="1"/>
                                </pic:cNvPicPr>
                              </pic:nvPicPr>
                              <pic:blipFill>
                                <a:blip r:embed="rId33" cstate="print"/>
                                <a:srcRect/>
                                <a:stretch>
                                  <a:fillRect/>
                                </a:stretch>
                              </pic:blipFill>
                              <pic:spPr>
                                <a:xfrm>
                                  <a:off x="0" y="0"/>
                                  <a:ext cx="1133475" cy="1143000"/>
                                </a:xfrm>
                                <a:prstGeom prst="rect">
                                  <a:avLst/>
                                </a:prstGeom>
                                <a:noFill/>
                                <a:ln w="9525">
                                  <a:noFill/>
                                  <a:miter lim="800000"/>
                                  <a:headEnd/>
                                  <a:tailEnd/>
                                </a:ln>
                              </pic:spPr>
                            </pic:pic>
                          </a:graphicData>
                        </a:graphic>
                      </wp:inline>
                    </w:drawing>
                  </w:r>
                </w:p>
              </w:tc>
              <w:tc>
                <w:tcPr>
                  <w:tcW w:w="2013"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drawing>
                      <wp:inline distT="0" distB="0" distL="0" distR="0">
                        <wp:extent cx="1181100" cy="1019175"/>
                        <wp:effectExtent l="0" t="0" r="0" b="9525"/>
                        <wp:docPr id="24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70"/>
                                <pic:cNvPicPr>
                                  <a:picLocks noChangeAspect="1" noChangeArrowheads="1"/>
                                </pic:cNvPicPr>
                              </pic:nvPicPr>
                              <pic:blipFill>
                                <a:blip r:embed="rId34" cstate="print"/>
                                <a:srcRect/>
                                <a:stretch>
                                  <a:fillRect/>
                                </a:stretch>
                              </pic:blipFill>
                              <pic:spPr>
                                <a:xfrm>
                                  <a:off x="0" y="0"/>
                                  <a:ext cx="1181100" cy="1019175"/>
                                </a:xfrm>
                                <a:prstGeom prst="rect">
                                  <a:avLst/>
                                </a:prstGeom>
                                <a:noFill/>
                                <a:ln w="9525">
                                  <a:noFill/>
                                  <a:miter lim="800000"/>
                                  <a:headEnd/>
                                  <a:tailEnd/>
                                </a:ln>
                              </pic:spPr>
                            </pic:pic>
                          </a:graphicData>
                        </a:graphic>
                      </wp:inline>
                    </w:drawing>
                  </w:r>
                </w:p>
              </w:tc>
              <w:tc>
                <w:tcPr>
                  <w:tcW w:w="1600"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废水排放口</w:t>
                  </w:r>
                </w:p>
              </w:tc>
              <w:tc>
                <w:tcPr>
                  <w:tcW w:w="1601"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表示废水排向水体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947"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2</w:t>
                  </w:r>
                </w:p>
              </w:tc>
              <w:tc>
                <w:tcPr>
                  <w:tcW w:w="2035"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drawing>
                      <wp:inline distT="0" distB="0" distL="0" distR="0">
                        <wp:extent cx="1133475" cy="1143000"/>
                        <wp:effectExtent l="0" t="0" r="9525" b="0"/>
                        <wp:docPr id="24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1"/>
                                <pic:cNvPicPr>
                                  <a:picLocks noChangeAspect="1" noChangeArrowheads="1"/>
                                </pic:cNvPicPr>
                              </pic:nvPicPr>
                              <pic:blipFill>
                                <a:blip r:embed="rId35" cstate="print"/>
                                <a:srcRect/>
                                <a:stretch>
                                  <a:fillRect/>
                                </a:stretch>
                              </pic:blipFill>
                              <pic:spPr>
                                <a:xfrm>
                                  <a:off x="0" y="0"/>
                                  <a:ext cx="1133475" cy="1143000"/>
                                </a:xfrm>
                                <a:prstGeom prst="rect">
                                  <a:avLst/>
                                </a:prstGeom>
                                <a:noFill/>
                                <a:ln w="9525">
                                  <a:noFill/>
                                  <a:miter lim="800000"/>
                                  <a:headEnd/>
                                  <a:tailEnd/>
                                </a:ln>
                              </pic:spPr>
                            </pic:pic>
                          </a:graphicData>
                        </a:graphic>
                      </wp:inline>
                    </w:drawing>
                  </w:r>
                </w:p>
              </w:tc>
              <w:tc>
                <w:tcPr>
                  <w:tcW w:w="2013"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drawing>
                      <wp:inline distT="0" distB="0" distL="0" distR="0">
                        <wp:extent cx="1219200" cy="1066800"/>
                        <wp:effectExtent l="0" t="0" r="0" b="0"/>
                        <wp:docPr id="24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72"/>
                                <pic:cNvPicPr>
                                  <a:picLocks noChangeAspect="1" noChangeArrowheads="1"/>
                                </pic:cNvPicPr>
                              </pic:nvPicPr>
                              <pic:blipFill>
                                <a:blip r:embed="rId36" cstate="print"/>
                                <a:srcRect/>
                                <a:stretch>
                                  <a:fillRect/>
                                </a:stretch>
                              </pic:blipFill>
                              <pic:spPr>
                                <a:xfrm>
                                  <a:off x="0" y="0"/>
                                  <a:ext cx="1219200" cy="1066800"/>
                                </a:xfrm>
                                <a:prstGeom prst="rect">
                                  <a:avLst/>
                                </a:prstGeom>
                                <a:noFill/>
                                <a:ln w="9525">
                                  <a:noFill/>
                                  <a:miter lim="800000"/>
                                  <a:headEnd/>
                                  <a:tailEnd/>
                                </a:ln>
                              </pic:spPr>
                            </pic:pic>
                          </a:graphicData>
                        </a:graphic>
                      </wp:inline>
                    </w:drawing>
                  </w:r>
                </w:p>
              </w:tc>
              <w:tc>
                <w:tcPr>
                  <w:tcW w:w="1600"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废气排放口</w:t>
                  </w:r>
                </w:p>
              </w:tc>
              <w:tc>
                <w:tcPr>
                  <w:tcW w:w="1601"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表示废气向大气环境排放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639" w:hRule="atLeast"/>
              </w:trPr>
              <w:tc>
                <w:tcPr>
                  <w:tcW w:w="947"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3</w:t>
                  </w:r>
                </w:p>
              </w:tc>
              <w:tc>
                <w:tcPr>
                  <w:tcW w:w="2035"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drawing>
                      <wp:inline distT="0" distB="0" distL="0" distR="0">
                        <wp:extent cx="1143000" cy="1066800"/>
                        <wp:effectExtent l="0" t="0" r="0" b="0"/>
                        <wp:docPr id="24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73"/>
                                <pic:cNvPicPr>
                                  <a:picLocks noChangeAspect="1" noChangeArrowheads="1"/>
                                </pic:cNvPicPr>
                              </pic:nvPicPr>
                              <pic:blipFill>
                                <a:blip r:embed="rId37" cstate="print"/>
                                <a:srcRect/>
                                <a:stretch>
                                  <a:fillRect/>
                                </a:stretch>
                              </pic:blipFill>
                              <pic:spPr>
                                <a:xfrm>
                                  <a:off x="0" y="0"/>
                                  <a:ext cx="1143000" cy="1066800"/>
                                </a:xfrm>
                                <a:prstGeom prst="rect">
                                  <a:avLst/>
                                </a:prstGeom>
                                <a:noFill/>
                                <a:ln w="9525">
                                  <a:noFill/>
                                  <a:miter lim="800000"/>
                                  <a:headEnd/>
                                  <a:tailEnd/>
                                </a:ln>
                              </pic:spPr>
                            </pic:pic>
                          </a:graphicData>
                        </a:graphic>
                      </wp:inline>
                    </w:drawing>
                  </w:r>
                </w:p>
              </w:tc>
              <w:tc>
                <w:tcPr>
                  <w:tcW w:w="2013"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drawing>
                      <wp:inline distT="0" distB="0" distL="0" distR="0">
                        <wp:extent cx="1200150" cy="1028700"/>
                        <wp:effectExtent l="0" t="0" r="0" b="0"/>
                        <wp:docPr id="24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74"/>
                                <pic:cNvPicPr>
                                  <a:picLocks noChangeAspect="1" noChangeArrowheads="1"/>
                                </pic:cNvPicPr>
                              </pic:nvPicPr>
                              <pic:blipFill>
                                <a:blip r:embed="rId38" cstate="print"/>
                                <a:srcRect/>
                                <a:stretch>
                                  <a:fillRect/>
                                </a:stretch>
                              </pic:blipFill>
                              <pic:spPr>
                                <a:xfrm>
                                  <a:off x="0" y="0"/>
                                  <a:ext cx="1200150" cy="1028700"/>
                                </a:xfrm>
                                <a:prstGeom prst="rect">
                                  <a:avLst/>
                                </a:prstGeom>
                                <a:noFill/>
                                <a:ln w="9525">
                                  <a:noFill/>
                                  <a:miter lim="800000"/>
                                  <a:headEnd/>
                                  <a:tailEnd/>
                                </a:ln>
                              </pic:spPr>
                            </pic:pic>
                          </a:graphicData>
                        </a:graphic>
                      </wp:inline>
                    </w:drawing>
                  </w:r>
                </w:p>
              </w:tc>
              <w:tc>
                <w:tcPr>
                  <w:tcW w:w="1600"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噪声排放源</w:t>
                  </w:r>
                </w:p>
              </w:tc>
              <w:tc>
                <w:tcPr>
                  <w:tcW w:w="1601"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表示噪声向外环境排放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947"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4</w:t>
                  </w:r>
                </w:p>
              </w:tc>
              <w:tc>
                <w:tcPr>
                  <w:tcW w:w="2035"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drawing>
                      <wp:inline distT="0" distB="0" distL="0" distR="0">
                        <wp:extent cx="1133475" cy="1133475"/>
                        <wp:effectExtent l="0" t="0" r="9525" b="9525"/>
                        <wp:docPr id="25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75"/>
                                <pic:cNvPicPr>
                                  <a:picLocks noChangeAspect="1" noChangeArrowheads="1"/>
                                </pic:cNvPicPr>
                              </pic:nvPicPr>
                              <pic:blipFill>
                                <a:blip r:embed="rId39" cstate="print"/>
                                <a:srcRect/>
                                <a:stretch>
                                  <a:fillRect/>
                                </a:stretch>
                              </pic:blipFill>
                              <pic:spPr>
                                <a:xfrm>
                                  <a:off x="0" y="0"/>
                                  <a:ext cx="1133475" cy="1133475"/>
                                </a:xfrm>
                                <a:prstGeom prst="rect">
                                  <a:avLst/>
                                </a:prstGeom>
                                <a:noFill/>
                                <a:ln w="9525">
                                  <a:noFill/>
                                  <a:miter lim="800000"/>
                                  <a:headEnd/>
                                  <a:tailEnd/>
                                </a:ln>
                              </pic:spPr>
                            </pic:pic>
                          </a:graphicData>
                        </a:graphic>
                      </wp:inline>
                    </w:drawing>
                  </w:r>
                </w:p>
              </w:tc>
              <w:tc>
                <w:tcPr>
                  <w:tcW w:w="2013"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drawing>
                      <wp:inline distT="0" distB="0" distL="0" distR="0">
                        <wp:extent cx="1209675" cy="1066800"/>
                        <wp:effectExtent l="0" t="0" r="9525" b="0"/>
                        <wp:docPr id="25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76"/>
                                <pic:cNvPicPr>
                                  <a:picLocks noChangeAspect="1" noChangeArrowheads="1"/>
                                </pic:cNvPicPr>
                              </pic:nvPicPr>
                              <pic:blipFill>
                                <a:blip r:embed="rId40" cstate="print"/>
                                <a:srcRect/>
                                <a:stretch>
                                  <a:fillRect/>
                                </a:stretch>
                              </pic:blipFill>
                              <pic:spPr>
                                <a:xfrm>
                                  <a:off x="0" y="0"/>
                                  <a:ext cx="1209675" cy="1066800"/>
                                </a:xfrm>
                                <a:prstGeom prst="rect">
                                  <a:avLst/>
                                </a:prstGeom>
                                <a:noFill/>
                                <a:ln w="9525">
                                  <a:noFill/>
                                  <a:miter lim="800000"/>
                                  <a:headEnd/>
                                  <a:tailEnd/>
                                </a:ln>
                              </pic:spPr>
                            </pic:pic>
                          </a:graphicData>
                        </a:graphic>
                      </wp:inline>
                    </w:drawing>
                  </w:r>
                </w:p>
              </w:tc>
              <w:tc>
                <w:tcPr>
                  <w:tcW w:w="1600"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一般固体废物</w:t>
                  </w:r>
                </w:p>
              </w:tc>
              <w:tc>
                <w:tcPr>
                  <w:tcW w:w="1601"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表示一般固体废物贮存、处置场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947"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5</w:t>
                  </w:r>
                </w:p>
              </w:tc>
              <w:tc>
                <w:tcPr>
                  <w:tcW w:w="2035"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w:t>
                  </w:r>
                </w:p>
              </w:tc>
              <w:tc>
                <w:tcPr>
                  <w:tcW w:w="2013"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highlight w:val="none"/>
                    </w:rPr>
                    <w:drawing>
                      <wp:inline distT="0" distB="0" distL="114300" distR="114300">
                        <wp:extent cx="1207770" cy="989965"/>
                        <wp:effectExtent l="0" t="0" r="11430" b="635"/>
                        <wp:docPr id="4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34"/>
                                <pic:cNvPicPr>
                                  <a:picLocks noChangeAspect="1"/>
                                </pic:cNvPicPr>
                              </pic:nvPicPr>
                              <pic:blipFill>
                                <a:blip r:embed="rId41" cstate="print"/>
                                <a:stretch>
                                  <a:fillRect/>
                                </a:stretch>
                              </pic:blipFill>
                              <pic:spPr>
                                <a:xfrm>
                                  <a:off x="0" y="0"/>
                                  <a:ext cx="1207770" cy="989965"/>
                                </a:xfrm>
                                <a:prstGeom prst="rect">
                                  <a:avLst/>
                                </a:prstGeom>
                                <a:noFill/>
                                <a:ln>
                                  <a:noFill/>
                                </a:ln>
                              </pic:spPr>
                            </pic:pic>
                          </a:graphicData>
                        </a:graphic>
                      </wp:inline>
                    </w:drawing>
                  </w:r>
                </w:p>
              </w:tc>
              <w:tc>
                <w:tcPr>
                  <w:tcW w:w="1600"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危险废物</w:t>
                  </w:r>
                </w:p>
              </w:tc>
              <w:tc>
                <w:tcPr>
                  <w:tcW w:w="1601" w:type="dxa"/>
                  <w:tcBorders>
                    <w:tl2br w:val="nil"/>
                    <w:tr2bl w:val="nil"/>
                  </w:tcBorders>
                  <w:vAlign w:val="center"/>
                </w:tcPr>
                <w:p>
                  <w:pPr>
                    <w:jc w:val="center"/>
                    <w:rPr>
                      <w:rFonts w:hint="default" w:ascii="Times New Roman" w:hAnsi="Times New Roman" w:cs="Times New Roman"/>
                      <w:caps w:val="0"/>
                      <w:color w:val="auto"/>
                      <w:spacing w:val="0"/>
                      <w:sz w:val="21"/>
                      <w:szCs w:val="21"/>
                      <w:highlight w:val="none"/>
                    </w:rPr>
                  </w:pPr>
                  <w:r>
                    <w:rPr>
                      <w:rFonts w:hint="default" w:ascii="Times New Roman" w:hAnsi="Times New Roman" w:cs="Times New Roman"/>
                      <w:caps w:val="0"/>
                      <w:color w:val="auto"/>
                      <w:spacing w:val="0"/>
                      <w:sz w:val="21"/>
                      <w:szCs w:val="21"/>
                      <w:highlight w:val="none"/>
                    </w:rPr>
                    <w:t>表示危险废物暂存场所</w:t>
                  </w:r>
                </w:p>
              </w:tc>
            </w:tr>
          </w:tbl>
          <w:p>
            <w:pPr>
              <w:pStyle w:val="70"/>
              <w:rPr>
                <w:color w:val="auto"/>
                <w:highlight w:val="none"/>
              </w:rPr>
            </w:pPr>
          </w:p>
          <w:p>
            <w:pPr>
              <w:pStyle w:val="72"/>
              <w:ind w:firstLine="480"/>
              <w:rPr>
                <w:color w:val="auto"/>
                <w:highlight w:val="none"/>
              </w:rPr>
            </w:pPr>
            <w:r>
              <w:rPr>
                <w:rFonts w:hint="eastAsia"/>
                <w:color w:val="auto"/>
                <w:highlight w:val="none"/>
              </w:rPr>
              <w:t>三、排污口规范化管理</w:t>
            </w:r>
          </w:p>
          <w:p>
            <w:pPr>
              <w:pStyle w:val="72"/>
              <w:ind w:firstLine="480"/>
              <w:rPr>
                <w:color w:val="auto"/>
                <w:highlight w:val="none"/>
              </w:rPr>
            </w:pPr>
            <w:r>
              <w:rPr>
                <w:rFonts w:hint="eastAsia"/>
                <w:color w:val="auto"/>
                <w:highlight w:val="none"/>
              </w:rPr>
              <w:t>本项目新增的环保措施包括废水治理措施、废气处理措施、噪声防治措施、固体废物收集设施等。本项目环保投资1</w:t>
            </w:r>
            <w:r>
              <w:rPr>
                <w:rFonts w:hint="eastAsia"/>
                <w:color w:val="auto"/>
                <w:highlight w:val="none"/>
                <w:lang w:val="en-US" w:eastAsia="zh-CN"/>
              </w:rPr>
              <w:t>7</w:t>
            </w:r>
            <w:r>
              <w:rPr>
                <w:rFonts w:hint="eastAsia"/>
                <w:color w:val="auto"/>
                <w:highlight w:val="none"/>
              </w:rPr>
              <w:t>0万，占总投资</w:t>
            </w:r>
            <w:r>
              <w:rPr>
                <w:rFonts w:hint="eastAsia"/>
                <w:color w:val="auto"/>
                <w:highlight w:val="none"/>
                <w:lang w:val="en-US" w:eastAsia="zh-CN"/>
              </w:rPr>
              <w:t>16600</w:t>
            </w:r>
            <w:r>
              <w:rPr>
                <w:rFonts w:hint="eastAsia"/>
                <w:color w:val="auto"/>
                <w:highlight w:val="none"/>
              </w:rPr>
              <w:t>万元</w:t>
            </w:r>
            <w:r>
              <w:rPr>
                <w:rFonts w:hint="eastAsia"/>
                <w:color w:val="auto"/>
                <w:highlight w:val="none"/>
                <w:lang w:val="en-US" w:eastAsia="zh-CN"/>
              </w:rPr>
              <w:t>的1.02</w:t>
            </w:r>
            <w:r>
              <w:rPr>
                <w:rFonts w:hint="eastAsia"/>
                <w:color w:val="auto"/>
                <w:highlight w:val="none"/>
              </w:rPr>
              <w:t>%，则本项目环保投资估算详见表5-2。</w:t>
            </w:r>
          </w:p>
          <w:p>
            <w:pPr>
              <w:pStyle w:val="68"/>
              <w:rPr>
                <w:color w:val="auto"/>
                <w:highlight w:val="none"/>
              </w:rPr>
            </w:pPr>
            <w:r>
              <w:rPr>
                <w:rFonts w:hint="eastAsia"/>
                <w:color w:val="auto"/>
                <w:highlight w:val="none"/>
              </w:rPr>
              <w:t>表5-2项目环保投资估算一览表</w:t>
            </w:r>
          </w:p>
          <w:tbl>
            <w:tblPr>
              <w:tblStyle w:val="29"/>
              <w:tblW w:w="497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67"/>
              <w:gridCol w:w="1712"/>
              <w:gridCol w:w="2570"/>
              <w:gridCol w:w="1150"/>
              <w:gridCol w:w="12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3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时期</w:t>
                  </w:r>
                </w:p>
              </w:tc>
              <w:tc>
                <w:tcPr>
                  <w:tcW w:w="53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类别</w:t>
                  </w:r>
                </w:p>
              </w:tc>
              <w:tc>
                <w:tcPr>
                  <w:tcW w:w="2646"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项目</w:t>
                  </w:r>
                </w:p>
              </w:tc>
              <w:tc>
                <w:tcPr>
                  <w:tcW w:w="710"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投资</w:t>
                  </w:r>
                </w:p>
                <w:p>
                  <w:pPr>
                    <w:pStyle w:val="70"/>
                    <w:rPr>
                      <w:b w:val="0"/>
                      <w:color w:val="auto"/>
                      <w:highlight w:val="none"/>
                    </w:rPr>
                  </w:pPr>
                  <w:r>
                    <w:rPr>
                      <w:rFonts w:hint="eastAsia"/>
                      <w:b w:val="0"/>
                      <w:color w:val="auto"/>
                      <w:highlight w:val="none"/>
                    </w:rPr>
                    <w:t>（万元）</w:t>
                  </w:r>
                </w:p>
              </w:tc>
              <w:tc>
                <w:tcPr>
                  <w:tcW w:w="77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35" w:type="pct"/>
                  <w:vMerge w:val="restart"/>
                  <w:tcBorders>
                    <w:top w:val="single" w:color="000000" w:sz="4" w:space="0"/>
                    <w:left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运营期</w:t>
                  </w:r>
                </w:p>
              </w:tc>
              <w:tc>
                <w:tcPr>
                  <w:tcW w:w="535"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废水</w:t>
                  </w:r>
                </w:p>
              </w:tc>
              <w:tc>
                <w:tcPr>
                  <w:tcW w:w="2646"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生活污水：经化粪池处理达标后，由污水管网排入长乐滨海工业集中区污水处理厂</w:t>
                  </w:r>
                </w:p>
              </w:tc>
              <w:tc>
                <w:tcPr>
                  <w:tcW w:w="710"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highlight w:val="none"/>
                      <w:lang w:eastAsia="zh-CN"/>
                    </w:rPr>
                  </w:pPr>
                  <w:r>
                    <w:rPr>
                      <w:rFonts w:hint="eastAsia"/>
                      <w:b w:val="0"/>
                      <w:color w:val="auto"/>
                      <w:highlight w:val="none"/>
                      <w:lang w:val="en-US" w:eastAsia="zh-CN"/>
                    </w:rPr>
                    <w:t>5</w:t>
                  </w:r>
                </w:p>
              </w:tc>
              <w:tc>
                <w:tcPr>
                  <w:tcW w:w="77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 xml:space="preserve">新建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35" w:type="pct"/>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535"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2646"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rPr>
                    <w:t>生产废水：</w:t>
                  </w:r>
                  <w:r>
                    <w:rPr>
                      <w:rFonts w:hint="eastAsia"/>
                      <w:b w:val="0"/>
                      <w:color w:val="auto"/>
                      <w:highlight w:val="none"/>
                      <w:lang w:val="en-US" w:eastAsia="zh-CN"/>
                    </w:rPr>
                    <w:t>新建一座</w:t>
                  </w:r>
                  <w:r>
                    <w:rPr>
                      <w:rFonts w:hint="eastAsia"/>
                      <w:b w:val="0"/>
                      <w:color w:val="auto"/>
                      <w:highlight w:val="none"/>
                    </w:rPr>
                    <w:t>污水处理站，处理工艺为：</w:t>
                  </w:r>
                  <w:r>
                    <w:rPr>
                      <w:rFonts w:hint="eastAsia"/>
                      <w:b w:val="0"/>
                      <w:color w:val="auto"/>
                      <w:highlight w:val="none"/>
                      <w:lang w:val="en-US" w:eastAsia="zh-CN"/>
                    </w:rPr>
                    <w:t>pH调节+化学</w:t>
                  </w:r>
                  <w:r>
                    <w:rPr>
                      <w:rFonts w:hint="eastAsia"/>
                      <w:b w:val="0"/>
                      <w:color w:val="auto"/>
                      <w:highlight w:val="none"/>
                    </w:rPr>
                    <w:t>混凝沉淀</w:t>
                  </w:r>
                  <w:r>
                    <w:rPr>
                      <w:rFonts w:hint="eastAsia"/>
                      <w:b w:val="0"/>
                      <w:color w:val="auto"/>
                      <w:highlight w:val="none"/>
                      <w:lang w:eastAsia="zh-CN"/>
                    </w:rPr>
                    <w:t>，</w:t>
                  </w:r>
                  <w:r>
                    <w:rPr>
                      <w:rFonts w:hint="eastAsia"/>
                      <w:b w:val="0"/>
                      <w:color w:val="auto"/>
                      <w:highlight w:val="none"/>
                      <w:lang w:val="en-US" w:eastAsia="zh-CN"/>
                    </w:rPr>
                    <w:t>规模20m</w:t>
                  </w:r>
                  <w:r>
                    <w:rPr>
                      <w:rFonts w:hint="eastAsia"/>
                      <w:b w:val="0"/>
                      <w:color w:val="auto"/>
                      <w:highlight w:val="none"/>
                      <w:vertAlign w:val="superscript"/>
                      <w:lang w:val="en-US" w:eastAsia="zh-CN"/>
                    </w:rPr>
                    <w:t>3</w:t>
                  </w:r>
                  <w:r>
                    <w:rPr>
                      <w:rFonts w:hint="eastAsia"/>
                      <w:b w:val="0"/>
                      <w:color w:val="auto"/>
                      <w:highlight w:val="none"/>
                      <w:vertAlign w:val="baseline"/>
                      <w:lang w:val="en-US" w:eastAsia="zh-CN"/>
                    </w:rPr>
                    <w:t>/d。</w:t>
                  </w:r>
                  <w:r>
                    <w:rPr>
                      <w:rFonts w:hint="eastAsia"/>
                      <w:b w:val="0"/>
                      <w:color w:val="auto"/>
                      <w:highlight w:val="none"/>
                      <w:lang w:val="en-US" w:eastAsia="zh-CN"/>
                    </w:rPr>
                    <w:t>另考虑三期地块半导体用金属及合金靶材项目建成后配套</w:t>
                  </w:r>
                  <w:r>
                    <w:rPr>
                      <w:rFonts w:hint="eastAsia"/>
                      <w:b w:val="0"/>
                      <w:color w:val="auto"/>
                      <w:highlight w:val="none"/>
                    </w:rPr>
                    <w:t>厌氧+缺氧+好氧+二次沉淀</w:t>
                  </w:r>
                  <w:r>
                    <w:rPr>
                      <w:rFonts w:hint="eastAsia"/>
                      <w:b w:val="0"/>
                      <w:color w:val="auto"/>
                      <w:highlight w:val="none"/>
                      <w:lang w:val="en-US" w:eastAsia="zh-CN"/>
                    </w:rPr>
                    <w:t>处理工艺</w:t>
                  </w:r>
                </w:p>
              </w:tc>
              <w:tc>
                <w:tcPr>
                  <w:tcW w:w="710"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rPr>
                  </w:pPr>
                  <w:r>
                    <w:rPr>
                      <w:rFonts w:hint="eastAsia"/>
                      <w:b w:val="0"/>
                      <w:color w:val="auto"/>
                      <w:highlight w:val="none"/>
                      <w:lang w:val="en-US" w:eastAsia="zh-CN"/>
                    </w:rPr>
                    <w:t>40</w:t>
                  </w:r>
                </w:p>
              </w:tc>
              <w:tc>
                <w:tcPr>
                  <w:tcW w:w="77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35" w:type="pct"/>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53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废气</w:t>
                  </w:r>
                </w:p>
              </w:tc>
              <w:tc>
                <w:tcPr>
                  <w:tcW w:w="2646"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vertAlign w:val="baseline"/>
                      <w:lang w:val="en-US" w:eastAsia="zh-CN"/>
                    </w:rPr>
                  </w:pPr>
                  <w:r>
                    <w:rPr>
                      <w:rFonts w:hint="eastAsia"/>
                      <w:b w:val="0"/>
                      <w:color w:val="auto"/>
                      <w:highlight w:val="none"/>
                      <w:lang w:val="en-US" w:eastAsia="zh-CN"/>
                    </w:rPr>
                    <w:t>喷砂</w:t>
                  </w:r>
                  <w:r>
                    <w:rPr>
                      <w:rFonts w:hint="eastAsia"/>
                      <w:b w:val="0"/>
                      <w:color w:val="auto"/>
                      <w:highlight w:val="none"/>
                    </w:rPr>
                    <w:t>粉尘：</w:t>
                  </w:r>
                  <w:r>
                    <w:rPr>
                      <w:rFonts w:hint="eastAsia"/>
                      <w:b w:val="0"/>
                      <w:color w:val="auto"/>
                      <w:highlight w:val="none"/>
                      <w:lang w:val="en-US" w:eastAsia="zh-CN"/>
                    </w:rPr>
                    <w:t>3套布袋除尘装置+1</w:t>
                  </w:r>
                  <w:r>
                    <w:rPr>
                      <w:rFonts w:hint="eastAsia"/>
                      <w:b w:val="0"/>
                      <w:color w:val="auto"/>
                      <w:highlight w:val="none"/>
                    </w:rPr>
                    <w:t>5m排气筒</w:t>
                  </w:r>
                  <w:r>
                    <w:rPr>
                      <w:rFonts w:hint="eastAsia"/>
                      <w:b w:val="0"/>
                      <w:color w:val="auto"/>
                      <w:highlight w:val="none"/>
                      <w:lang w:eastAsia="zh-CN"/>
                    </w:rPr>
                    <w:t>，</w:t>
                  </w:r>
                  <w:r>
                    <w:rPr>
                      <w:rFonts w:hint="eastAsia"/>
                      <w:b w:val="0"/>
                      <w:color w:val="auto"/>
                      <w:highlight w:val="none"/>
                      <w:lang w:val="en-US" w:eastAsia="zh-CN"/>
                    </w:rPr>
                    <w:t>最大风量30000m</w:t>
                  </w:r>
                  <w:r>
                    <w:rPr>
                      <w:rFonts w:hint="eastAsia"/>
                      <w:b w:val="0"/>
                      <w:color w:val="auto"/>
                      <w:highlight w:val="none"/>
                      <w:vertAlign w:val="superscript"/>
                      <w:lang w:val="en-US" w:eastAsia="zh-CN"/>
                    </w:rPr>
                    <w:t>3</w:t>
                  </w:r>
                  <w:r>
                    <w:rPr>
                      <w:rFonts w:hint="eastAsia"/>
                      <w:b w:val="0"/>
                      <w:color w:val="auto"/>
                      <w:highlight w:val="none"/>
                      <w:vertAlign w:val="baseline"/>
                      <w:lang w:val="en-US" w:eastAsia="zh-CN"/>
                    </w:rPr>
                    <w:t>/h；</w:t>
                  </w:r>
                </w:p>
                <w:p>
                  <w:pPr>
                    <w:pStyle w:val="70"/>
                    <w:rPr>
                      <w:b w:val="0"/>
                      <w:color w:val="auto"/>
                      <w:highlight w:val="none"/>
                    </w:rPr>
                  </w:pPr>
                  <w:r>
                    <w:rPr>
                      <w:rFonts w:hint="eastAsia"/>
                      <w:b w:val="0"/>
                      <w:color w:val="auto"/>
                      <w:highlight w:val="none"/>
                      <w:vertAlign w:val="baseline"/>
                      <w:lang w:val="en-US" w:eastAsia="zh-CN"/>
                    </w:rPr>
                    <w:t xml:space="preserve"> 抛光</w:t>
                  </w:r>
                  <w:r>
                    <w:rPr>
                      <w:rFonts w:hint="eastAsia"/>
                      <w:b w:val="0"/>
                      <w:color w:val="auto"/>
                      <w:highlight w:val="none"/>
                    </w:rPr>
                    <w:t>粉尘：</w:t>
                  </w:r>
                  <w:r>
                    <w:rPr>
                      <w:rFonts w:hint="eastAsia"/>
                      <w:b w:val="0"/>
                      <w:color w:val="auto"/>
                      <w:highlight w:val="none"/>
                      <w:lang w:val="en-US" w:eastAsia="zh-CN"/>
                    </w:rPr>
                    <w:t>2套水喷淋除尘+1</w:t>
                  </w:r>
                  <w:r>
                    <w:rPr>
                      <w:rFonts w:hint="eastAsia"/>
                      <w:b w:val="0"/>
                      <w:color w:val="auto"/>
                      <w:highlight w:val="none"/>
                    </w:rPr>
                    <w:t>5m排气筒</w:t>
                  </w:r>
                  <w:r>
                    <w:rPr>
                      <w:rFonts w:hint="eastAsia"/>
                      <w:b w:val="0"/>
                      <w:color w:val="auto"/>
                      <w:highlight w:val="none"/>
                      <w:lang w:eastAsia="zh-CN"/>
                    </w:rPr>
                    <w:t>，</w:t>
                  </w:r>
                  <w:r>
                    <w:rPr>
                      <w:rFonts w:hint="eastAsia"/>
                      <w:b w:val="0"/>
                      <w:color w:val="auto"/>
                      <w:highlight w:val="none"/>
                      <w:lang w:val="en-US" w:eastAsia="zh-CN"/>
                    </w:rPr>
                    <w:t>风量30000m</w:t>
                  </w:r>
                  <w:r>
                    <w:rPr>
                      <w:rFonts w:hint="eastAsia"/>
                      <w:b w:val="0"/>
                      <w:color w:val="auto"/>
                      <w:highlight w:val="none"/>
                      <w:vertAlign w:val="superscript"/>
                      <w:lang w:val="en-US" w:eastAsia="zh-CN"/>
                    </w:rPr>
                    <w:t>3</w:t>
                  </w:r>
                  <w:r>
                    <w:rPr>
                      <w:rFonts w:hint="eastAsia"/>
                      <w:b w:val="0"/>
                      <w:color w:val="auto"/>
                      <w:highlight w:val="none"/>
                      <w:vertAlign w:val="baseline"/>
                      <w:lang w:val="en-US" w:eastAsia="zh-CN"/>
                    </w:rPr>
                    <w:t>/h；</w:t>
                  </w:r>
                </w:p>
              </w:tc>
              <w:tc>
                <w:tcPr>
                  <w:tcW w:w="710"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55</w:t>
                  </w:r>
                </w:p>
              </w:tc>
              <w:tc>
                <w:tcPr>
                  <w:tcW w:w="77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35" w:type="pct"/>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53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噪声</w:t>
                  </w:r>
                </w:p>
              </w:tc>
              <w:tc>
                <w:tcPr>
                  <w:tcW w:w="2646"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隔声、消声、减振等综合降噪措施</w:t>
                  </w:r>
                </w:p>
              </w:tc>
              <w:tc>
                <w:tcPr>
                  <w:tcW w:w="710"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eastAsia="宋体"/>
                      <w:b w:val="0"/>
                      <w:color w:val="auto"/>
                      <w:highlight w:val="none"/>
                      <w:lang w:eastAsia="zh-CN"/>
                    </w:rPr>
                  </w:pPr>
                  <w:r>
                    <w:rPr>
                      <w:rFonts w:hint="eastAsia"/>
                      <w:b w:val="0"/>
                      <w:color w:val="auto"/>
                      <w:highlight w:val="none"/>
                      <w:lang w:val="en-US" w:eastAsia="zh-CN"/>
                    </w:rPr>
                    <w:t>5</w:t>
                  </w:r>
                </w:p>
              </w:tc>
              <w:tc>
                <w:tcPr>
                  <w:tcW w:w="77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35" w:type="pct"/>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535" w:type="pct"/>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固废</w:t>
                  </w:r>
                </w:p>
              </w:tc>
              <w:tc>
                <w:tcPr>
                  <w:tcW w:w="105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一般工业固废</w:t>
                  </w:r>
                </w:p>
              </w:tc>
              <w:tc>
                <w:tcPr>
                  <w:tcW w:w="15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设置收集装置</w:t>
                  </w:r>
                </w:p>
              </w:tc>
              <w:tc>
                <w:tcPr>
                  <w:tcW w:w="710"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0</w:t>
                  </w:r>
                </w:p>
              </w:tc>
              <w:tc>
                <w:tcPr>
                  <w:tcW w:w="77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335" w:type="pct"/>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535"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05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危险废物</w:t>
                  </w:r>
                </w:p>
              </w:tc>
              <w:tc>
                <w:tcPr>
                  <w:tcW w:w="15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危废仓库</w:t>
                  </w:r>
                </w:p>
              </w:tc>
              <w:tc>
                <w:tcPr>
                  <w:tcW w:w="710"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5</w:t>
                  </w:r>
                </w:p>
              </w:tc>
              <w:tc>
                <w:tcPr>
                  <w:tcW w:w="77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35" w:type="pct"/>
                  <w:vMerge w:val="continue"/>
                  <w:tcBorders>
                    <w:left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535"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105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生活垃圾</w:t>
                  </w:r>
                </w:p>
              </w:tc>
              <w:tc>
                <w:tcPr>
                  <w:tcW w:w="1588"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收集容器、垃圾桶</w:t>
                  </w:r>
                </w:p>
              </w:tc>
              <w:tc>
                <w:tcPr>
                  <w:tcW w:w="710"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0</w:t>
                  </w:r>
                </w:p>
              </w:tc>
              <w:tc>
                <w:tcPr>
                  <w:tcW w:w="77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35" w:type="pct"/>
                  <w:vMerge w:val="continue"/>
                  <w:tcBorders>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53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环境风险</w:t>
                  </w:r>
                </w:p>
              </w:tc>
              <w:tc>
                <w:tcPr>
                  <w:tcW w:w="2646" w:type="pct"/>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vertAlign w:val="baseline"/>
                      <w:lang w:val="en-US" w:eastAsia="zh-CN"/>
                    </w:rPr>
                  </w:pPr>
                  <w:r>
                    <w:rPr>
                      <w:rFonts w:hint="eastAsia"/>
                      <w:b w:val="0"/>
                      <w:color w:val="auto"/>
                      <w:highlight w:val="none"/>
                      <w:lang w:val="en-US" w:eastAsia="zh-CN"/>
                    </w:rPr>
                    <w:t>事故应急池容积260m</w:t>
                  </w:r>
                  <w:r>
                    <w:rPr>
                      <w:rFonts w:hint="eastAsia"/>
                      <w:b w:val="0"/>
                      <w:color w:val="auto"/>
                      <w:highlight w:val="none"/>
                      <w:vertAlign w:val="superscript"/>
                      <w:lang w:val="en-US" w:eastAsia="zh-CN"/>
                    </w:rPr>
                    <w:t>3</w:t>
                  </w:r>
                  <w:r>
                    <w:rPr>
                      <w:rFonts w:hint="eastAsia"/>
                      <w:b w:val="0"/>
                      <w:color w:val="auto"/>
                      <w:highlight w:val="none"/>
                      <w:lang w:eastAsia="zh-CN"/>
                    </w:rPr>
                    <w:t>，</w:t>
                  </w:r>
                  <w:r>
                    <w:rPr>
                      <w:rFonts w:hint="eastAsia"/>
                      <w:b w:val="0"/>
                      <w:color w:val="auto"/>
                      <w:highlight w:val="none"/>
                      <w:lang w:val="en-US" w:eastAsia="zh-CN"/>
                    </w:rPr>
                    <w:t>切换阀及雨水排放口切断阀等</w:t>
                  </w:r>
                </w:p>
              </w:tc>
              <w:tc>
                <w:tcPr>
                  <w:tcW w:w="710"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60</w:t>
                  </w:r>
                </w:p>
              </w:tc>
              <w:tc>
                <w:tcPr>
                  <w:tcW w:w="77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eastAsia"/>
                      <w:b w:val="0"/>
                      <w:color w:val="auto"/>
                      <w:highlight w:val="none"/>
                    </w:rPr>
                  </w:pPr>
                  <w:r>
                    <w:rPr>
                      <w:rFonts w:hint="eastAsia"/>
                      <w:b w:val="0"/>
                      <w:color w:val="auto"/>
                      <w:highlight w:val="none"/>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517" w:type="pct"/>
                  <w:gridSpan w:val="4"/>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合计</w:t>
                  </w:r>
                </w:p>
              </w:tc>
              <w:tc>
                <w:tcPr>
                  <w:tcW w:w="710"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170</w:t>
                  </w:r>
                </w:p>
              </w:tc>
              <w:tc>
                <w:tcPr>
                  <w:tcW w:w="771"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r>
          </w:tbl>
          <w:p>
            <w:pPr>
              <w:pStyle w:val="70"/>
              <w:rPr>
                <w:color w:val="auto"/>
                <w:highlight w:val="none"/>
              </w:rPr>
            </w:pPr>
          </w:p>
          <w:p>
            <w:pPr>
              <w:pStyle w:val="72"/>
              <w:ind w:firstLine="0" w:firstLineChars="0"/>
              <w:rPr>
                <w:color w:val="auto"/>
                <w:highlight w:val="none"/>
              </w:rPr>
            </w:pPr>
            <w:r>
              <w:rPr>
                <w:rFonts w:hint="eastAsia"/>
                <w:color w:val="auto"/>
                <w:highlight w:val="none"/>
              </w:rPr>
              <w:t>四、环保“三同时”竣工验收</w:t>
            </w:r>
          </w:p>
          <w:p>
            <w:pPr>
              <w:pStyle w:val="72"/>
              <w:ind w:firstLine="480"/>
              <w:rPr>
                <w:color w:val="auto"/>
                <w:highlight w:val="none"/>
              </w:rPr>
            </w:pPr>
            <w:r>
              <w:rPr>
                <w:rFonts w:hint="eastAsia"/>
                <w:color w:val="auto"/>
                <w:highlight w:val="none"/>
              </w:rPr>
              <w:t>根据《建设项目环境保护管理条例（2017年修订）》，在项目竣工后，建设单位应强化环境保护主体责任，落实建设项目环境保护“三同时”制度，本项目竣工后的验收程序、验收自查、验收监测方案和报告编制、验收监测技术均应按照《建设项目竣工环境保护验收技术指南污染影响类》的要求进行。项目竣工环保验收一览表详见表5-3。</w:t>
            </w:r>
          </w:p>
          <w:p>
            <w:pPr>
              <w:pStyle w:val="68"/>
              <w:bidi w:val="0"/>
              <w:rPr>
                <w:color w:val="auto"/>
                <w:highlight w:val="none"/>
              </w:rPr>
            </w:pPr>
            <w:r>
              <w:rPr>
                <w:rFonts w:hint="eastAsia"/>
                <w:color w:val="auto"/>
                <w:highlight w:val="none"/>
              </w:rPr>
              <w:t>表5-3项目竣工环保验收一览表</w:t>
            </w:r>
          </w:p>
          <w:tbl>
            <w:tblPr>
              <w:tblStyle w:val="29"/>
              <w:tblW w:w="8458"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4"/>
              <w:gridCol w:w="800"/>
              <w:gridCol w:w="2432"/>
              <w:gridCol w:w="43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措施类别</w:t>
                  </w:r>
                </w:p>
              </w:tc>
              <w:tc>
                <w:tcPr>
                  <w:tcW w:w="3232"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措施内容</w:t>
                  </w:r>
                </w:p>
              </w:tc>
              <w:tc>
                <w:tcPr>
                  <w:tcW w:w="437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854"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污水处理设施</w:t>
                  </w:r>
                </w:p>
              </w:tc>
              <w:tc>
                <w:tcPr>
                  <w:tcW w:w="3232"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生活污水经化粪池处理后通过市政污水管网排入长乐城区污水厂统一处理</w:t>
                  </w:r>
                </w:p>
              </w:tc>
              <w:tc>
                <w:tcPr>
                  <w:tcW w:w="437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lang w:eastAsia="zh-CN"/>
                    </w:rPr>
                    <w:t>《</w:t>
                  </w:r>
                  <w:r>
                    <w:rPr>
                      <w:rFonts w:hint="eastAsia"/>
                      <w:b w:val="0"/>
                      <w:color w:val="auto"/>
                      <w:highlight w:val="none"/>
                    </w:rPr>
                    <w:t>污水综合排放标准》（GB8978-1996）表4中的三级排放标准，氨氮参照执行《污水排入城镇下水道水质标准》（GB/T31962-2015）表1中的B级标准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5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3232"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lang w:val="en-US" w:eastAsia="zh-CN"/>
                    </w:rPr>
                    <w:t>新建一座</w:t>
                  </w:r>
                  <w:r>
                    <w:rPr>
                      <w:rFonts w:hint="eastAsia"/>
                      <w:b w:val="0"/>
                      <w:color w:val="auto"/>
                      <w:highlight w:val="none"/>
                    </w:rPr>
                    <w:t>污水处理站，处理工艺为：</w:t>
                  </w:r>
                  <w:r>
                    <w:rPr>
                      <w:rFonts w:hint="eastAsia"/>
                      <w:b w:val="0"/>
                      <w:color w:val="auto"/>
                      <w:highlight w:val="none"/>
                      <w:lang w:val="en-US" w:eastAsia="zh-CN"/>
                    </w:rPr>
                    <w:t>pH调节+化学</w:t>
                  </w:r>
                  <w:r>
                    <w:rPr>
                      <w:rFonts w:hint="eastAsia"/>
                      <w:b w:val="0"/>
                      <w:color w:val="auto"/>
                      <w:highlight w:val="none"/>
                    </w:rPr>
                    <w:t>混凝沉淀</w:t>
                  </w:r>
                  <w:r>
                    <w:rPr>
                      <w:rFonts w:hint="eastAsia"/>
                      <w:b w:val="0"/>
                      <w:color w:val="auto"/>
                      <w:highlight w:val="none"/>
                      <w:lang w:eastAsia="zh-CN"/>
                    </w:rPr>
                    <w:t>，</w:t>
                  </w:r>
                  <w:r>
                    <w:rPr>
                      <w:rFonts w:hint="eastAsia"/>
                      <w:b w:val="0"/>
                      <w:color w:val="auto"/>
                      <w:highlight w:val="none"/>
                      <w:lang w:val="en-US" w:eastAsia="zh-CN"/>
                    </w:rPr>
                    <w:t>规模20m</w:t>
                  </w:r>
                  <w:r>
                    <w:rPr>
                      <w:rFonts w:hint="eastAsia"/>
                      <w:b w:val="0"/>
                      <w:color w:val="auto"/>
                      <w:highlight w:val="none"/>
                      <w:vertAlign w:val="superscript"/>
                      <w:lang w:val="en-US" w:eastAsia="zh-CN"/>
                    </w:rPr>
                    <w:t>3</w:t>
                  </w:r>
                  <w:r>
                    <w:rPr>
                      <w:rFonts w:hint="eastAsia"/>
                      <w:b w:val="0"/>
                      <w:color w:val="auto"/>
                      <w:highlight w:val="none"/>
                      <w:vertAlign w:val="baseline"/>
                      <w:lang w:val="en-US" w:eastAsia="zh-CN"/>
                    </w:rPr>
                    <w:t>/d。</w:t>
                  </w:r>
                </w:p>
              </w:tc>
              <w:tc>
                <w:tcPr>
                  <w:tcW w:w="437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w:t>
                  </w:r>
                  <w:r>
                    <w:rPr>
                      <w:rFonts w:hint="eastAsia"/>
                      <w:b w:val="0"/>
                      <w:color w:val="auto"/>
                      <w:highlight w:val="none"/>
                      <w:lang w:val="en-US" w:eastAsia="zh-CN"/>
                    </w:rPr>
                    <w:t>电子工业水污染物排放标准</w:t>
                  </w:r>
                  <w:r>
                    <w:rPr>
                      <w:rFonts w:hint="eastAsia"/>
                      <w:b w:val="0"/>
                      <w:color w:val="auto"/>
                      <w:highlight w:val="none"/>
                    </w:rPr>
                    <w:t>》（GB</w:t>
                  </w:r>
                  <w:r>
                    <w:rPr>
                      <w:rFonts w:hint="eastAsia"/>
                      <w:b w:val="0"/>
                      <w:color w:val="auto"/>
                      <w:highlight w:val="none"/>
                      <w:lang w:val="en-US" w:eastAsia="zh-CN"/>
                    </w:rPr>
                    <w:t>39731</w:t>
                  </w:r>
                  <w:r>
                    <w:rPr>
                      <w:rFonts w:hint="eastAsia"/>
                      <w:b w:val="0"/>
                      <w:color w:val="auto"/>
                      <w:highlight w:val="none"/>
                    </w:rPr>
                    <w:t>-</w:t>
                  </w:r>
                  <w:r>
                    <w:rPr>
                      <w:rFonts w:hint="eastAsia"/>
                      <w:b w:val="0"/>
                      <w:color w:val="auto"/>
                      <w:highlight w:val="none"/>
                      <w:lang w:val="en-US" w:eastAsia="zh-CN"/>
                    </w:rPr>
                    <w:t>2020</w:t>
                  </w:r>
                  <w:r>
                    <w:rPr>
                      <w:rFonts w:hint="eastAsia"/>
                      <w:b w:val="0"/>
                      <w:color w:val="auto"/>
                      <w:highlight w:val="none"/>
                    </w:rPr>
                    <w:t>）表</w:t>
                  </w:r>
                  <w:r>
                    <w:rPr>
                      <w:rFonts w:hint="eastAsia"/>
                      <w:b w:val="0"/>
                      <w:color w:val="auto"/>
                      <w:highlight w:val="none"/>
                      <w:lang w:val="en-US" w:eastAsia="zh-CN"/>
                    </w:rPr>
                    <w:t>1</w:t>
                  </w:r>
                  <w:r>
                    <w:rPr>
                      <w:rFonts w:hint="eastAsia"/>
                      <w:b w:val="0"/>
                      <w:color w:val="auto"/>
                      <w:highlight w:val="none"/>
                    </w:rPr>
                    <w:t>中的</w:t>
                  </w:r>
                  <w:r>
                    <w:rPr>
                      <w:rFonts w:hint="eastAsia"/>
                      <w:b w:val="0"/>
                      <w:color w:val="auto"/>
                      <w:highlight w:val="none"/>
                      <w:lang w:val="en-US" w:eastAsia="zh-CN"/>
                    </w:rPr>
                    <w:t>间接</w:t>
                  </w:r>
                  <w:r>
                    <w:rPr>
                      <w:rFonts w:hint="eastAsia"/>
                      <w:b w:val="0"/>
                      <w:color w:val="auto"/>
                      <w:highlight w:val="none"/>
                    </w:rPr>
                    <w:t>排放</w:t>
                  </w:r>
                  <w:r>
                    <w:rPr>
                      <w:rFonts w:hint="eastAsia"/>
                      <w:b w:val="0"/>
                      <w:color w:val="auto"/>
                      <w:highlight w:val="none"/>
                      <w:lang w:val="en-US" w:eastAsia="zh-CN"/>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854"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废气污染防治措施</w:t>
                  </w:r>
                </w:p>
              </w:tc>
              <w:tc>
                <w:tcPr>
                  <w:tcW w:w="3232"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jc w:val="both"/>
                    <w:rPr>
                      <w:rFonts w:hint="default" w:eastAsia="宋体"/>
                      <w:b w:val="0"/>
                      <w:color w:val="auto"/>
                      <w:highlight w:val="none"/>
                      <w:lang w:val="en-US" w:eastAsia="zh-CN"/>
                    </w:rPr>
                  </w:pPr>
                  <w:r>
                    <w:rPr>
                      <w:rFonts w:hint="eastAsia"/>
                      <w:b w:val="0"/>
                      <w:color w:val="auto"/>
                      <w:highlight w:val="none"/>
                      <w:lang w:val="en-US" w:eastAsia="zh-CN"/>
                    </w:rPr>
                    <w:t>抛光粉尘</w:t>
                  </w:r>
                  <w:r>
                    <w:rPr>
                      <w:rFonts w:hint="eastAsia"/>
                      <w:b w:val="0"/>
                      <w:color w:val="auto"/>
                      <w:highlight w:val="none"/>
                    </w:rPr>
                    <w:t>：</w:t>
                  </w:r>
                  <w:r>
                    <w:rPr>
                      <w:rFonts w:hint="eastAsia"/>
                      <w:b w:val="0"/>
                      <w:color w:val="auto"/>
                      <w:highlight w:val="none"/>
                      <w:lang w:val="en-US" w:eastAsia="zh-CN"/>
                    </w:rPr>
                    <w:t>密闭负压抛光房，侧</w:t>
                  </w:r>
                  <w:r>
                    <w:rPr>
                      <w:rFonts w:hint="eastAsia"/>
                      <w:b w:val="0"/>
                      <w:color w:val="auto"/>
                      <w:highlight w:val="none"/>
                    </w:rPr>
                    <w:t>吸</w:t>
                  </w:r>
                  <w:r>
                    <w:rPr>
                      <w:rFonts w:hint="eastAsia"/>
                      <w:b w:val="0"/>
                      <w:color w:val="auto"/>
                      <w:highlight w:val="none"/>
                      <w:lang w:val="en-US" w:eastAsia="zh-CN"/>
                    </w:rPr>
                    <w:t>风罩+2套水喷淋除尘（单套设计风量为30000m</w:t>
                  </w:r>
                  <w:r>
                    <w:rPr>
                      <w:rFonts w:hint="eastAsia"/>
                      <w:b w:val="0"/>
                      <w:color w:val="auto"/>
                      <w:highlight w:val="none"/>
                      <w:vertAlign w:val="superscript"/>
                      <w:lang w:val="en-US" w:eastAsia="zh-CN"/>
                    </w:rPr>
                    <w:t>3</w:t>
                  </w:r>
                  <w:r>
                    <w:rPr>
                      <w:rFonts w:hint="eastAsia"/>
                      <w:b w:val="0"/>
                      <w:color w:val="auto"/>
                      <w:highlight w:val="none"/>
                      <w:vertAlign w:val="baseline"/>
                      <w:lang w:val="en-US" w:eastAsia="zh-CN"/>
                    </w:rPr>
                    <w:t>/h）</w:t>
                  </w:r>
                  <w:r>
                    <w:rPr>
                      <w:rFonts w:hint="eastAsia"/>
                      <w:b w:val="0"/>
                      <w:color w:val="auto"/>
                      <w:highlight w:val="none"/>
                    </w:rPr>
                    <w:t>+</w:t>
                  </w:r>
                  <w:r>
                    <w:rPr>
                      <w:rFonts w:hint="eastAsia"/>
                      <w:b w:val="0"/>
                      <w:color w:val="auto"/>
                      <w:highlight w:val="none"/>
                      <w:lang w:val="en-US" w:eastAsia="zh-CN"/>
                    </w:rPr>
                    <w:t>1根1</w:t>
                  </w:r>
                  <w:r>
                    <w:rPr>
                      <w:rFonts w:hint="eastAsia"/>
                      <w:b w:val="0"/>
                      <w:color w:val="auto"/>
                      <w:highlight w:val="none"/>
                    </w:rPr>
                    <w:t>5m排气筒</w:t>
                  </w:r>
                  <w:r>
                    <w:rPr>
                      <w:rFonts w:hint="eastAsia"/>
                      <w:b w:val="0"/>
                      <w:color w:val="auto"/>
                      <w:highlight w:val="none"/>
                      <w:lang w:val="en-US" w:eastAsia="zh-CN"/>
                    </w:rPr>
                    <w:t>排放</w:t>
                  </w:r>
                </w:p>
              </w:tc>
              <w:tc>
                <w:tcPr>
                  <w:tcW w:w="4372"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《大气污染物综合排放标准》（GB16297-1996）表2颗粒物（其他）有组织最高允许排放浓度和无组织排放浓度限值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85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3232"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lang w:val="en-US" w:eastAsia="zh-CN"/>
                    </w:rPr>
                    <w:t>喷砂</w:t>
                  </w:r>
                  <w:r>
                    <w:rPr>
                      <w:rFonts w:hint="eastAsia"/>
                      <w:b w:val="0"/>
                      <w:color w:val="auto"/>
                      <w:highlight w:val="none"/>
                    </w:rPr>
                    <w:t>粉尘：</w:t>
                  </w:r>
                  <w:r>
                    <w:rPr>
                      <w:rFonts w:hint="eastAsia"/>
                      <w:b w:val="0"/>
                      <w:color w:val="auto"/>
                      <w:highlight w:val="none"/>
                      <w:lang w:val="en-US" w:eastAsia="zh-CN"/>
                    </w:rPr>
                    <w:t>密闭负压喷砂房，集气罩+3套布袋除尘（单套最大风量为30000m</w:t>
                  </w:r>
                  <w:r>
                    <w:rPr>
                      <w:rFonts w:hint="eastAsia"/>
                      <w:b w:val="0"/>
                      <w:color w:val="auto"/>
                      <w:highlight w:val="none"/>
                      <w:vertAlign w:val="superscript"/>
                      <w:lang w:val="en-US" w:eastAsia="zh-CN"/>
                    </w:rPr>
                    <w:t>3</w:t>
                  </w:r>
                  <w:r>
                    <w:rPr>
                      <w:rFonts w:hint="eastAsia"/>
                      <w:b w:val="0"/>
                      <w:color w:val="auto"/>
                      <w:highlight w:val="none"/>
                      <w:vertAlign w:val="baseline"/>
                      <w:lang w:val="en-US" w:eastAsia="zh-CN"/>
                    </w:rPr>
                    <w:t>/h</w:t>
                  </w:r>
                  <w:r>
                    <w:rPr>
                      <w:rFonts w:hint="eastAsia"/>
                      <w:b w:val="0"/>
                      <w:color w:val="auto"/>
                      <w:highlight w:val="none"/>
                      <w:lang w:val="en-US" w:eastAsia="zh-CN"/>
                    </w:rPr>
                    <w:t>）</w:t>
                  </w:r>
                  <w:r>
                    <w:rPr>
                      <w:rFonts w:hint="eastAsia"/>
                      <w:b w:val="0"/>
                      <w:color w:val="auto"/>
                      <w:highlight w:val="none"/>
                    </w:rPr>
                    <w:t>+</w:t>
                  </w:r>
                  <w:r>
                    <w:rPr>
                      <w:rFonts w:hint="eastAsia"/>
                      <w:b w:val="0"/>
                      <w:color w:val="auto"/>
                      <w:highlight w:val="none"/>
                      <w:lang w:val="en-US" w:eastAsia="zh-CN"/>
                    </w:rPr>
                    <w:t>1根1</w:t>
                  </w:r>
                  <w:r>
                    <w:rPr>
                      <w:rFonts w:hint="eastAsia"/>
                      <w:b w:val="0"/>
                      <w:color w:val="auto"/>
                      <w:highlight w:val="none"/>
                    </w:rPr>
                    <w:t>5m排气筒</w:t>
                  </w:r>
                  <w:r>
                    <w:rPr>
                      <w:rFonts w:hint="eastAsia"/>
                      <w:b w:val="0"/>
                      <w:color w:val="auto"/>
                      <w:highlight w:val="none"/>
                      <w:lang w:val="en-US" w:eastAsia="zh-CN"/>
                    </w:rPr>
                    <w:t>排放</w:t>
                  </w:r>
                </w:p>
              </w:tc>
              <w:tc>
                <w:tcPr>
                  <w:tcW w:w="4372"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85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3232"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b w:val="0"/>
                      <w:color w:val="auto"/>
                      <w:highlight w:val="none"/>
                      <w:lang w:val="en-US" w:eastAsia="zh-CN"/>
                    </w:rPr>
                  </w:pPr>
                  <w:r>
                    <w:rPr>
                      <w:rFonts w:hint="eastAsia"/>
                      <w:b w:val="0"/>
                      <w:color w:val="auto"/>
                      <w:highlight w:val="none"/>
                      <w:lang w:val="en-US" w:eastAsia="zh-CN"/>
                    </w:rPr>
                    <w:t>清洁车间换气</w:t>
                  </w:r>
                </w:p>
              </w:tc>
              <w:tc>
                <w:tcPr>
                  <w:tcW w:w="437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《工业企业挥发性有机物排放标准》（DB35/1782—2018）表3企业边界监控点浓度限值、《挥发性有机物无组织排放控制标准》（GB37822—2019）表A.1厂区内VOCs无组织排放浓度限值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8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噪声防治措施</w:t>
                  </w:r>
                </w:p>
              </w:tc>
              <w:tc>
                <w:tcPr>
                  <w:tcW w:w="3232"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安装低噪声设备、消声、隔声、减振等</w:t>
                  </w:r>
                </w:p>
              </w:tc>
              <w:tc>
                <w:tcPr>
                  <w:tcW w:w="437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lang w:val="en-US" w:eastAsia="zh-CN"/>
                    </w:rPr>
                    <w:t>东、西、北侧厂界执行</w:t>
                  </w:r>
                  <w:r>
                    <w:rPr>
                      <w:rFonts w:hint="eastAsia"/>
                      <w:b w:val="0"/>
                      <w:color w:val="auto"/>
                      <w:highlight w:val="none"/>
                    </w:rPr>
                    <w:t>《工业企业厂界环境噪声排放标准》（GB12348-2008）3类</w:t>
                  </w:r>
                  <w:r>
                    <w:rPr>
                      <w:rFonts w:hint="eastAsia"/>
                      <w:b w:val="0"/>
                      <w:color w:val="auto"/>
                      <w:highlight w:val="none"/>
                      <w:lang w:val="en-US" w:eastAsia="zh-CN"/>
                    </w:rPr>
                    <w:t>标准</w:t>
                  </w:r>
                  <w:r>
                    <w:rPr>
                      <w:rFonts w:hint="eastAsia"/>
                      <w:b w:val="0"/>
                      <w:color w:val="auto"/>
                      <w:highlight w:val="none"/>
                      <w:lang w:eastAsia="zh-CN"/>
                    </w:rPr>
                    <w:t>，</w:t>
                  </w:r>
                  <w:r>
                    <w:rPr>
                      <w:rFonts w:hint="eastAsia"/>
                      <w:b w:val="0"/>
                      <w:color w:val="auto"/>
                      <w:highlight w:val="none"/>
                      <w:lang w:val="en-US" w:eastAsia="zh-CN"/>
                    </w:rPr>
                    <w:t>南侧厂界执行</w:t>
                  </w:r>
                  <w:r>
                    <w:rPr>
                      <w:rFonts w:hint="eastAsia"/>
                      <w:b w:val="0"/>
                      <w:color w:val="auto"/>
                      <w:highlight w:val="none"/>
                    </w:rPr>
                    <w:t>GB12348-20084类标准（3类：昼间</w:t>
                  </w:r>
                  <w:r>
                    <w:rPr>
                      <w:b w:val="0"/>
                      <w:color w:val="auto"/>
                      <w:highlight w:val="none"/>
                    </w:rPr>
                    <w:t>≤</w:t>
                  </w:r>
                  <w:r>
                    <w:rPr>
                      <w:rFonts w:hint="eastAsia"/>
                      <w:b w:val="0"/>
                      <w:color w:val="auto"/>
                      <w:highlight w:val="none"/>
                    </w:rPr>
                    <w:t>65dB、夜间</w:t>
                  </w:r>
                  <w:r>
                    <w:rPr>
                      <w:b w:val="0"/>
                      <w:color w:val="auto"/>
                      <w:highlight w:val="none"/>
                    </w:rPr>
                    <w:t>≤</w:t>
                  </w:r>
                  <w:r>
                    <w:rPr>
                      <w:rFonts w:hint="eastAsia"/>
                      <w:b w:val="0"/>
                      <w:color w:val="auto"/>
                      <w:highlight w:val="none"/>
                    </w:rPr>
                    <w:t>55dB；4类：昼间</w:t>
                  </w:r>
                  <w:r>
                    <w:rPr>
                      <w:b w:val="0"/>
                      <w:color w:val="auto"/>
                      <w:highlight w:val="none"/>
                    </w:rPr>
                    <w:t>≤</w:t>
                  </w:r>
                  <w:r>
                    <w:rPr>
                      <w:rFonts w:hint="eastAsia"/>
                      <w:b w:val="0"/>
                      <w:color w:val="auto"/>
                      <w:highlight w:val="none"/>
                    </w:rPr>
                    <w:t>70dB、夜间</w:t>
                  </w:r>
                  <w:r>
                    <w:rPr>
                      <w:b w:val="0"/>
                      <w:color w:val="auto"/>
                      <w:highlight w:val="none"/>
                    </w:rPr>
                    <w:t>≤</w:t>
                  </w:r>
                  <w:r>
                    <w:rPr>
                      <w:rFonts w:hint="eastAsia"/>
                      <w:b w:val="0"/>
                      <w:color w:val="auto"/>
                      <w:highlight w:val="none"/>
                    </w:rPr>
                    <w:t>55dB）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54"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固体废物处置措施</w:t>
                  </w:r>
                </w:p>
              </w:tc>
              <w:tc>
                <w:tcPr>
                  <w:tcW w:w="8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生活垃圾</w:t>
                  </w:r>
                </w:p>
              </w:tc>
              <w:tc>
                <w:tcPr>
                  <w:tcW w:w="243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设置分类垃圾桶，定点收集，委托环卫部门统一清运</w:t>
                  </w:r>
                </w:p>
              </w:tc>
              <w:tc>
                <w:tcPr>
                  <w:tcW w:w="4372"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lang w:val="en-US" w:eastAsia="zh-CN"/>
                    </w:rPr>
                    <w:t>一般工业固体废物暂存场所符合《一般工业固体废物贮存和填埋污染控制标准》（GB18599-2020）的要求，危废仓库</w:t>
                  </w:r>
                  <w:r>
                    <w:rPr>
                      <w:rFonts w:hint="eastAsia"/>
                      <w:b w:val="0"/>
                      <w:color w:val="auto"/>
                      <w:highlight w:val="none"/>
                    </w:rPr>
                    <w:t>按照《危险废物贮存污染控制标准》（GB18597-2023）的要求</w:t>
                  </w:r>
                  <w:r>
                    <w:rPr>
                      <w:rFonts w:hint="eastAsia"/>
                      <w:b w:val="0"/>
                      <w:color w:val="auto"/>
                      <w:highlight w:val="none"/>
                      <w:lang w:val="en-US" w:eastAsia="zh-CN"/>
                    </w:rPr>
                    <w:t>设</w:t>
                  </w:r>
                  <w:r>
                    <w:rPr>
                      <w:rFonts w:hint="eastAsia"/>
                      <w:b w:val="0"/>
                      <w:color w:val="auto"/>
                      <w:highlight w:val="none"/>
                    </w:rPr>
                    <w:t>置</w:t>
                  </w:r>
                  <w:r>
                    <w:rPr>
                      <w:rFonts w:hint="eastAsia" w:ascii="Times New Roman" w:hAnsi="Times New Roman" w:eastAsia="宋体" w:cs="Times New Roman"/>
                      <w:b w:val="0"/>
                      <w:color w:val="auto"/>
                      <w:highlight w:val="none"/>
                    </w:rPr>
                    <w:t>，设计</w:t>
                  </w:r>
                  <w:r>
                    <w:rPr>
                      <w:rFonts w:hint="eastAsia" w:ascii="Times New Roman" w:hAnsi="Times New Roman" w:eastAsia="宋体" w:cs="Times New Roman"/>
                      <w:b w:val="0"/>
                      <w:color w:val="auto"/>
                      <w:highlight w:val="none"/>
                      <w:lang w:val="en-US" w:eastAsia="zh-CN"/>
                    </w:rPr>
                    <w:t>采取</w:t>
                  </w:r>
                  <w:r>
                    <w:rPr>
                      <w:rFonts w:hint="eastAsia" w:ascii="Times New Roman" w:hAnsi="Times New Roman" w:eastAsia="宋体" w:cs="Times New Roman"/>
                      <w:b w:val="0"/>
                      <w:color w:val="auto"/>
                      <w:highlight w:val="none"/>
                    </w:rPr>
                    <w:t>防风、防晒、防雨、防漏、防渗、防腐等措施，</w:t>
                  </w:r>
                  <w:r>
                    <w:rPr>
                      <w:rFonts w:hint="eastAsia"/>
                      <w:b w:val="0"/>
                      <w:color w:val="auto"/>
                      <w:highlight w:val="none"/>
                      <w:lang w:val="en-US" w:eastAsia="zh-CN"/>
                    </w:rPr>
                    <w:t>落实固废分类收集，危废安全处置情况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5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8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一般工业固废</w:t>
                  </w:r>
                </w:p>
              </w:tc>
              <w:tc>
                <w:tcPr>
                  <w:tcW w:w="243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rPr>
                    <w:t>集中定点收集于一般固废暂存点，</w:t>
                  </w:r>
                  <w:r>
                    <w:rPr>
                      <w:rFonts w:hint="eastAsia"/>
                      <w:b w:val="0"/>
                      <w:color w:val="auto"/>
                      <w:highlight w:val="none"/>
                      <w:lang w:val="en-US" w:eastAsia="zh-CN"/>
                    </w:rPr>
                    <w:t>委托处置或外售综合利用</w:t>
                  </w:r>
                </w:p>
              </w:tc>
              <w:tc>
                <w:tcPr>
                  <w:tcW w:w="4372"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854"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c>
                <w:tcPr>
                  <w:tcW w:w="800"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危险废物</w:t>
                  </w:r>
                </w:p>
              </w:tc>
              <w:tc>
                <w:tcPr>
                  <w:tcW w:w="243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lang w:val="en-US" w:eastAsia="zh-CN"/>
                    </w:rPr>
                    <w:t>新建一座</w:t>
                  </w:r>
                  <w:r>
                    <w:rPr>
                      <w:rFonts w:hint="eastAsia"/>
                      <w:b w:val="0"/>
                      <w:color w:val="auto"/>
                      <w:highlight w:val="none"/>
                    </w:rPr>
                    <w:t>危废</w:t>
                  </w:r>
                  <w:r>
                    <w:rPr>
                      <w:rFonts w:hint="eastAsia"/>
                      <w:b w:val="0"/>
                      <w:color w:val="auto"/>
                      <w:highlight w:val="none"/>
                      <w:lang w:val="en-US" w:eastAsia="zh-CN"/>
                    </w:rPr>
                    <w:t>仓库</w:t>
                  </w:r>
                  <w:r>
                    <w:rPr>
                      <w:rFonts w:hint="eastAsia"/>
                      <w:b w:val="0"/>
                      <w:color w:val="auto"/>
                      <w:highlight w:val="none"/>
                    </w:rPr>
                    <w:t>，危险废物集中定点分类收集于危废仓库委托资质单位处置</w:t>
                  </w:r>
                </w:p>
              </w:tc>
              <w:tc>
                <w:tcPr>
                  <w:tcW w:w="4372"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854"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风险防范措施</w:t>
                  </w:r>
                </w:p>
              </w:tc>
              <w:tc>
                <w:tcPr>
                  <w:tcW w:w="3232" w:type="dxa"/>
                  <w:gridSpan w:val="2"/>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rFonts w:hint="default" w:eastAsia="宋体"/>
                      <w:b w:val="0"/>
                      <w:color w:val="auto"/>
                      <w:highlight w:val="none"/>
                      <w:lang w:val="en-US" w:eastAsia="zh-CN"/>
                    </w:rPr>
                  </w:pPr>
                  <w:r>
                    <w:rPr>
                      <w:rFonts w:hint="eastAsia"/>
                      <w:b w:val="0"/>
                      <w:color w:val="auto"/>
                      <w:highlight w:val="none"/>
                    </w:rPr>
                    <w:t>危废仓库、液体化学品仓库采取防渗措施，四周设置导流沟或防溢漏门坎，液体化学品桶</w:t>
                  </w:r>
                  <w:r>
                    <w:rPr>
                      <w:rFonts w:hint="eastAsia"/>
                      <w:b w:val="0"/>
                      <w:color w:val="auto"/>
                      <w:highlight w:val="none"/>
                      <w:lang w:eastAsia="zh-CN"/>
                    </w:rPr>
                    <w:t>或</w:t>
                  </w:r>
                  <w:r>
                    <w:rPr>
                      <w:rFonts w:hint="eastAsia"/>
                      <w:b w:val="0"/>
                      <w:color w:val="auto"/>
                      <w:highlight w:val="none"/>
                    </w:rPr>
                    <w:t>废液等置于</w:t>
                  </w:r>
                  <w:r>
                    <w:rPr>
                      <w:rFonts w:hint="eastAsia"/>
                      <w:b w:val="0"/>
                      <w:color w:val="auto"/>
                      <w:highlight w:val="none"/>
                      <w:lang w:eastAsia="zh-CN"/>
                    </w:rPr>
                    <w:t>托盘</w:t>
                  </w:r>
                  <w:r>
                    <w:rPr>
                      <w:rFonts w:hint="eastAsia"/>
                      <w:b w:val="0"/>
                      <w:color w:val="auto"/>
                      <w:highlight w:val="none"/>
                    </w:rPr>
                    <w:t>之上，厂内配套消防灭火设施</w:t>
                  </w:r>
                  <w:r>
                    <w:rPr>
                      <w:rFonts w:hint="eastAsia"/>
                      <w:b w:val="0"/>
                      <w:color w:val="auto"/>
                      <w:highlight w:val="none"/>
                      <w:lang w:eastAsia="zh-CN"/>
                    </w:rPr>
                    <w:t>，</w:t>
                  </w:r>
                  <w:r>
                    <w:rPr>
                      <w:rFonts w:hint="eastAsia"/>
                      <w:b w:val="0"/>
                      <w:color w:val="auto"/>
                      <w:highlight w:val="none"/>
                      <w:lang w:val="en-US" w:eastAsia="zh-CN"/>
                    </w:rPr>
                    <w:t>修订突发环境事件应急预案，建设1座事故应急池容积为260m</w:t>
                  </w:r>
                  <w:r>
                    <w:rPr>
                      <w:rFonts w:hint="eastAsia"/>
                      <w:b w:val="0"/>
                      <w:color w:val="auto"/>
                      <w:highlight w:val="none"/>
                      <w:vertAlign w:val="superscript"/>
                      <w:lang w:val="en-US" w:eastAsia="zh-CN"/>
                    </w:rPr>
                    <w:t>3</w:t>
                  </w:r>
                  <w:r>
                    <w:rPr>
                      <w:rFonts w:hint="eastAsia"/>
                      <w:b w:val="0"/>
                      <w:color w:val="auto"/>
                      <w:highlight w:val="none"/>
                      <w:lang w:val="en-US" w:eastAsia="zh-CN"/>
                    </w:rPr>
                    <w:t>，并配套相应的联通设施</w:t>
                  </w:r>
                </w:p>
              </w:tc>
              <w:tc>
                <w:tcPr>
                  <w:tcW w:w="4372"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pPr>
                    <w:pStyle w:val="70"/>
                    <w:rPr>
                      <w:b w:val="0"/>
                      <w:color w:val="auto"/>
                      <w:highlight w:val="none"/>
                    </w:rPr>
                  </w:pPr>
                  <w:r>
                    <w:rPr>
                      <w:rFonts w:hint="eastAsia"/>
                      <w:b w:val="0"/>
                      <w:color w:val="auto"/>
                      <w:highlight w:val="none"/>
                    </w:rPr>
                    <w:t>验收落实情况</w:t>
                  </w:r>
                </w:p>
              </w:tc>
            </w:tr>
          </w:tbl>
          <w:p>
            <w:pPr>
              <w:pStyle w:val="72"/>
              <w:ind w:firstLine="0" w:firstLineChars="0"/>
              <w:rPr>
                <w:color w:val="auto"/>
                <w:highlight w:val="none"/>
              </w:rPr>
            </w:pPr>
          </w:p>
        </w:tc>
      </w:tr>
    </w:tbl>
    <w:p>
      <w:pPr>
        <w:pStyle w:val="25"/>
        <w:jc w:val="left"/>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72"/>
              <w:ind w:firstLine="0" w:firstLineChars="0"/>
              <w:rPr>
                <w:b/>
                <w:bCs/>
                <w:color w:val="auto"/>
                <w:highlight w:val="none"/>
              </w:rPr>
            </w:pPr>
            <w:r>
              <w:rPr>
                <w:rFonts w:hint="eastAsia"/>
                <w:b/>
                <w:bCs/>
                <w:color w:val="auto"/>
                <w:highlight w:val="none"/>
              </w:rPr>
              <w:t>一、水环境影响分析结论</w:t>
            </w:r>
          </w:p>
          <w:p>
            <w:pPr>
              <w:pStyle w:val="72"/>
              <w:ind w:firstLine="480"/>
              <w:rPr>
                <w:color w:val="auto"/>
                <w:highlight w:val="none"/>
              </w:rPr>
            </w:pPr>
            <w:r>
              <w:rPr>
                <w:rFonts w:hint="eastAsia"/>
                <w:color w:val="auto"/>
                <w:highlight w:val="none"/>
              </w:rPr>
              <w:t>项目生活污水经化粪池处理</w:t>
            </w:r>
            <w:r>
              <w:rPr>
                <w:rFonts w:hint="eastAsia"/>
                <w:color w:val="auto"/>
                <w:highlight w:val="none"/>
                <w:lang w:val="en-US" w:eastAsia="zh-CN"/>
              </w:rPr>
              <w:t>后达到</w:t>
            </w:r>
            <w:r>
              <w:rPr>
                <w:rFonts w:hint="eastAsia"/>
                <w:color w:val="auto"/>
                <w:highlight w:val="none"/>
              </w:rPr>
              <w:t>《污水综合排放标准》（GB8978-1996）表4中三级标准，氨氮执行《污水排入城镇下水道水质标准》（GB/T31962-2015）表1中B级标准后由项目区域市政污水管网排入滨海工业集中区污水处理厂。项目</w:t>
            </w:r>
            <w:r>
              <w:rPr>
                <w:rFonts w:hint="eastAsia"/>
                <w:color w:val="auto"/>
                <w:highlight w:val="none"/>
                <w:lang w:val="en-US" w:eastAsia="zh-CN"/>
              </w:rPr>
              <w:t>生产废水</w:t>
            </w:r>
            <w:r>
              <w:rPr>
                <w:rFonts w:hint="eastAsia"/>
                <w:color w:val="auto"/>
                <w:highlight w:val="none"/>
              </w:rPr>
              <w:t>经</w:t>
            </w:r>
            <w:r>
              <w:rPr>
                <w:rFonts w:hint="eastAsia"/>
                <w:color w:val="auto"/>
                <w:highlight w:val="none"/>
                <w:lang w:val="en-US" w:eastAsia="zh-CN"/>
              </w:rPr>
              <w:t>厂内</w:t>
            </w:r>
            <w:r>
              <w:rPr>
                <w:rFonts w:hint="eastAsia"/>
                <w:color w:val="auto"/>
                <w:highlight w:val="none"/>
              </w:rPr>
              <w:t>污水处理站处理后达到《</w:t>
            </w:r>
            <w:r>
              <w:rPr>
                <w:rFonts w:hint="eastAsia"/>
                <w:color w:val="auto"/>
                <w:highlight w:val="none"/>
                <w:lang w:val="en-US" w:eastAsia="zh-CN"/>
              </w:rPr>
              <w:t>电子工业水污染物排放标准</w:t>
            </w:r>
            <w:r>
              <w:rPr>
                <w:rFonts w:hint="eastAsia"/>
                <w:color w:val="auto"/>
                <w:highlight w:val="none"/>
              </w:rPr>
              <w:t>》（GB</w:t>
            </w:r>
            <w:r>
              <w:rPr>
                <w:rFonts w:hint="eastAsia"/>
                <w:color w:val="auto"/>
                <w:highlight w:val="none"/>
                <w:lang w:val="en-US" w:eastAsia="zh-CN"/>
              </w:rPr>
              <w:t>39731</w:t>
            </w:r>
            <w:r>
              <w:rPr>
                <w:rFonts w:hint="eastAsia"/>
                <w:color w:val="auto"/>
                <w:highlight w:val="none"/>
              </w:rPr>
              <w:t>-</w:t>
            </w:r>
            <w:r>
              <w:rPr>
                <w:rFonts w:hint="eastAsia"/>
                <w:color w:val="auto"/>
                <w:highlight w:val="none"/>
                <w:lang w:val="en-US" w:eastAsia="zh-CN"/>
              </w:rPr>
              <w:t>2020</w:t>
            </w:r>
            <w:r>
              <w:rPr>
                <w:rFonts w:hint="eastAsia"/>
                <w:color w:val="auto"/>
                <w:highlight w:val="none"/>
              </w:rPr>
              <w:t>）表</w:t>
            </w:r>
            <w:r>
              <w:rPr>
                <w:rFonts w:hint="eastAsia"/>
                <w:color w:val="auto"/>
                <w:highlight w:val="none"/>
                <w:lang w:val="en-US" w:eastAsia="zh-CN"/>
              </w:rPr>
              <w:t>1</w:t>
            </w:r>
            <w:r>
              <w:rPr>
                <w:rFonts w:hint="eastAsia"/>
                <w:color w:val="auto"/>
                <w:highlight w:val="none"/>
              </w:rPr>
              <w:t>中的</w:t>
            </w:r>
            <w:r>
              <w:rPr>
                <w:rFonts w:hint="eastAsia"/>
                <w:color w:val="auto"/>
                <w:highlight w:val="none"/>
                <w:lang w:val="en-US" w:eastAsia="zh-CN"/>
              </w:rPr>
              <w:t>间接</w:t>
            </w:r>
            <w:r>
              <w:rPr>
                <w:rFonts w:hint="eastAsia"/>
                <w:color w:val="auto"/>
                <w:highlight w:val="none"/>
              </w:rPr>
              <w:t>排放</w:t>
            </w:r>
            <w:r>
              <w:rPr>
                <w:rFonts w:hint="eastAsia"/>
                <w:color w:val="auto"/>
                <w:highlight w:val="none"/>
                <w:lang w:val="en-US" w:eastAsia="zh-CN"/>
              </w:rPr>
              <w:t>限值，</w:t>
            </w:r>
            <w:r>
              <w:rPr>
                <w:rFonts w:hint="eastAsia"/>
                <w:color w:val="auto"/>
                <w:highlight w:val="none"/>
              </w:rPr>
              <w:t>由项目区域市政污水管网排入滨海工业集中区污水处理厂。从水量、水质分析，</w:t>
            </w:r>
            <w:r>
              <w:rPr>
                <w:rFonts w:hint="eastAsia"/>
                <w:color w:val="auto"/>
                <w:highlight w:val="none"/>
                <w:lang w:val="en-US" w:eastAsia="zh-CN"/>
              </w:rPr>
              <w:t>本项目产生的生产废水和生活污水</w:t>
            </w:r>
            <w:r>
              <w:rPr>
                <w:rFonts w:hint="eastAsia"/>
                <w:color w:val="auto"/>
                <w:highlight w:val="none"/>
              </w:rPr>
              <w:t>不会造成污水处理厂污染负荷冲击，不会影响</w:t>
            </w:r>
            <w:r>
              <w:rPr>
                <w:rFonts w:hint="eastAsia"/>
                <w:color w:val="auto"/>
                <w:highlight w:val="none"/>
                <w:lang w:eastAsia="zh-CN"/>
              </w:rPr>
              <w:t>污水处理厂</w:t>
            </w:r>
            <w:r>
              <w:rPr>
                <w:rFonts w:hint="eastAsia"/>
                <w:color w:val="auto"/>
                <w:highlight w:val="none"/>
              </w:rPr>
              <w:t>正常运行，对滨海工业集中区污水处理厂及纳污水体水质影响不大。</w:t>
            </w:r>
          </w:p>
          <w:p>
            <w:pPr>
              <w:pStyle w:val="72"/>
              <w:ind w:firstLine="0" w:firstLineChars="0"/>
              <w:rPr>
                <w:b/>
                <w:bCs/>
                <w:color w:val="auto"/>
                <w:highlight w:val="none"/>
              </w:rPr>
            </w:pPr>
            <w:r>
              <w:rPr>
                <w:rFonts w:hint="eastAsia"/>
                <w:b/>
                <w:bCs/>
                <w:color w:val="auto"/>
                <w:highlight w:val="none"/>
              </w:rPr>
              <w:t>二、大气环境影响分析结论</w:t>
            </w:r>
          </w:p>
          <w:p>
            <w:pPr>
              <w:pStyle w:val="72"/>
              <w:ind w:firstLine="480"/>
              <w:rPr>
                <w:color w:val="auto"/>
                <w:highlight w:val="none"/>
              </w:rPr>
            </w:pPr>
            <w:r>
              <w:rPr>
                <w:rFonts w:hint="eastAsia"/>
                <w:color w:val="auto"/>
                <w:highlight w:val="none"/>
                <w:lang w:val="en-US" w:eastAsia="zh-CN"/>
              </w:rPr>
              <w:t>喷砂工序设置负压密闭喷砂房，内部安装</w:t>
            </w:r>
            <w:r>
              <w:rPr>
                <w:rFonts w:hint="eastAsia"/>
                <w:color w:val="auto"/>
                <w:highlight w:val="none"/>
              </w:rPr>
              <w:t>集气罩</w:t>
            </w:r>
            <w:r>
              <w:rPr>
                <w:rFonts w:hint="eastAsia"/>
                <w:color w:val="auto"/>
                <w:highlight w:val="none"/>
                <w:lang w:eastAsia="zh-CN"/>
              </w:rPr>
              <w:t>，</w:t>
            </w:r>
            <w:r>
              <w:rPr>
                <w:rFonts w:hint="eastAsia"/>
                <w:color w:val="auto"/>
                <w:highlight w:val="none"/>
                <w:lang w:val="en-US" w:eastAsia="zh-CN"/>
              </w:rPr>
              <w:t>采用布袋除尘</w:t>
            </w:r>
            <w:r>
              <w:rPr>
                <w:rFonts w:hint="eastAsia"/>
                <w:color w:val="auto"/>
                <w:highlight w:val="none"/>
              </w:rPr>
              <w:t>后由</w:t>
            </w:r>
            <w:r>
              <w:rPr>
                <w:rFonts w:hint="eastAsia"/>
                <w:color w:val="auto"/>
                <w:highlight w:val="none"/>
                <w:lang w:val="en-US" w:eastAsia="zh-CN"/>
              </w:rPr>
              <w:t>1</w:t>
            </w:r>
            <w:r>
              <w:rPr>
                <w:rFonts w:hint="eastAsia"/>
                <w:color w:val="auto"/>
                <w:highlight w:val="none"/>
              </w:rPr>
              <w:t>5m排气筒排放。</w:t>
            </w:r>
            <w:r>
              <w:rPr>
                <w:rFonts w:hint="eastAsia"/>
                <w:color w:val="auto"/>
                <w:highlight w:val="none"/>
                <w:lang w:val="en-US" w:eastAsia="zh-CN"/>
              </w:rPr>
              <w:t>抛光工序粉尘因含有铝粉，采用水喷淋除尘工艺，抛光工序为密闭负压抛光房，内部安装侧吸风罩，粉尘经严格的收集、处理后可符合</w:t>
            </w:r>
            <w:r>
              <w:rPr>
                <w:rFonts w:hint="eastAsia"/>
                <w:color w:val="auto"/>
                <w:highlight w:val="none"/>
              </w:rPr>
              <w:t>《大气污染物综合排放标准》（GB16297-1996）表2颗粒物（其他）有组织最高允许排放浓度和无组织排放浓度限值</w:t>
            </w:r>
            <w:r>
              <w:rPr>
                <w:rFonts w:hint="eastAsia"/>
                <w:color w:val="auto"/>
                <w:highlight w:val="none"/>
                <w:lang w:val="en-US" w:eastAsia="zh-CN"/>
              </w:rPr>
              <w:t>要求，项目清洁擦拭过程</w:t>
            </w:r>
            <w:r>
              <w:rPr>
                <w:rFonts w:hint="eastAsia"/>
                <w:color w:val="auto"/>
                <w:highlight w:val="none"/>
              </w:rPr>
              <w:t>乙醇</w:t>
            </w:r>
            <w:r>
              <w:rPr>
                <w:rFonts w:hint="eastAsia"/>
                <w:color w:val="auto"/>
                <w:highlight w:val="none"/>
                <w:lang w:val="en-US" w:eastAsia="zh-CN"/>
              </w:rPr>
              <w:t>使用量少，点较分散，少量有机废气直接排放在车间，有机废气可符合</w:t>
            </w:r>
            <w:r>
              <w:rPr>
                <w:rFonts w:hint="eastAsia"/>
                <w:color w:val="auto"/>
                <w:highlight w:val="none"/>
              </w:rPr>
              <w:t>《工业企业挥发性有机物排放标准》（DB35/1782—2018）表3企业边界监控点浓度限值、《挥发性有机物无组织排放控制标准》（GB37822—2019）表A.1厂区内VOCs无组织排放浓度限值。</w:t>
            </w:r>
          </w:p>
          <w:p>
            <w:pPr>
              <w:pStyle w:val="72"/>
              <w:ind w:firstLine="480"/>
              <w:rPr>
                <w:color w:val="auto"/>
                <w:highlight w:val="none"/>
              </w:rPr>
            </w:pPr>
            <w:r>
              <w:rPr>
                <w:rFonts w:hint="eastAsia"/>
                <w:color w:val="auto"/>
                <w:highlight w:val="none"/>
              </w:rPr>
              <w:t>经过以上措施处理后，相关大气污染物排放能够符合本评价提出的相关标准，项目运营期产生废气对周围环境影响较小。</w:t>
            </w:r>
          </w:p>
          <w:p>
            <w:pPr>
              <w:pStyle w:val="72"/>
              <w:ind w:firstLine="0" w:firstLineChars="0"/>
              <w:rPr>
                <w:b/>
                <w:bCs/>
                <w:color w:val="auto"/>
                <w:highlight w:val="none"/>
              </w:rPr>
            </w:pPr>
            <w:r>
              <w:rPr>
                <w:rFonts w:hint="eastAsia"/>
                <w:b/>
                <w:bCs/>
                <w:color w:val="auto"/>
                <w:highlight w:val="none"/>
              </w:rPr>
              <w:t>三、声环境影响分析结论</w:t>
            </w:r>
          </w:p>
          <w:p>
            <w:pPr>
              <w:pStyle w:val="72"/>
              <w:ind w:firstLine="480"/>
              <w:rPr>
                <w:color w:val="auto"/>
                <w:highlight w:val="none"/>
              </w:rPr>
            </w:pPr>
            <w:r>
              <w:rPr>
                <w:rFonts w:hint="eastAsia"/>
                <w:color w:val="auto"/>
                <w:highlight w:val="none"/>
              </w:rPr>
              <w:t>项目噪声经厂房隔声、</w:t>
            </w:r>
            <w:r>
              <w:rPr>
                <w:rFonts w:hint="eastAsia"/>
                <w:color w:val="auto"/>
                <w:highlight w:val="none"/>
                <w:lang w:val="en-US" w:eastAsia="zh-CN"/>
              </w:rPr>
              <w:t>减振、消声及</w:t>
            </w:r>
            <w:r>
              <w:rPr>
                <w:rFonts w:hint="eastAsia"/>
                <w:color w:val="auto"/>
                <w:highlight w:val="none"/>
              </w:rPr>
              <w:t>距离衰减后，临漳湖路一侧厂界符合《工业企业厂界环境噪声排放标准》（GB12348-2008）中4类标准，其余厂界噪声符合《工业企业厂界环境噪声排放标准》（GB12348-2008）中3类标准。</w:t>
            </w:r>
          </w:p>
          <w:p>
            <w:pPr>
              <w:pStyle w:val="72"/>
              <w:ind w:firstLine="0" w:firstLineChars="0"/>
              <w:rPr>
                <w:b/>
                <w:bCs/>
                <w:color w:val="auto"/>
                <w:highlight w:val="none"/>
              </w:rPr>
            </w:pPr>
            <w:r>
              <w:rPr>
                <w:rFonts w:hint="eastAsia"/>
                <w:b/>
                <w:bCs/>
                <w:color w:val="auto"/>
                <w:highlight w:val="none"/>
              </w:rPr>
              <w:t>四、固体废物环境影响分析结论</w:t>
            </w:r>
          </w:p>
          <w:p>
            <w:pPr>
              <w:pStyle w:val="72"/>
              <w:ind w:firstLine="480"/>
              <w:rPr>
                <w:rFonts w:hint="eastAsia"/>
                <w:color w:val="auto"/>
                <w:highlight w:val="none"/>
                <w:lang w:eastAsia="zh-CN"/>
              </w:rPr>
            </w:pPr>
            <w:r>
              <w:rPr>
                <w:rFonts w:hint="eastAsia"/>
                <w:color w:val="auto"/>
                <w:highlight w:val="none"/>
              </w:rPr>
              <w:t>本项目产生的一般固体废物</w:t>
            </w:r>
            <w:r>
              <w:rPr>
                <w:rFonts w:hint="eastAsia"/>
                <w:color w:val="auto"/>
                <w:highlight w:val="none"/>
                <w:lang w:val="en-US" w:eastAsia="zh-CN"/>
              </w:rPr>
              <w:t>经收集后</w:t>
            </w:r>
            <w:r>
              <w:rPr>
                <w:rFonts w:hint="eastAsia"/>
                <w:color w:val="auto"/>
                <w:highlight w:val="none"/>
              </w:rPr>
              <w:t>委托一般工业固废处置单位处置，生活垃圾每日由环卫部门清运处置，危险废物委托危废资质单位处理。固废经妥善处置，对项目周边环境影响不大</w:t>
            </w:r>
            <w:r>
              <w:rPr>
                <w:rFonts w:hint="eastAsia"/>
                <w:color w:val="auto"/>
                <w:highlight w:val="none"/>
                <w:lang w:eastAsia="zh-CN"/>
              </w:rPr>
              <w:t>。</w:t>
            </w:r>
          </w:p>
          <w:p>
            <w:pPr>
              <w:pStyle w:val="72"/>
              <w:ind w:firstLine="0" w:firstLineChars="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五、总量控制</w:t>
            </w:r>
          </w:p>
          <w:p>
            <w:pPr>
              <w:pStyle w:val="72"/>
              <w:ind w:firstLine="480"/>
              <w:rPr>
                <w:rFonts w:hint="eastAsia" w:eastAsia="宋体"/>
                <w:color w:val="auto"/>
                <w:highlight w:val="none"/>
                <w:lang w:val="en-US" w:eastAsia="zh-CN"/>
              </w:rPr>
            </w:pPr>
            <w:r>
              <w:rPr>
                <w:rFonts w:hint="eastAsia"/>
                <w:color w:val="auto"/>
                <w:highlight w:val="none"/>
                <w:lang w:val="en-US" w:eastAsia="zh-CN"/>
              </w:rPr>
              <w:t>项目实施后新增COD排放量</w:t>
            </w:r>
            <w:r>
              <w:rPr>
                <w:rFonts w:hint="eastAsia"/>
                <w:color w:val="auto"/>
                <w:highlight w:val="none"/>
              </w:rPr>
              <w:t>0.</w:t>
            </w:r>
            <w:r>
              <w:rPr>
                <w:rFonts w:hint="eastAsia"/>
                <w:color w:val="auto"/>
                <w:highlight w:val="none"/>
                <w:lang w:val="en-US" w:eastAsia="zh-CN"/>
              </w:rPr>
              <w:t>139</w:t>
            </w:r>
            <w:r>
              <w:rPr>
                <w:rFonts w:hint="eastAsia"/>
                <w:color w:val="auto"/>
                <w:highlight w:val="none"/>
              </w:rPr>
              <w:t>t/a</w:t>
            </w:r>
            <w:r>
              <w:rPr>
                <w:rFonts w:hint="eastAsia"/>
                <w:color w:val="auto"/>
                <w:highlight w:val="none"/>
                <w:lang w:eastAsia="zh-CN"/>
              </w:rPr>
              <w:t>，</w:t>
            </w:r>
            <w:r>
              <w:rPr>
                <w:rFonts w:hint="eastAsia"/>
                <w:color w:val="auto"/>
                <w:highlight w:val="none"/>
                <w:lang w:val="en-US" w:eastAsia="zh-CN"/>
              </w:rPr>
              <w:t>氨氮0.0202t/a（按照滨海工业污水处理厂尾水排放标准折算）</w:t>
            </w:r>
            <w:r>
              <w:rPr>
                <w:rFonts w:hint="eastAsia"/>
                <w:color w:val="auto"/>
                <w:highlight w:val="none"/>
              </w:rPr>
              <w:t>，</w:t>
            </w:r>
            <w:r>
              <w:rPr>
                <w:rFonts w:hint="eastAsia"/>
                <w:color w:val="auto"/>
                <w:highlight w:val="none"/>
                <w:lang w:val="en-US" w:eastAsia="zh-CN"/>
              </w:rPr>
              <w:t>新增</w:t>
            </w:r>
            <w:r>
              <w:rPr>
                <w:rFonts w:hint="eastAsia"/>
                <w:color w:val="auto"/>
                <w:highlight w:val="none"/>
              </w:rPr>
              <w:t>非甲烷总烃排放量为0.</w:t>
            </w:r>
            <w:r>
              <w:rPr>
                <w:rFonts w:hint="eastAsia"/>
                <w:color w:val="auto"/>
                <w:highlight w:val="none"/>
                <w:lang w:val="en-US" w:eastAsia="zh-CN"/>
              </w:rPr>
              <w:t>316</w:t>
            </w:r>
            <w:r>
              <w:rPr>
                <w:rFonts w:hint="eastAsia"/>
                <w:color w:val="auto"/>
                <w:highlight w:val="none"/>
              </w:rPr>
              <w:t>t/a</w:t>
            </w:r>
            <w:r>
              <w:rPr>
                <w:rFonts w:hint="eastAsia"/>
                <w:color w:val="auto"/>
                <w:highlight w:val="none"/>
                <w:lang w:eastAsia="zh-CN"/>
              </w:rPr>
              <w:t>。</w:t>
            </w:r>
          </w:p>
          <w:p>
            <w:pPr>
              <w:pStyle w:val="72"/>
              <w:ind w:firstLine="0" w:firstLineChars="0"/>
              <w:rPr>
                <w:b/>
                <w:bCs/>
                <w:color w:val="auto"/>
                <w:highlight w:val="none"/>
              </w:rPr>
            </w:pPr>
            <w:r>
              <w:rPr>
                <w:rFonts w:hint="eastAsia"/>
                <w:b/>
                <w:bCs/>
                <w:color w:val="auto"/>
                <w:highlight w:val="none"/>
                <w:lang w:val="en-US" w:eastAsia="zh-CN"/>
              </w:rPr>
              <w:t>六</w:t>
            </w:r>
            <w:r>
              <w:rPr>
                <w:rFonts w:hint="eastAsia"/>
                <w:b/>
                <w:bCs/>
                <w:color w:val="auto"/>
                <w:highlight w:val="none"/>
              </w:rPr>
              <w:t>、总结论</w:t>
            </w:r>
          </w:p>
          <w:p>
            <w:pPr>
              <w:pStyle w:val="72"/>
              <w:ind w:firstLine="480"/>
              <w:rPr>
                <w:color w:val="auto"/>
                <w:highlight w:val="none"/>
              </w:rPr>
            </w:pPr>
            <w:r>
              <w:rPr>
                <w:rFonts w:hint="eastAsia"/>
                <w:color w:val="auto"/>
                <w:highlight w:val="none"/>
              </w:rPr>
              <w:t>福建阿石创新材料股份有限公司</w:t>
            </w:r>
            <w:r>
              <w:rPr>
                <w:rFonts w:hint="eastAsia"/>
                <w:color w:val="auto"/>
                <w:highlight w:val="none"/>
                <w:lang w:eastAsia="zh-CN"/>
              </w:rPr>
              <w:t>高纯金属及合金溅射靶材研发及产业化项目</w:t>
            </w:r>
            <w:r>
              <w:rPr>
                <w:rFonts w:hint="eastAsia"/>
                <w:color w:val="auto"/>
                <w:highlight w:val="none"/>
              </w:rPr>
              <w:t>符合国家有关产业政策，选址符合</w:t>
            </w:r>
            <w:r>
              <w:rPr>
                <w:rFonts w:hint="eastAsia"/>
                <w:color w:val="auto"/>
                <w:highlight w:val="none"/>
                <w:lang w:val="en-US" w:eastAsia="zh-CN"/>
              </w:rPr>
              <w:t>生态环境分区管控要求</w:t>
            </w:r>
            <w:r>
              <w:rPr>
                <w:rFonts w:hint="eastAsia"/>
                <w:color w:val="auto"/>
                <w:highlight w:val="none"/>
              </w:rPr>
              <w:t>。建设单位在严格执行环保“三同时”制度，严格落实本报告提出的各项环保措施后，从环境保护角度分析，该项目的建设是可行的。</w:t>
            </w:r>
          </w:p>
          <w:p>
            <w:pPr>
              <w:pStyle w:val="72"/>
              <w:ind w:firstLine="480"/>
              <w:rPr>
                <w:color w:val="auto"/>
                <w:highlight w:val="none"/>
              </w:rPr>
            </w:pPr>
          </w:p>
          <w:p>
            <w:pPr>
              <w:pStyle w:val="72"/>
              <w:ind w:firstLine="560"/>
              <w:rPr>
                <w:color w:val="auto"/>
                <w:sz w:val="28"/>
                <w:szCs w:val="28"/>
                <w:highlight w:val="none"/>
              </w:rPr>
            </w:pPr>
          </w:p>
          <w:p>
            <w:pPr>
              <w:pStyle w:val="72"/>
              <w:ind w:firstLine="562"/>
              <w:jc w:val="right"/>
              <w:rPr>
                <w:color w:val="auto"/>
                <w:highlight w:val="none"/>
              </w:rPr>
            </w:pPr>
          </w:p>
        </w:tc>
      </w:tr>
    </w:tbl>
    <w:p>
      <w:pPr>
        <w:pStyle w:val="72"/>
        <w:ind w:firstLine="0" w:firstLineChars="0"/>
        <w:rPr>
          <w:b/>
          <w:bCs/>
          <w:color w:val="auto"/>
          <w:highlight w:val="none"/>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2" w:name="_Toc31492"/>
    </w:p>
    <w:p>
      <w:pPr>
        <w:pStyle w:val="68"/>
        <w:bidi w:val="0"/>
        <w:jc w:val="left"/>
        <w:rPr>
          <w:b/>
          <w:bCs/>
          <w:color w:val="auto"/>
          <w:highlight w:val="none"/>
        </w:rPr>
      </w:pPr>
      <w:r>
        <w:rPr>
          <w:rFonts w:hint="eastAsia"/>
          <w:color w:val="auto"/>
          <w:highlight w:val="none"/>
        </w:rPr>
        <w:t>附表1建设项目污染物排放量汇总表</w:t>
      </w:r>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926"/>
        <w:gridCol w:w="1585"/>
        <w:gridCol w:w="1276"/>
        <w:gridCol w:w="1701"/>
        <w:gridCol w:w="1559"/>
        <w:gridCol w:w="1761"/>
        <w:gridCol w:w="1798"/>
        <w:gridCol w:w="9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tcBorders>
              <w:tl2br w:val="single" w:color="auto" w:sz="4" w:space="0"/>
            </w:tcBorders>
            <w:tcMar>
              <w:left w:w="28" w:type="dxa"/>
              <w:right w:w="28" w:type="dxa"/>
            </w:tcMar>
            <w:vAlign w:val="center"/>
          </w:tcPr>
          <w:p>
            <w:pPr>
              <w:pStyle w:val="76"/>
              <w:rPr>
                <w:color w:val="auto"/>
                <w:highlight w:val="none"/>
              </w:rPr>
            </w:pPr>
            <w:r>
              <w:rPr>
                <w:rFonts w:hint="eastAsia"/>
                <w:color w:val="auto"/>
                <w:highlight w:val="none"/>
              </w:rPr>
              <w:t>项目</w:t>
            </w:r>
          </w:p>
          <w:p>
            <w:pPr>
              <w:pStyle w:val="76"/>
              <w:jc w:val="both"/>
              <w:rPr>
                <w:color w:val="auto"/>
                <w:highlight w:val="none"/>
              </w:rPr>
            </w:pPr>
            <w:r>
              <w:rPr>
                <w:rFonts w:hint="eastAsia"/>
                <w:color w:val="auto"/>
                <w:highlight w:val="none"/>
              </w:rPr>
              <w:t>分类</w:t>
            </w:r>
          </w:p>
        </w:tc>
        <w:tc>
          <w:tcPr>
            <w:tcW w:w="1926" w:type="dxa"/>
            <w:tcMar>
              <w:left w:w="28" w:type="dxa"/>
              <w:right w:w="28" w:type="dxa"/>
            </w:tcMar>
            <w:vAlign w:val="center"/>
          </w:tcPr>
          <w:p>
            <w:pPr>
              <w:pStyle w:val="76"/>
              <w:rPr>
                <w:color w:val="auto"/>
                <w:highlight w:val="none"/>
              </w:rPr>
            </w:pPr>
            <w:r>
              <w:rPr>
                <w:rFonts w:hint="eastAsia"/>
                <w:color w:val="auto"/>
                <w:highlight w:val="none"/>
              </w:rPr>
              <w:t>污染物名称</w:t>
            </w:r>
          </w:p>
        </w:tc>
        <w:tc>
          <w:tcPr>
            <w:tcW w:w="1585" w:type="dxa"/>
            <w:tcMar>
              <w:left w:w="28" w:type="dxa"/>
              <w:right w:w="28" w:type="dxa"/>
            </w:tcMar>
            <w:vAlign w:val="center"/>
          </w:tcPr>
          <w:p>
            <w:pPr>
              <w:pStyle w:val="76"/>
              <w:rPr>
                <w:color w:val="auto"/>
                <w:highlight w:val="none"/>
              </w:rPr>
            </w:pPr>
            <w:r>
              <w:rPr>
                <w:color w:val="auto"/>
                <w:highlight w:val="none"/>
              </w:rPr>
              <w:t>现有工程</w:t>
            </w:r>
          </w:p>
          <w:p>
            <w:pPr>
              <w:pStyle w:val="76"/>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1 \* GB3 \* MERGEFORMAT </w:instrText>
            </w:r>
            <w:r>
              <w:rPr>
                <w:color w:val="auto"/>
                <w:highlight w:val="none"/>
              </w:rPr>
              <w:fldChar w:fldCharType="separate"/>
            </w:r>
            <w:r>
              <w:rPr>
                <w:rFonts w:hint="eastAsia"/>
                <w:color w:val="auto"/>
                <w:highlight w:val="none"/>
              </w:rPr>
              <w:t>①</w:t>
            </w:r>
            <w:r>
              <w:rPr>
                <w:color w:val="auto"/>
                <w:highlight w:val="none"/>
              </w:rPr>
              <w:fldChar w:fldCharType="end"/>
            </w:r>
          </w:p>
        </w:tc>
        <w:tc>
          <w:tcPr>
            <w:tcW w:w="1276" w:type="dxa"/>
            <w:tcMar>
              <w:left w:w="28" w:type="dxa"/>
              <w:right w:w="28" w:type="dxa"/>
            </w:tcMar>
            <w:vAlign w:val="center"/>
          </w:tcPr>
          <w:p>
            <w:pPr>
              <w:pStyle w:val="76"/>
              <w:rPr>
                <w:color w:val="auto"/>
                <w:highlight w:val="none"/>
              </w:rPr>
            </w:pPr>
            <w:r>
              <w:rPr>
                <w:color w:val="auto"/>
                <w:highlight w:val="none"/>
              </w:rPr>
              <w:t>现有工程</w:t>
            </w:r>
          </w:p>
          <w:p>
            <w:pPr>
              <w:pStyle w:val="76"/>
              <w:rPr>
                <w:color w:val="auto"/>
                <w:highlight w:val="none"/>
              </w:rPr>
            </w:pPr>
            <w:r>
              <w:rPr>
                <w:color w:val="auto"/>
                <w:highlight w:val="none"/>
              </w:rPr>
              <w:t>许可排放量</w:t>
            </w:r>
          </w:p>
          <w:p>
            <w:pPr>
              <w:pStyle w:val="76"/>
              <w:rPr>
                <w:color w:val="auto"/>
                <w:highlight w:val="none"/>
              </w:rPr>
            </w:pPr>
            <w:r>
              <w:rPr>
                <w:color w:val="auto"/>
                <w:highlight w:val="none"/>
              </w:rPr>
              <w:fldChar w:fldCharType="begin"/>
            </w:r>
            <w:r>
              <w:rPr>
                <w:color w:val="auto"/>
                <w:highlight w:val="none"/>
              </w:rPr>
              <w:instrText xml:space="preserve"> = 2 \* GB3 \* MERGEFORMAT </w:instrText>
            </w:r>
            <w:r>
              <w:rPr>
                <w:color w:val="auto"/>
                <w:highlight w:val="none"/>
              </w:rPr>
              <w:fldChar w:fldCharType="separate"/>
            </w:r>
            <w:r>
              <w:rPr>
                <w:rFonts w:hint="eastAsia"/>
                <w:color w:val="auto"/>
                <w:highlight w:val="none"/>
              </w:rPr>
              <w:t>②</w:t>
            </w:r>
            <w:r>
              <w:rPr>
                <w:color w:val="auto"/>
                <w:highlight w:val="none"/>
              </w:rPr>
              <w:fldChar w:fldCharType="end"/>
            </w:r>
          </w:p>
        </w:tc>
        <w:tc>
          <w:tcPr>
            <w:tcW w:w="1701" w:type="dxa"/>
            <w:tcMar>
              <w:left w:w="28" w:type="dxa"/>
              <w:right w:w="28" w:type="dxa"/>
            </w:tcMar>
            <w:vAlign w:val="center"/>
          </w:tcPr>
          <w:p>
            <w:pPr>
              <w:pStyle w:val="76"/>
              <w:rPr>
                <w:color w:val="auto"/>
                <w:highlight w:val="none"/>
              </w:rPr>
            </w:pPr>
            <w:r>
              <w:rPr>
                <w:color w:val="auto"/>
                <w:highlight w:val="none"/>
              </w:rPr>
              <w:t>在建工程</w:t>
            </w:r>
          </w:p>
          <w:p>
            <w:pPr>
              <w:pStyle w:val="76"/>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3 \* GB3 \* MERGEFORMAT </w:instrText>
            </w:r>
            <w:r>
              <w:rPr>
                <w:color w:val="auto"/>
                <w:highlight w:val="none"/>
              </w:rPr>
              <w:fldChar w:fldCharType="separate"/>
            </w:r>
            <w:r>
              <w:rPr>
                <w:rFonts w:hint="eastAsia"/>
                <w:color w:val="auto"/>
                <w:highlight w:val="none"/>
              </w:rPr>
              <w:t>③</w:t>
            </w:r>
            <w:r>
              <w:rPr>
                <w:color w:val="auto"/>
                <w:highlight w:val="none"/>
              </w:rPr>
              <w:fldChar w:fldCharType="end"/>
            </w:r>
          </w:p>
        </w:tc>
        <w:tc>
          <w:tcPr>
            <w:tcW w:w="1559" w:type="dxa"/>
            <w:tcMar>
              <w:left w:w="28" w:type="dxa"/>
              <w:right w:w="28" w:type="dxa"/>
            </w:tcMar>
            <w:vAlign w:val="center"/>
          </w:tcPr>
          <w:p>
            <w:pPr>
              <w:pStyle w:val="76"/>
              <w:rPr>
                <w:color w:val="auto"/>
                <w:highlight w:val="none"/>
              </w:rPr>
            </w:pPr>
            <w:r>
              <w:rPr>
                <w:color w:val="auto"/>
                <w:highlight w:val="none"/>
              </w:rPr>
              <w:t>本项目</w:t>
            </w:r>
          </w:p>
          <w:p>
            <w:pPr>
              <w:pStyle w:val="76"/>
              <w:rPr>
                <w:color w:val="auto"/>
                <w:highlight w:val="none"/>
              </w:rPr>
            </w:pP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4 \* GB3 \* MERGEFORMAT </w:instrText>
            </w:r>
            <w:r>
              <w:rPr>
                <w:color w:val="auto"/>
                <w:highlight w:val="none"/>
              </w:rPr>
              <w:fldChar w:fldCharType="separate"/>
            </w:r>
            <w:r>
              <w:rPr>
                <w:rFonts w:hint="eastAsia"/>
                <w:color w:val="auto"/>
                <w:highlight w:val="none"/>
              </w:rPr>
              <w:t>④</w:t>
            </w:r>
            <w:r>
              <w:rPr>
                <w:color w:val="auto"/>
                <w:highlight w:val="none"/>
              </w:rPr>
              <w:fldChar w:fldCharType="end"/>
            </w:r>
          </w:p>
        </w:tc>
        <w:tc>
          <w:tcPr>
            <w:tcW w:w="1761" w:type="dxa"/>
            <w:tcMar>
              <w:left w:w="28" w:type="dxa"/>
              <w:right w:w="28" w:type="dxa"/>
            </w:tcMar>
            <w:vAlign w:val="center"/>
          </w:tcPr>
          <w:p>
            <w:pPr>
              <w:pStyle w:val="76"/>
              <w:rPr>
                <w:color w:val="auto"/>
                <w:highlight w:val="none"/>
              </w:rPr>
            </w:pPr>
            <w:r>
              <w:rPr>
                <w:color w:val="auto"/>
                <w:highlight w:val="none"/>
              </w:rPr>
              <w:t>以新带老削减量</w:t>
            </w:r>
          </w:p>
          <w:p>
            <w:pPr>
              <w:pStyle w:val="76"/>
              <w:rPr>
                <w:color w:val="auto"/>
                <w:highlight w:val="none"/>
              </w:rPr>
            </w:pPr>
            <w:r>
              <w:rPr>
                <w:color w:val="auto"/>
                <w:highlight w:val="none"/>
              </w:rPr>
              <w:t>（新建项目不填）</w:t>
            </w:r>
            <w:r>
              <w:rPr>
                <w:color w:val="auto"/>
                <w:highlight w:val="none"/>
              </w:rPr>
              <w:fldChar w:fldCharType="begin"/>
            </w:r>
            <w:r>
              <w:rPr>
                <w:color w:val="auto"/>
                <w:highlight w:val="none"/>
              </w:rPr>
              <w:instrText xml:space="preserve"> = 5 \* GB3 \* MERGEFORMAT </w:instrText>
            </w:r>
            <w:r>
              <w:rPr>
                <w:color w:val="auto"/>
                <w:highlight w:val="none"/>
              </w:rPr>
              <w:fldChar w:fldCharType="separate"/>
            </w:r>
            <w:r>
              <w:rPr>
                <w:rFonts w:hint="eastAsia"/>
                <w:color w:val="auto"/>
                <w:highlight w:val="none"/>
              </w:rPr>
              <w:t>⑤</w:t>
            </w:r>
            <w:r>
              <w:rPr>
                <w:color w:val="auto"/>
                <w:highlight w:val="none"/>
              </w:rPr>
              <w:fldChar w:fldCharType="end"/>
            </w:r>
          </w:p>
        </w:tc>
        <w:tc>
          <w:tcPr>
            <w:tcW w:w="1798" w:type="dxa"/>
            <w:tcMar>
              <w:left w:w="28" w:type="dxa"/>
              <w:right w:w="28" w:type="dxa"/>
            </w:tcMar>
            <w:vAlign w:val="center"/>
          </w:tcPr>
          <w:p>
            <w:pPr>
              <w:pStyle w:val="76"/>
              <w:rPr>
                <w:color w:val="auto"/>
                <w:highlight w:val="none"/>
              </w:rPr>
            </w:pPr>
            <w:r>
              <w:rPr>
                <w:color w:val="auto"/>
                <w:highlight w:val="none"/>
              </w:rPr>
              <w:t>本项目建成后</w:t>
            </w:r>
          </w:p>
          <w:p>
            <w:pPr>
              <w:pStyle w:val="76"/>
              <w:rPr>
                <w:color w:val="auto"/>
                <w:highlight w:val="none"/>
              </w:rPr>
            </w:pPr>
            <w:r>
              <w:rPr>
                <w:rFonts w:hint="eastAsia"/>
                <w:color w:val="auto"/>
                <w:highlight w:val="none"/>
              </w:rPr>
              <w:t>全厂</w:t>
            </w:r>
            <w:r>
              <w:rPr>
                <w:color w:val="auto"/>
                <w:highlight w:val="none"/>
              </w:rPr>
              <w:t>排放量（固</w:t>
            </w:r>
            <w:r>
              <w:rPr>
                <w:rFonts w:hint="eastAsia"/>
                <w:color w:val="auto"/>
                <w:highlight w:val="none"/>
              </w:rPr>
              <w:t>体</w:t>
            </w:r>
            <w:r>
              <w:rPr>
                <w:color w:val="auto"/>
                <w:highlight w:val="none"/>
              </w:rPr>
              <w:t>废</w:t>
            </w:r>
            <w:r>
              <w:rPr>
                <w:rFonts w:hint="eastAsia"/>
                <w:color w:val="auto"/>
                <w:highlight w:val="none"/>
              </w:rPr>
              <w:t>物</w:t>
            </w:r>
            <w:r>
              <w:rPr>
                <w:color w:val="auto"/>
                <w:highlight w:val="none"/>
              </w:rPr>
              <w:t>产生量）</w:t>
            </w:r>
            <w:r>
              <w:rPr>
                <w:color w:val="auto"/>
                <w:highlight w:val="none"/>
              </w:rPr>
              <w:fldChar w:fldCharType="begin"/>
            </w:r>
            <w:r>
              <w:rPr>
                <w:color w:val="auto"/>
                <w:highlight w:val="none"/>
              </w:rPr>
              <w:instrText xml:space="preserve"> = 6 \* GB3 \* MERGEFORMAT </w:instrText>
            </w:r>
            <w:r>
              <w:rPr>
                <w:color w:val="auto"/>
                <w:highlight w:val="none"/>
              </w:rPr>
              <w:fldChar w:fldCharType="separate"/>
            </w:r>
            <w:r>
              <w:rPr>
                <w:rFonts w:hint="eastAsia"/>
                <w:color w:val="auto"/>
                <w:highlight w:val="none"/>
              </w:rPr>
              <w:t>⑥</w:t>
            </w:r>
            <w:r>
              <w:rPr>
                <w:color w:val="auto"/>
                <w:highlight w:val="none"/>
              </w:rPr>
              <w:fldChar w:fldCharType="end"/>
            </w:r>
          </w:p>
        </w:tc>
        <w:tc>
          <w:tcPr>
            <w:tcW w:w="987" w:type="dxa"/>
            <w:tcMar>
              <w:left w:w="28" w:type="dxa"/>
              <w:right w:w="28" w:type="dxa"/>
            </w:tcMar>
            <w:vAlign w:val="center"/>
          </w:tcPr>
          <w:p>
            <w:pPr>
              <w:pStyle w:val="76"/>
              <w:rPr>
                <w:color w:val="auto"/>
                <w:highlight w:val="none"/>
              </w:rPr>
            </w:pPr>
            <w:r>
              <w:rPr>
                <w:color w:val="auto"/>
                <w:highlight w:val="none"/>
              </w:rPr>
              <w:t>变化量</w:t>
            </w:r>
          </w:p>
          <w:p>
            <w:pPr>
              <w:pStyle w:val="76"/>
              <w:rPr>
                <w:color w:val="auto"/>
                <w:highlight w:val="none"/>
              </w:rPr>
            </w:pPr>
            <w:r>
              <w:rPr>
                <w:color w:val="auto"/>
                <w:highlight w:val="none"/>
              </w:rPr>
              <w:fldChar w:fldCharType="begin"/>
            </w:r>
            <w:r>
              <w:rPr>
                <w:color w:val="auto"/>
                <w:highlight w:val="none"/>
              </w:rPr>
              <w:instrText xml:space="preserve"> = 7 \* GB3 \* MERGEFORMAT </w:instrText>
            </w:r>
            <w:r>
              <w:rPr>
                <w:color w:val="auto"/>
                <w:highlight w:val="none"/>
              </w:rPr>
              <w:fldChar w:fldCharType="separate"/>
            </w:r>
            <w:r>
              <w:rPr>
                <w:rFonts w:hint="eastAsia"/>
                <w:color w:val="auto"/>
                <w:highlight w:val="none"/>
              </w:rPr>
              <w:t>⑦</w:t>
            </w:r>
            <w:r>
              <w:rPr>
                <w:color w:val="auto"/>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restart"/>
            <w:vAlign w:val="center"/>
          </w:tcPr>
          <w:p>
            <w:pPr>
              <w:pStyle w:val="76"/>
              <w:rPr>
                <w:color w:val="auto"/>
                <w:highlight w:val="none"/>
              </w:rPr>
            </w:pPr>
            <w:r>
              <w:rPr>
                <w:rFonts w:hint="eastAsia"/>
                <w:color w:val="auto"/>
                <w:highlight w:val="none"/>
              </w:rPr>
              <w:t>废气</w:t>
            </w:r>
          </w:p>
        </w:tc>
        <w:tc>
          <w:tcPr>
            <w:tcW w:w="1926" w:type="dxa"/>
            <w:vAlign w:val="center"/>
          </w:tcPr>
          <w:p>
            <w:pPr>
              <w:pStyle w:val="76"/>
              <w:rPr>
                <w:color w:val="auto"/>
                <w:highlight w:val="none"/>
              </w:rPr>
            </w:pPr>
            <w:r>
              <w:rPr>
                <w:rFonts w:hint="eastAsia"/>
                <w:color w:val="auto"/>
                <w:highlight w:val="none"/>
              </w:rPr>
              <w:t>颗粒物</w:t>
            </w:r>
            <w:r>
              <w:rPr>
                <w:rFonts w:hint="eastAsia"/>
                <w:color w:val="auto"/>
                <w:highlight w:val="none"/>
                <w:lang w:eastAsia="zh-CN"/>
              </w:rPr>
              <w:t>（</w:t>
            </w:r>
            <w:r>
              <w:rPr>
                <w:rFonts w:hint="eastAsia"/>
                <w:color w:val="auto"/>
                <w:highlight w:val="none"/>
              </w:rPr>
              <w:t>t/a)</w:t>
            </w:r>
          </w:p>
        </w:tc>
        <w:tc>
          <w:tcPr>
            <w:tcW w:w="1585" w:type="dxa"/>
            <w:vAlign w:val="center"/>
          </w:tcPr>
          <w:p>
            <w:pPr>
              <w:pStyle w:val="70"/>
              <w:rPr>
                <w:rFonts w:hint="default" w:eastAsia="宋体"/>
                <w:color w:val="auto"/>
                <w:highlight w:val="none"/>
                <w:lang w:val="en-US" w:eastAsia="zh-CN"/>
              </w:rPr>
            </w:pPr>
            <w:r>
              <w:rPr>
                <w:rFonts w:hint="eastAsia"/>
                <w:color w:val="auto"/>
                <w:highlight w:val="none"/>
                <w:lang w:val="en-US" w:eastAsia="zh-CN"/>
              </w:rPr>
              <w:t>1.217</w:t>
            </w:r>
          </w:p>
        </w:tc>
        <w:tc>
          <w:tcPr>
            <w:tcW w:w="1276" w:type="dxa"/>
            <w:vAlign w:val="center"/>
          </w:tcPr>
          <w:p>
            <w:pPr>
              <w:pStyle w:val="70"/>
              <w:rPr>
                <w:rFonts w:hint="default" w:eastAsia="宋体"/>
                <w:color w:val="auto"/>
                <w:highlight w:val="none"/>
                <w:lang w:val="en-US" w:eastAsia="zh-CN"/>
              </w:rPr>
            </w:pPr>
          </w:p>
        </w:tc>
        <w:tc>
          <w:tcPr>
            <w:tcW w:w="1701" w:type="dxa"/>
            <w:vAlign w:val="center"/>
          </w:tcPr>
          <w:p>
            <w:pPr>
              <w:pStyle w:val="70"/>
              <w:rPr>
                <w:rFonts w:hint="default" w:eastAsia="宋体"/>
                <w:color w:val="auto"/>
                <w:highlight w:val="none"/>
                <w:lang w:val="en-US" w:eastAsia="zh-CN"/>
              </w:rPr>
            </w:pPr>
            <w:r>
              <w:rPr>
                <w:rFonts w:hint="eastAsia"/>
                <w:color w:val="auto"/>
                <w:highlight w:val="none"/>
                <w:lang w:val="en-US" w:eastAsia="zh-CN"/>
              </w:rPr>
              <w:t>1.2104</w:t>
            </w:r>
          </w:p>
        </w:tc>
        <w:tc>
          <w:tcPr>
            <w:tcW w:w="1559" w:type="dxa"/>
            <w:vAlign w:val="center"/>
          </w:tcPr>
          <w:p>
            <w:pPr>
              <w:pStyle w:val="70"/>
              <w:rPr>
                <w:rFonts w:hint="default" w:eastAsia="宋体"/>
                <w:color w:val="auto"/>
                <w:highlight w:val="none"/>
                <w:lang w:val="en-US" w:eastAsia="zh-CN"/>
              </w:rPr>
            </w:pPr>
            <w:r>
              <w:rPr>
                <w:rFonts w:hint="eastAsia"/>
                <w:color w:val="auto"/>
                <w:highlight w:val="none"/>
                <w:lang w:val="en-US" w:eastAsia="zh-CN"/>
              </w:rPr>
              <w:t>1.776</w:t>
            </w:r>
          </w:p>
        </w:tc>
        <w:tc>
          <w:tcPr>
            <w:tcW w:w="1761" w:type="dxa"/>
            <w:vAlign w:val="center"/>
          </w:tcPr>
          <w:p>
            <w:pPr>
              <w:pStyle w:val="70"/>
              <w:rPr>
                <w:color w:val="auto"/>
                <w:highlight w:val="none"/>
              </w:rPr>
            </w:pPr>
            <w:r>
              <w:rPr>
                <w:rFonts w:hint="eastAsia"/>
                <w:color w:val="auto"/>
                <w:highlight w:val="none"/>
              </w:rPr>
              <w:t>0</w:t>
            </w:r>
          </w:p>
        </w:tc>
        <w:tc>
          <w:tcPr>
            <w:tcW w:w="1798" w:type="dxa"/>
            <w:vAlign w:val="center"/>
          </w:tcPr>
          <w:p>
            <w:pPr>
              <w:pStyle w:val="70"/>
              <w:rPr>
                <w:rFonts w:hint="default" w:eastAsia="宋体"/>
                <w:color w:val="auto"/>
                <w:highlight w:val="none"/>
                <w:lang w:val="en-US" w:eastAsia="zh-CN"/>
              </w:rPr>
            </w:pPr>
            <w:r>
              <w:rPr>
                <w:rFonts w:hint="eastAsia"/>
                <w:color w:val="auto"/>
                <w:highlight w:val="none"/>
                <w:lang w:val="en-US" w:eastAsia="zh-CN"/>
              </w:rPr>
              <w:t>4.2034</w:t>
            </w:r>
          </w:p>
        </w:tc>
        <w:tc>
          <w:tcPr>
            <w:tcW w:w="987" w:type="dxa"/>
            <w:vAlign w:val="center"/>
          </w:tcPr>
          <w:p>
            <w:pPr>
              <w:pStyle w:val="70"/>
              <w:rPr>
                <w:rFonts w:hint="default" w:eastAsia="宋体"/>
                <w:color w:val="auto"/>
                <w:highlight w:val="none"/>
                <w:lang w:val="en-US" w:eastAsia="zh-CN"/>
              </w:rPr>
            </w:pPr>
            <w:r>
              <w:rPr>
                <w:rFonts w:hint="eastAsia"/>
                <w:color w:val="auto"/>
                <w:highlight w:val="none"/>
              </w:rPr>
              <w:t>+</w:t>
            </w:r>
            <w:r>
              <w:rPr>
                <w:rFonts w:hint="eastAsia"/>
                <w:color w:val="auto"/>
                <w:highlight w:val="none"/>
                <w:lang w:val="en-US" w:eastAsia="zh-CN"/>
              </w:rPr>
              <w:t>1.776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6"/>
              <w:rPr>
                <w:color w:val="auto"/>
                <w:highlight w:val="none"/>
              </w:rPr>
            </w:pPr>
            <w:r>
              <w:rPr>
                <w:rFonts w:hint="eastAsia"/>
                <w:color w:val="auto"/>
                <w:highlight w:val="none"/>
              </w:rPr>
              <w:t>非甲烷总烃(t/a)</w:t>
            </w:r>
          </w:p>
        </w:tc>
        <w:tc>
          <w:tcPr>
            <w:tcW w:w="1585" w:type="dxa"/>
            <w:vAlign w:val="center"/>
          </w:tcPr>
          <w:p>
            <w:pPr>
              <w:pStyle w:val="70"/>
              <w:rPr>
                <w:color w:val="auto"/>
                <w:highlight w:val="none"/>
              </w:rPr>
            </w:pPr>
            <w:r>
              <w:rPr>
                <w:rFonts w:hint="eastAsia"/>
                <w:color w:val="auto"/>
                <w:highlight w:val="none"/>
              </w:rPr>
              <w:t>0</w:t>
            </w:r>
          </w:p>
        </w:tc>
        <w:tc>
          <w:tcPr>
            <w:tcW w:w="1276" w:type="dxa"/>
            <w:vAlign w:val="center"/>
          </w:tcPr>
          <w:p>
            <w:pPr>
              <w:pStyle w:val="70"/>
              <w:rPr>
                <w:color w:val="auto"/>
                <w:highlight w:val="none"/>
              </w:rPr>
            </w:pPr>
          </w:p>
        </w:tc>
        <w:tc>
          <w:tcPr>
            <w:tcW w:w="1701" w:type="dxa"/>
            <w:vAlign w:val="center"/>
          </w:tcPr>
          <w:p>
            <w:pPr>
              <w:pStyle w:val="70"/>
              <w:rPr>
                <w:rFonts w:hint="default" w:eastAsia="宋体"/>
                <w:color w:val="auto"/>
                <w:highlight w:val="none"/>
                <w:lang w:val="en-US" w:eastAsia="zh-CN"/>
              </w:rPr>
            </w:pPr>
            <w:r>
              <w:rPr>
                <w:rFonts w:hint="eastAsia"/>
                <w:color w:val="auto"/>
                <w:highlight w:val="none"/>
                <w:lang w:val="en-US" w:eastAsia="zh-CN"/>
              </w:rPr>
              <w:t>0.896</w:t>
            </w:r>
          </w:p>
        </w:tc>
        <w:tc>
          <w:tcPr>
            <w:tcW w:w="1559" w:type="dxa"/>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316</w:t>
            </w:r>
          </w:p>
        </w:tc>
        <w:tc>
          <w:tcPr>
            <w:tcW w:w="1761" w:type="dxa"/>
            <w:vAlign w:val="center"/>
          </w:tcPr>
          <w:p>
            <w:pPr>
              <w:pStyle w:val="70"/>
              <w:rPr>
                <w:color w:val="auto"/>
                <w:highlight w:val="none"/>
              </w:rPr>
            </w:pPr>
            <w:r>
              <w:rPr>
                <w:rFonts w:hint="eastAsia"/>
                <w:color w:val="auto"/>
                <w:highlight w:val="none"/>
              </w:rPr>
              <w:t>0</w:t>
            </w:r>
          </w:p>
        </w:tc>
        <w:tc>
          <w:tcPr>
            <w:tcW w:w="1798" w:type="dxa"/>
            <w:vAlign w:val="center"/>
          </w:tcPr>
          <w:p>
            <w:pPr>
              <w:pStyle w:val="70"/>
              <w:rPr>
                <w:rFonts w:hint="default" w:eastAsia="宋体"/>
                <w:color w:val="auto"/>
                <w:highlight w:val="none"/>
                <w:lang w:val="en-US" w:eastAsia="zh-CN"/>
              </w:rPr>
            </w:pPr>
            <w:r>
              <w:rPr>
                <w:rFonts w:hint="eastAsia"/>
                <w:color w:val="auto"/>
                <w:highlight w:val="none"/>
                <w:lang w:val="en-US" w:eastAsia="zh-CN"/>
              </w:rPr>
              <w:t>1.212</w:t>
            </w:r>
          </w:p>
        </w:tc>
        <w:tc>
          <w:tcPr>
            <w:tcW w:w="987" w:type="dxa"/>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316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restart"/>
            <w:vAlign w:val="center"/>
          </w:tcPr>
          <w:p>
            <w:pPr>
              <w:pStyle w:val="76"/>
              <w:rPr>
                <w:color w:val="auto"/>
                <w:highlight w:val="none"/>
              </w:rPr>
            </w:pPr>
            <w:r>
              <w:rPr>
                <w:rFonts w:hint="eastAsia"/>
                <w:color w:val="auto"/>
                <w:highlight w:val="none"/>
              </w:rPr>
              <w:t>废水</w:t>
            </w:r>
          </w:p>
        </w:tc>
        <w:tc>
          <w:tcPr>
            <w:tcW w:w="1926" w:type="dxa"/>
            <w:vAlign w:val="center"/>
          </w:tcPr>
          <w:p>
            <w:pPr>
              <w:pStyle w:val="76"/>
              <w:rPr>
                <w:color w:val="auto"/>
                <w:highlight w:val="none"/>
              </w:rPr>
            </w:pPr>
            <w:r>
              <w:rPr>
                <w:rFonts w:hint="eastAsia"/>
                <w:color w:val="auto"/>
                <w:highlight w:val="none"/>
              </w:rPr>
              <w:t>水量(万m</w:t>
            </w:r>
            <w:r>
              <w:rPr>
                <w:rFonts w:hint="eastAsia"/>
                <w:color w:val="auto"/>
                <w:highlight w:val="none"/>
                <w:vertAlign w:val="superscript"/>
              </w:rPr>
              <w:t>3</w:t>
            </w:r>
            <w:r>
              <w:rPr>
                <w:rFonts w:hint="eastAsia"/>
                <w:color w:val="auto"/>
                <w:highlight w:val="none"/>
              </w:rPr>
              <w:t>/a)</w:t>
            </w:r>
          </w:p>
        </w:tc>
        <w:tc>
          <w:tcPr>
            <w:tcW w:w="1585" w:type="dxa"/>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6540</w:t>
            </w:r>
          </w:p>
        </w:tc>
        <w:tc>
          <w:tcPr>
            <w:tcW w:w="1276" w:type="dxa"/>
            <w:vAlign w:val="center"/>
          </w:tcPr>
          <w:p>
            <w:pPr>
              <w:pStyle w:val="70"/>
              <w:rPr>
                <w:color w:val="auto"/>
                <w:highlight w:val="none"/>
              </w:rPr>
            </w:pPr>
          </w:p>
        </w:tc>
        <w:tc>
          <w:tcPr>
            <w:tcW w:w="1701" w:type="dxa"/>
            <w:vAlign w:val="center"/>
          </w:tcPr>
          <w:p>
            <w:pPr>
              <w:pStyle w:val="70"/>
              <w:rPr>
                <w:rFonts w:hint="default" w:eastAsia="宋体"/>
                <w:color w:val="auto"/>
                <w:highlight w:val="none"/>
                <w:lang w:val="en-US" w:eastAsia="zh-CN"/>
              </w:rPr>
            </w:pPr>
            <w:r>
              <w:rPr>
                <w:rFonts w:hint="eastAsia"/>
                <w:color w:val="auto"/>
                <w:highlight w:val="none"/>
                <w:lang w:val="en-US" w:eastAsia="zh-CN"/>
              </w:rPr>
              <w:t>0.1868</w:t>
            </w:r>
          </w:p>
        </w:tc>
        <w:tc>
          <w:tcPr>
            <w:tcW w:w="1559" w:type="dxa"/>
            <w:vAlign w:val="center"/>
          </w:tcPr>
          <w:p>
            <w:pPr>
              <w:pStyle w:val="70"/>
              <w:rPr>
                <w:rFonts w:hint="default" w:eastAsia="宋体"/>
                <w:color w:val="auto"/>
                <w:highlight w:val="none"/>
                <w:lang w:val="en-US" w:eastAsia="zh-CN"/>
              </w:rPr>
            </w:pPr>
            <w:r>
              <w:rPr>
                <w:rFonts w:hint="eastAsia"/>
                <w:color w:val="auto"/>
                <w:highlight w:val="none"/>
                <w:lang w:val="en-US" w:eastAsia="zh-CN"/>
              </w:rPr>
              <w:t>0.6885</w:t>
            </w:r>
          </w:p>
        </w:tc>
        <w:tc>
          <w:tcPr>
            <w:tcW w:w="1761" w:type="dxa"/>
            <w:vAlign w:val="center"/>
          </w:tcPr>
          <w:p>
            <w:pPr>
              <w:pStyle w:val="70"/>
              <w:rPr>
                <w:rFonts w:hint="default" w:eastAsia="宋体"/>
                <w:color w:val="auto"/>
                <w:highlight w:val="none"/>
                <w:lang w:val="en-US" w:eastAsia="zh-CN"/>
              </w:rPr>
            </w:pPr>
            <w:r>
              <w:rPr>
                <w:rFonts w:hint="eastAsia"/>
                <w:color w:val="auto"/>
                <w:highlight w:val="none"/>
                <w:lang w:val="en-US" w:eastAsia="zh-CN"/>
              </w:rPr>
              <w:t>-0.3201</w:t>
            </w:r>
          </w:p>
        </w:tc>
        <w:tc>
          <w:tcPr>
            <w:tcW w:w="1798" w:type="dxa"/>
            <w:vAlign w:val="center"/>
          </w:tcPr>
          <w:p>
            <w:pPr>
              <w:pStyle w:val="70"/>
              <w:rPr>
                <w:rFonts w:hint="default" w:eastAsia="宋体"/>
                <w:color w:val="auto"/>
                <w:highlight w:val="none"/>
                <w:lang w:val="en-US" w:eastAsia="zh-CN"/>
              </w:rPr>
            </w:pPr>
            <w:r>
              <w:rPr>
                <w:rFonts w:hint="eastAsia"/>
                <w:color w:val="auto"/>
                <w:highlight w:val="none"/>
                <w:lang w:val="en-US" w:eastAsia="zh-CN"/>
              </w:rPr>
              <w:t>1.2092</w:t>
            </w:r>
          </w:p>
        </w:tc>
        <w:tc>
          <w:tcPr>
            <w:tcW w:w="987" w:type="dxa"/>
            <w:vAlign w:val="center"/>
          </w:tcPr>
          <w:p>
            <w:pPr>
              <w:pStyle w:val="70"/>
              <w:rPr>
                <w:rFonts w:hint="default" w:eastAsia="宋体"/>
                <w:color w:val="auto"/>
                <w:highlight w:val="none"/>
                <w:lang w:val="en-US" w:eastAsia="zh-CN"/>
              </w:rPr>
            </w:pPr>
            <w:r>
              <w:rPr>
                <w:color w:val="auto"/>
                <w:highlight w:val="none"/>
              </w:rPr>
              <w:t>+0.</w:t>
            </w:r>
            <w:r>
              <w:rPr>
                <w:rFonts w:hint="eastAsia"/>
                <w:color w:val="auto"/>
                <w:highlight w:val="none"/>
                <w:lang w:val="en-US" w:eastAsia="zh-CN"/>
              </w:rPr>
              <w:t>3684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6"/>
              <w:rPr>
                <w:color w:val="auto"/>
                <w:highlight w:val="none"/>
              </w:rPr>
            </w:pPr>
            <w:r>
              <w:rPr>
                <w:rFonts w:hint="eastAsia"/>
                <w:color w:val="auto"/>
                <w:highlight w:val="none"/>
              </w:rPr>
              <w:t>COD(t/a)</w:t>
            </w:r>
          </w:p>
        </w:tc>
        <w:tc>
          <w:tcPr>
            <w:tcW w:w="1585" w:type="dxa"/>
            <w:vAlign w:val="center"/>
          </w:tcPr>
          <w:p>
            <w:pPr>
              <w:pStyle w:val="70"/>
              <w:rPr>
                <w:rFonts w:hint="default" w:eastAsia="宋体"/>
                <w:color w:val="auto"/>
                <w:highlight w:val="none"/>
                <w:lang w:val="en-US" w:eastAsia="zh-CN"/>
              </w:rPr>
            </w:pPr>
            <w:r>
              <w:rPr>
                <w:rFonts w:hint="eastAsia"/>
                <w:color w:val="auto"/>
                <w:highlight w:val="none"/>
                <w:lang w:val="en-US" w:eastAsia="zh-CN"/>
              </w:rPr>
              <w:t>0.327</w:t>
            </w:r>
          </w:p>
        </w:tc>
        <w:tc>
          <w:tcPr>
            <w:tcW w:w="1276" w:type="dxa"/>
            <w:vAlign w:val="center"/>
          </w:tcPr>
          <w:p>
            <w:pPr>
              <w:pStyle w:val="70"/>
              <w:rPr>
                <w:color w:val="auto"/>
                <w:highlight w:val="none"/>
              </w:rPr>
            </w:pPr>
          </w:p>
        </w:tc>
        <w:tc>
          <w:tcPr>
            <w:tcW w:w="1701" w:type="dxa"/>
            <w:vAlign w:val="center"/>
          </w:tcPr>
          <w:p>
            <w:pPr>
              <w:pStyle w:val="70"/>
              <w:rPr>
                <w:rFonts w:hint="default" w:eastAsia="宋体"/>
                <w:color w:val="auto"/>
                <w:highlight w:val="none"/>
                <w:lang w:val="en-US" w:eastAsia="zh-CN"/>
              </w:rPr>
            </w:pPr>
            <w:r>
              <w:rPr>
                <w:rFonts w:hint="eastAsia"/>
                <w:color w:val="auto"/>
                <w:highlight w:val="none"/>
                <w:lang w:val="en-US" w:eastAsia="zh-CN"/>
              </w:rPr>
              <w:t>0.094</w:t>
            </w:r>
          </w:p>
        </w:tc>
        <w:tc>
          <w:tcPr>
            <w:tcW w:w="1559" w:type="dxa"/>
            <w:vAlign w:val="center"/>
          </w:tcPr>
          <w:p>
            <w:pPr>
              <w:pStyle w:val="70"/>
              <w:rPr>
                <w:rFonts w:hint="default" w:eastAsia="宋体"/>
                <w:color w:val="auto"/>
                <w:highlight w:val="none"/>
                <w:lang w:val="en-US" w:eastAsia="zh-CN"/>
              </w:rPr>
            </w:pPr>
            <w:r>
              <w:rPr>
                <w:rFonts w:hint="eastAsia"/>
                <w:color w:val="auto"/>
                <w:highlight w:val="none"/>
                <w:lang w:val="en-US" w:eastAsia="zh-CN"/>
              </w:rPr>
              <w:t>0.345</w:t>
            </w:r>
          </w:p>
        </w:tc>
        <w:tc>
          <w:tcPr>
            <w:tcW w:w="1761" w:type="dxa"/>
            <w:vAlign w:val="center"/>
          </w:tcPr>
          <w:p>
            <w:pPr>
              <w:pStyle w:val="70"/>
              <w:rPr>
                <w:rFonts w:hint="default" w:eastAsia="宋体"/>
                <w:color w:val="auto"/>
                <w:highlight w:val="none"/>
                <w:lang w:val="en-US" w:eastAsia="zh-CN"/>
              </w:rPr>
            </w:pPr>
            <w:r>
              <w:rPr>
                <w:rFonts w:hint="eastAsia"/>
                <w:color w:val="auto"/>
                <w:highlight w:val="none"/>
                <w:lang w:val="en-US" w:eastAsia="zh-CN"/>
              </w:rPr>
              <w:t>-0.161</w:t>
            </w:r>
          </w:p>
        </w:tc>
        <w:tc>
          <w:tcPr>
            <w:tcW w:w="1798" w:type="dxa"/>
            <w:vAlign w:val="center"/>
          </w:tcPr>
          <w:p>
            <w:pPr>
              <w:pStyle w:val="70"/>
              <w:rPr>
                <w:rFonts w:hint="default" w:eastAsia="宋体"/>
                <w:color w:val="auto"/>
                <w:highlight w:val="none"/>
                <w:lang w:val="en-US" w:eastAsia="zh-CN"/>
              </w:rPr>
            </w:pPr>
            <w:r>
              <w:rPr>
                <w:rFonts w:hint="eastAsia"/>
                <w:color w:val="auto"/>
                <w:highlight w:val="none"/>
                <w:lang w:val="en-US" w:eastAsia="zh-CN"/>
              </w:rPr>
              <w:t>0.605</w:t>
            </w:r>
          </w:p>
        </w:tc>
        <w:tc>
          <w:tcPr>
            <w:tcW w:w="987" w:type="dxa"/>
            <w:vAlign w:val="center"/>
          </w:tcPr>
          <w:p>
            <w:pPr>
              <w:pStyle w:val="70"/>
              <w:rPr>
                <w:rFonts w:hint="default" w:eastAsia="宋体"/>
                <w:color w:val="auto"/>
                <w:highlight w:val="none"/>
                <w:lang w:val="en-US" w:eastAsia="zh-CN"/>
              </w:rPr>
            </w:pPr>
            <w:r>
              <w:rPr>
                <w:rFonts w:hint="eastAsia"/>
                <w:color w:val="auto"/>
                <w:highlight w:val="none"/>
                <w:lang w:val="en-US" w:eastAsia="zh-CN"/>
              </w:rPr>
              <w:t>+0.184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6"/>
              <w:rPr>
                <w:color w:val="auto"/>
                <w:highlight w:val="none"/>
              </w:rPr>
            </w:pPr>
            <w:r>
              <w:rPr>
                <w:rFonts w:hint="eastAsia"/>
                <w:color w:val="auto"/>
                <w:highlight w:val="none"/>
              </w:rPr>
              <w:t>NH</w:t>
            </w:r>
            <w:r>
              <w:rPr>
                <w:rFonts w:hint="eastAsia"/>
                <w:color w:val="auto"/>
                <w:highlight w:val="none"/>
                <w:vertAlign w:val="subscript"/>
              </w:rPr>
              <w:t>3</w:t>
            </w:r>
            <w:r>
              <w:rPr>
                <w:rFonts w:hint="eastAsia"/>
                <w:color w:val="auto"/>
                <w:highlight w:val="none"/>
              </w:rPr>
              <w:t>-N(t/a)</w:t>
            </w:r>
          </w:p>
        </w:tc>
        <w:tc>
          <w:tcPr>
            <w:tcW w:w="1585" w:type="dxa"/>
            <w:vAlign w:val="center"/>
          </w:tcPr>
          <w:p>
            <w:pPr>
              <w:pStyle w:val="70"/>
              <w:rPr>
                <w:rFonts w:hint="default" w:eastAsia="宋体"/>
                <w:color w:val="auto"/>
                <w:highlight w:val="none"/>
                <w:lang w:val="en-US" w:eastAsia="zh-CN"/>
              </w:rPr>
            </w:pPr>
            <w:r>
              <w:rPr>
                <w:rFonts w:hint="eastAsia"/>
                <w:color w:val="auto"/>
                <w:highlight w:val="none"/>
                <w:lang w:val="en-US" w:eastAsia="zh-CN"/>
              </w:rPr>
              <w:t>0.021</w:t>
            </w:r>
          </w:p>
        </w:tc>
        <w:tc>
          <w:tcPr>
            <w:tcW w:w="1276" w:type="dxa"/>
            <w:vAlign w:val="center"/>
          </w:tcPr>
          <w:p>
            <w:pPr>
              <w:pStyle w:val="70"/>
              <w:rPr>
                <w:color w:val="auto"/>
                <w:highlight w:val="none"/>
              </w:rPr>
            </w:pPr>
          </w:p>
        </w:tc>
        <w:tc>
          <w:tcPr>
            <w:tcW w:w="1701" w:type="dxa"/>
            <w:vAlign w:val="center"/>
          </w:tcPr>
          <w:p>
            <w:pPr>
              <w:pStyle w:val="70"/>
              <w:rPr>
                <w:rFonts w:hint="default" w:eastAsia="宋体"/>
                <w:color w:val="auto"/>
                <w:highlight w:val="none"/>
                <w:lang w:val="en-US" w:eastAsia="zh-CN"/>
              </w:rPr>
            </w:pPr>
            <w:r>
              <w:rPr>
                <w:rFonts w:hint="eastAsia"/>
                <w:color w:val="auto"/>
                <w:highlight w:val="none"/>
                <w:lang w:val="en-US" w:eastAsia="zh-CN"/>
              </w:rPr>
              <w:t>0.007</w:t>
            </w:r>
          </w:p>
        </w:tc>
        <w:tc>
          <w:tcPr>
            <w:tcW w:w="1559" w:type="dxa"/>
            <w:vAlign w:val="center"/>
          </w:tcPr>
          <w:p>
            <w:pPr>
              <w:pStyle w:val="70"/>
              <w:rPr>
                <w:rFonts w:hint="default" w:eastAsia="宋体"/>
                <w:color w:val="auto"/>
                <w:highlight w:val="none"/>
                <w:lang w:val="en-US" w:eastAsia="zh-CN"/>
              </w:rPr>
            </w:pPr>
            <w:r>
              <w:rPr>
                <w:color w:val="auto"/>
                <w:highlight w:val="none"/>
              </w:rPr>
              <w:t>0.</w:t>
            </w:r>
            <w:r>
              <w:rPr>
                <w:rFonts w:hint="eastAsia"/>
                <w:color w:val="auto"/>
                <w:highlight w:val="none"/>
                <w:lang w:val="en-US" w:eastAsia="zh-CN"/>
              </w:rPr>
              <w:t>0362</w:t>
            </w:r>
          </w:p>
        </w:tc>
        <w:tc>
          <w:tcPr>
            <w:tcW w:w="1761" w:type="dxa"/>
            <w:vAlign w:val="center"/>
          </w:tcPr>
          <w:p>
            <w:pPr>
              <w:pStyle w:val="70"/>
              <w:rPr>
                <w:rFonts w:hint="default" w:eastAsia="宋体"/>
                <w:color w:val="auto"/>
                <w:highlight w:val="none"/>
                <w:lang w:val="en-US" w:eastAsia="zh-CN"/>
              </w:rPr>
            </w:pPr>
            <w:r>
              <w:rPr>
                <w:rFonts w:hint="eastAsia"/>
                <w:color w:val="auto"/>
                <w:highlight w:val="none"/>
                <w:lang w:val="en-US" w:eastAsia="zh-CN"/>
              </w:rPr>
              <w:t>-0.01</w:t>
            </w:r>
          </w:p>
        </w:tc>
        <w:tc>
          <w:tcPr>
            <w:tcW w:w="1798" w:type="dxa"/>
            <w:vAlign w:val="center"/>
          </w:tcPr>
          <w:p>
            <w:pPr>
              <w:pStyle w:val="70"/>
              <w:rPr>
                <w:rFonts w:hint="default" w:eastAsia="宋体"/>
                <w:color w:val="auto"/>
                <w:highlight w:val="none"/>
                <w:lang w:val="en-US" w:eastAsia="zh-CN"/>
              </w:rPr>
            </w:pPr>
            <w:r>
              <w:rPr>
                <w:rFonts w:hint="eastAsia"/>
                <w:color w:val="auto"/>
                <w:highlight w:val="none"/>
                <w:lang w:val="en-US" w:eastAsia="zh-CN"/>
              </w:rPr>
              <w:t>0.0542</w:t>
            </w:r>
          </w:p>
        </w:tc>
        <w:tc>
          <w:tcPr>
            <w:tcW w:w="987" w:type="dxa"/>
            <w:vAlign w:val="center"/>
          </w:tcPr>
          <w:p>
            <w:pPr>
              <w:pStyle w:val="70"/>
              <w:rPr>
                <w:rFonts w:hint="default" w:eastAsia="宋体"/>
                <w:color w:val="auto"/>
                <w:highlight w:val="none"/>
                <w:lang w:val="en-US" w:eastAsia="zh-CN"/>
              </w:rPr>
            </w:pPr>
            <w:r>
              <w:rPr>
                <w:color w:val="auto"/>
                <w:highlight w:val="none"/>
              </w:rPr>
              <w:t>+0.</w:t>
            </w:r>
            <w:r>
              <w:rPr>
                <w:rFonts w:hint="eastAsia"/>
                <w:color w:val="auto"/>
                <w:highlight w:val="none"/>
              </w:rPr>
              <w:t>0</w:t>
            </w:r>
            <w:r>
              <w:rPr>
                <w:rFonts w:hint="eastAsia"/>
                <w:color w:val="auto"/>
                <w:highlight w:val="none"/>
                <w:lang w:val="en-US" w:eastAsia="zh-CN"/>
              </w:rPr>
              <w:t>247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restart"/>
            <w:vAlign w:val="center"/>
          </w:tcPr>
          <w:p>
            <w:pPr>
              <w:pStyle w:val="76"/>
              <w:rPr>
                <w:color w:val="auto"/>
                <w:highlight w:val="none"/>
              </w:rPr>
            </w:pPr>
            <w:r>
              <w:rPr>
                <w:rFonts w:hint="eastAsia"/>
                <w:color w:val="auto"/>
                <w:highlight w:val="none"/>
              </w:rPr>
              <w:t>一般工业</w:t>
            </w:r>
          </w:p>
          <w:p>
            <w:pPr>
              <w:pStyle w:val="76"/>
              <w:rPr>
                <w:color w:val="auto"/>
                <w:highlight w:val="none"/>
              </w:rPr>
            </w:pPr>
            <w:r>
              <w:rPr>
                <w:rFonts w:hint="eastAsia"/>
                <w:color w:val="auto"/>
                <w:highlight w:val="none"/>
              </w:rPr>
              <w:t>固体废物</w:t>
            </w:r>
          </w:p>
        </w:tc>
        <w:tc>
          <w:tcPr>
            <w:tcW w:w="1926" w:type="dxa"/>
            <w:vAlign w:val="center"/>
          </w:tcPr>
          <w:p>
            <w:pPr>
              <w:pStyle w:val="70"/>
              <w:rPr>
                <w:color w:val="auto"/>
                <w:highlight w:val="none"/>
              </w:rPr>
            </w:pPr>
            <w:r>
              <w:rPr>
                <w:rFonts w:hint="eastAsia"/>
                <w:color w:val="auto"/>
                <w:highlight w:val="none"/>
              </w:rPr>
              <w:t>粉尘(t/a)</w:t>
            </w:r>
          </w:p>
        </w:tc>
        <w:tc>
          <w:tcPr>
            <w:tcW w:w="1585" w:type="dxa"/>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276" w:type="dxa"/>
            <w:vAlign w:val="center"/>
          </w:tcPr>
          <w:p>
            <w:pPr>
              <w:jc w:val="center"/>
              <w:rPr>
                <w:rFonts w:hint="default" w:eastAsia="宋体"/>
                <w:color w:val="auto"/>
                <w:highlight w:val="none"/>
                <w:lang w:val="en-US" w:eastAsia="zh-CN"/>
              </w:rPr>
            </w:pPr>
          </w:p>
        </w:tc>
        <w:tc>
          <w:tcPr>
            <w:tcW w:w="1701" w:type="dxa"/>
            <w:vAlign w:val="center"/>
          </w:tcPr>
          <w:p>
            <w:pPr>
              <w:jc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11.4</w:t>
            </w:r>
          </w:p>
        </w:tc>
        <w:tc>
          <w:tcPr>
            <w:tcW w:w="1559" w:type="dxa"/>
            <w:shd w:val="clear" w:color="auto" w:fill="auto"/>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11.4</w:t>
            </w:r>
          </w:p>
        </w:tc>
        <w:tc>
          <w:tcPr>
            <w:tcW w:w="1761" w:type="dxa"/>
            <w:vAlign w:val="center"/>
          </w:tcPr>
          <w:p>
            <w:pPr>
              <w:pStyle w:val="76"/>
              <w:rPr>
                <w:color w:val="auto"/>
                <w:highlight w:val="none"/>
              </w:rPr>
            </w:pPr>
          </w:p>
        </w:tc>
        <w:tc>
          <w:tcPr>
            <w:tcW w:w="1798" w:type="dxa"/>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24.7</w:t>
            </w:r>
          </w:p>
        </w:tc>
        <w:tc>
          <w:tcPr>
            <w:tcW w:w="987" w:type="dxa"/>
            <w:shd w:val="clear" w:color="auto" w:fill="auto"/>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2"/>
                <w:highlight w:val="none"/>
                <w:lang w:val="en-US" w:eastAsia="zh-CN" w:bidi="ar-SA"/>
              </w:rPr>
            </w:pPr>
            <w:r>
              <w:rPr>
                <w:rFonts w:hint="eastAsia"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rFonts w:hint="eastAsia"/>
                <w:color w:val="auto"/>
                <w:highlight w:val="none"/>
              </w:rPr>
            </w:pPr>
          </w:p>
        </w:tc>
        <w:tc>
          <w:tcPr>
            <w:tcW w:w="1926" w:type="dxa"/>
            <w:vAlign w:val="center"/>
          </w:tcPr>
          <w:p>
            <w:pPr>
              <w:pStyle w:val="70"/>
              <w:rPr>
                <w:rFonts w:hint="default" w:eastAsia="宋体"/>
                <w:color w:val="auto"/>
                <w:highlight w:val="none"/>
                <w:lang w:val="en-US" w:eastAsia="zh-CN"/>
              </w:rPr>
            </w:pPr>
            <w:r>
              <w:rPr>
                <w:rFonts w:hint="eastAsia"/>
                <w:color w:val="auto"/>
                <w:highlight w:val="none"/>
                <w:lang w:val="en-US" w:eastAsia="zh-CN"/>
              </w:rPr>
              <w:t>尘泥（t/a）</w:t>
            </w:r>
          </w:p>
        </w:tc>
        <w:tc>
          <w:tcPr>
            <w:tcW w:w="1585" w:type="dxa"/>
            <w:vAlign w:val="center"/>
          </w:tcPr>
          <w:p>
            <w:pPr>
              <w:keepNext w:val="0"/>
              <w:keepLines w:val="0"/>
              <w:widowControl/>
              <w:suppressLineNumbers w:val="0"/>
              <w:jc w:val="center"/>
              <w:textAlignment w:val="center"/>
              <w:rPr>
                <w:rFonts w:hint="eastAsia"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10.05</w:t>
            </w:r>
          </w:p>
        </w:tc>
        <w:tc>
          <w:tcPr>
            <w:tcW w:w="1276" w:type="dxa"/>
            <w:vAlign w:val="center"/>
          </w:tcPr>
          <w:p>
            <w:pPr>
              <w:jc w:val="center"/>
              <w:rPr>
                <w:color w:val="auto"/>
                <w:highlight w:val="none"/>
              </w:rPr>
            </w:pPr>
          </w:p>
        </w:tc>
        <w:tc>
          <w:tcPr>
            <w:tcW w:w="1701" w:type="dxa"/>
            <w:vAlign w:val="center"/>
          </w:tcPr>
          <w:p>
            <w:pPr>
              <w:jc w:val="center"/>
              <w:rPr>
                <w:rFonts w:hint="eastAsia"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559" w:type="dxa"/>
            <w:shd w:val="clear" w:color="auto" w:fill="auto"/>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7</w:t>
            </w:r>
          </w:p>
        </w:tc>
        <w:tc>
          <w:tcPr>
            <w:tcW w:w="1761" w:type="dxa"/>
            <w:vAlign w:val="center"/>
          </w:tcPr>
          <w:p>
            <w:pPr>
              <w:pStyle w:val="76"/>
              <w:rPr>
                <w:rFonts w:hint="default" w:eastAsia="宋体"/>
                <w:color w:val="auto"/>
                <w:highlight w:val="none"/>
                <w:lang w:val="en-US" w:eastAsia="zh-CN"/>
              </w:rPr>
            </w:pPr>
            <w:r>
              <w:rPr>
                <w:rFonts w:hint="eastAsia"/>
                <w:color w:val="auto"/>
                <w:highlight w:val="none"/>
                <w:lang w:val="en-US" w:eastAsia="zh-CN"/>
              </w:rPr>
              <w:t>-7</w:t>
            </w:r>
          </w:p>
        </w:tc>
        <w:tc>
          <w:tcPr>
            <w:tcW w:w="1798" w:type="dxa"/>
            <w:vAlign w:val="center"/>
          </w:tcPr>
          <w:p>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iCs w:val="0"/>
                <w:color w:val="auto"/>
                <w:kern w:val="0"/>
                <w:sz w:val="21"/>
                <w:szCs w:val="21"/>
                <w:highlight w:val="none"/>
                <w:u w:val="none"/>
                <w:lang w:val="en-US" w:eastAsia="zh-CN" w:bidi="ar"/>
              </w:rPr>
              <w:t>15.05</w:t>
            </w:r>
          </w:p>
        </w:tc>
        <w:tc>
          <w:tcPr>
            <w:tcW w:w="987" w:type="dxa"/>
            <w:shd w:val="clear" w:color="auto" w:fill="auto"/>
            <w:vAlign w:val="center"/>
          </w:tcPr>
          <w:p>
            <w:pPr>
              <w:keepNext w:val="0"/>
              <w:keepLines w:val="0"/>
              <w:widowControl/>
              <w:suppressLineNumbers w:val="0"/>
              <w:jc w:val="center"/>
              <w:textAlignment w:val="center"/>
              <w:rPr>
                <w:rFonts w:hint="eastAsia" w:ascii="Calibri" w:hAnsi="Calibri" w:eastAsia="宋体" w:cs="Times New Roman"/>
                <w:color w:val="auto"/>
                <w:kern w:val="2"/>
                <w:sz w:val="21"/>
                <w:szCs w:val="22"/>
                <w:highlight w:val="none"/>
                <w:lang w:val="en-US" w:eastAsia="zh-CN" w:bidi="ar-SA"/>
              </w:rPr>
            </w:pPr>
            <w:r>
              <w:rPr>
                <w:rFonts w:hint="eastAsia" w:ascii="Times New Roman" w:hAnsi="Times New Roman" w:cs="Times New Roman"/>
                <w:i w:val="0"/>
                <w:iCs w:val="0"/>
                <w:color w:val="auto"/>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color w:val="auto"/>
                <w:highlight w:val="none"/>
              </w:rPr>
            </w:pPr>
            <w:r>
              <w:rPr>
                <w:rFonts w:hint="eastAsia"/>
                <w:color w:val="auto"/>
                <w:highlight w:val="none"/>
              </w:rPr>
              <w:t>机加工下脚料(t/a)</w:t>
            </w:r>
          </w:p>
        </w:tc>
        <w:tc>
          <w:tcPr>
            <w:tcW w:w="1585"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1543.142</w:t>
            </w:r>
          </w:p>
        </w:tc>
        <w:tc>
          <w:tcPr>
            <w:tcW w:w="1276" w:type="dxa"/>
            <w:vAlign w:val="center"/>
          </w:tcPr>
          <w:p>
            <w:pPr>
              <w:jc w:val="center"/>
              <w:rPr>
                <w:rFonts w:hint="default" w:eastAsia="宋体"/>
                <w:color w:val="auto"/>
                <w:highlight w:val="none"/>
                <w:lang w:val="en-US" w:eastAsia="zh-CN"/>
              </w:rPr>
            </w:pPr>
          </w:p>
        </w:tc>
        <w:tc>
          <w:tcPr>
            <w:tcW w:w="1701"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26.4</w:t>
            </w:r>
          </w:p>
        </w:tc>
        <w:tc>
          <w:tcPr>
            <w:tcW w:w="1559" w:type="dxa"/>
            <w:shd w:val="clear" w:color="auto" w:fill="auto"/>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151</w:t>
            </w:r>
          </w:p>
        </w:tc>
        <w:tc>
          <w:tcPr>
            <w:tcW w:w="1761" w:type="dxa"/>
            <w:shd w:val="clear" w:color="auto" w:fill="auto"/>
            <w:vAlign w:val="center"/>
          </w:tcPr>
          <w:p>
            <w:pPr>
              <w:pStyle w:val="70"/>
              <w:rPr>
                <w:rFonts w:hint="default" w:eastAsia="宋体"/>
                <w:color w:val="auto"/>
                <w:highlight w:val="none"/>
                <w:lang w:val="en-US" w:eastAsia="zh-CN"/>
              </w:rPr>
            </w:pPr>
            <w:r>
              <w:rPr>
                <w:rFonts w:hint="eastAsia"/>
                <w:color w:val="auto"/>
                <w:highlight w:val="none"/>
                <w:lang w:val="en-US" w:eastAsia="zh-CN"/>
              </w:rPr>
              <w:t>-106</w:t>
            </w:r>
          </w:p>
        </w:tc>
        <w:tc>
          <w:tcPr>
            <w:tcW w:w="1798" w:type="dxa"/>
            <w:vAlign w:val="center"/>
          </w:tcPr>
          <w:p>
            <w:pPr>
              <w:keepNext w:val="0"/>
              <w:keepLines w:val="0"/>
              <w:widowControl/>
              <w:suppressLineNumbers w:val="0"/>
              <w:jc w:val="center"/>
              <w:textAlignment w:val="center"/>
              <w:rPr>
                <w:rFonts w:hint="default"/>
                <w:color w:val="auto"/>
                <w:highlight w:val="none"/>
                <w:lang w:val="en-US"/>
              </w:rPr>
            </w:pPr>
            <w:r>
              <w:rPr>
                <w:rFonts w:hint="eastAsia" w:ascii="Times New Roman" w:hAnsi="Times New Roman" w:cs="Times New Roman"/>
                <w:i w:val="0"/>
                <w:iCs w:val="0"/>
                <w:color w:val="auto"/>
                <w:kern w:val="0"/>
                <w:sz w:val="21"/>
                <w:szCs w:val="21"/>
                <w:highlight w:val="none"/>
                <w:u w:val="none"/>
                <w:lang w:val="en-US" w:eastAsia="zh-CN" w:bidi="ar"/>
              </w:rPr>
              <w:t>1614.542</w:t>
            </w:r>
          </w:p>
        </w:tc>
        <w:tc>
          <w:tcPr>
            <w:tcW w:w="987" w:type="dxa"/>
            <w:shd w:val="clear" w:color="auto" w:fill="auto"/>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2"/>
                <w:highlight w:val="none"/>
                <w:lang w:val="en-US" w:eastAsia="zh-CN" w:bidi="ar-SA"/>
              </w:rPr>
            </w:pPr>
            <w:r>
              <w:rPr>
                <w:rFonts w:hint="eastAsia" w:ascii="Times New Roman" w:hAnsi="Times New Roman" w:cs="Times New Roman"/>
                <w:i w:val="0"/>
                <w:iCs w:val="0"/>
                <w:color w:val="auto"/>
                <w:kern w:val="0"/>
                <w:sz w:val="21"/>
                <w:szCs w:val="21"/>
                <w:highlight w:val="none"/>
                <w:u w:val="none"/>
                <w:lang w:val="en-US" w:eastAsia="zh-CN" w:bidi="ar"/>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color w:val="auto"/>
                <w:highlight w:val="none"/>
              </w:rPr>
            </w:pPr>
            <w:r>
              <w:rPr>
                <w:rFonts w:hint="eastAsia"/>
                <w:color w:val="auto"/>
                <w:highlight w:val="none"/>
              </w:rPr>
              <w:t>不合格品(t/a)</w:t>
            </w:r>
          </w:p>
        </w:tc>
        <w:tc>
          <w:tcPr>
            <w:tcW w:w="15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1276" w:type="dxa"/>
            <w:vAlign w:val="center"/>
          </w:tcPr>
          <w:p>
            <w:pPr>
              <w:jc w:val="center"/>
              <w:rPr>
                <w:rFonts w:hint="default" w:eastAsia="宋体"/>
                <w:color w:val="auto"/>
                <w:highlight w:val="none"/>
                <w:lang w:val="en-US" w:eastAsia="zh-CN"/>
              </w:rPr>
            </w:pPr>
          </w:p>
        </w:tc>
        <w:tc>
          <w:tcPr>
            <w:tcW w:w="1701"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12.25</w:t>
            </w:r>
          </w:p>
        </w:tc>
        <w:tc>
          <w:tcPr>
            <w:tcW w:w="1559" w:type="dxa"/>
            <w:shd w:val="clear" w:color="auto" w:fill="auto"/>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761" w:type="dxa"/>
            <w:shd w:val="clear" w:color="auto" w:fill="auto"/>
            <w:vAlign w:val="center"/>
          </w:tcPr>
          <w:p>
            <w:pPr>
              <w:pStyle w:val="70"/>
              <w:rPr>
                <w:rFonts w:hint="default" w:eastAsia="宋体"/>
                <w:color w:val="auto"/>
                <w:highlight w:val="none"/>
                <w:lang w:val="en-US" w:eastAsia="zh-CN"/>
              </w:rPr>
            </w:pPr>
            <w:r>
              <w:rPr>
                <w:rFonts w:hint="eastAsia"/>
                <w:color w:val="auto"/>
                <w:highlight w:val="none"/>
                <w:lang w:val="en-US" w:eastAsia="zh-CN"/>
              </w:rPr>
              <w:t>-7</w:t>
            </w:r>
          </w:p>
        </w:tc>
        <w:tc>
          <w:tcPr>
            <w:tcW w:w="1798" w:type="dxa"/>
            <w:vAlign w:val="center"/>
          </w:tcPr>
          <w:p>
            <w:pPr>
              <w:keepNext w:val="0"/>
              <w:keepLines w:val="0"/>
              <w:widowControl/>
              <w:suppressLineNumbers w:val="0"/>
              <w:jc w:val="center"/>
              <w:textAlignment w:val="center"/>
              <w:rPr>
                <w:rFonts w:hint="default"/>
                <w:color w:val="auto"/>
                <w:highlight w:val="none"/>
                <w:lang w:val="en-US"/>
              </w:rPr>
            </w:pPr>
            <w:r>
              <w:rPr>
                <w:rFonts w:hint="eastAsia" w:ascii="Times New Roman" w:hAnsi="Times New Roman" w:cs="Times New Roman"/>
                <w:i w:val="0"/>
                <w:iCs w:val="0"/>
                <w:color w:val="auto"/>
                <w:kern w:val="0"/>
                <w:sz w:val="21"/>
                <w:szCs w:val="21"/>
                <w:highlight w:val="none"/>
                <w:u w:val="none"/>
                <w:lang w:val="en-US" w:eastAsia="zh-CN" w:bidi="ar"/>
              </w:rPr>
              <w:t>43.25</w:t>
            </w:r>
          </w:p>
        </w:tc>
        <w:tc>
          <w:tcPr>
            <w:tcW w:w="987" w:type="dxa"/>
            <w:shd w:val="clear" w:color="auto" w:fill="auto"/>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2"/>
                <w:highlight w:val="none"/>
                <w:lang w:val="en-US" w:eastAsia="zh-CN" w:bidi="ar-SA"/>
              </w:rPr>
            </w:pPr>
            <w:r>
              <w:rPr>
                <w:rFonts w:hint="eastAsia" w:ascii="Times New Roman" w:hAnsi="Times New Roman" w:cs="Times New Roman"/>
                <w:i w:val="0"/>
                <w:iCs w:val="0"/>
                <w:color w:val="auto"/>
                <w:kern w:val="0"/>
                <w:sz w:val="21"/>
                <w:szCs w:val="21"/>
                <w:highlight w:val="none"/>
                <w:u w:val="none"/>
                <w:lang w:val="en-US" w:eastAsia="zh-CN" w:bidi="ar"/>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color w:val="auto"/>
                <w:highlight w:val="none"/>
              </w:rPr>
            </w:pPr>
            <w:r>
              <w:rPr>
                <w:rFonts w:hint="eastAsia"/>
                <w:color w:val="auto"/>
                <w:highlight w:val="none"/>
              </w:rPr>
              <w:t>金属屑(t/a)</w:t>
            </w:r>
          </w:p>
        </w:tc>
        <w:tc>
          <w:tcPr>
            <w:tcW w:w="1585" w:type="dxa"/>
            <w:shd w:val="clear" w:color="auto" w:fill="auto"/>
            <w:vAlign w:val="center"/>
          </w:tcPr>
          <w:p>
            <w:pPr>
              <w:jc w:val="center"/>
              <w:rPr>
                <w:rFonts w:hint="default" w:ascii="Calibri" w:hAnsi="Calibri" w:eastAsia="宋体" w:cs="Times New Roman"/>
                <w:color w:val="auto"/>
                <w:kern w:val="2"/>
                <w:sz w:val="21"/>
                <w:szCs w:val="22"/>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1276" w:type="dxa"/>
            <w:vAlign w:val="center"/>
          </w:tcPr>
          <w:p>
            <w:pPr>
              <w:jc w:val="center"/>
              <w:rPr>
                <w:color w:val="auto"/>
                <w:highlight w:val="none"/>
              </w:rPr>
            </w:pPr>
          </w:p>
        </w:tc>
        <w:tc>
          <w:tcPr>
            <w:tcW w:w="1701" w:type="dxa"/>
            <w:vAlign w:val="center"/>
          </w:tcPr>
          <w:p>
            <w:pPr>
              <w:jc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559" w:type="dxa"/>
            <w:shd w:val="clear" w:color="auto" w:fill="auto"/>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color w:val="auto"/>
                <w:highlight w:val="none"/>
                <w:lang w:val="en-US" w:eastAsia="zh-CN"/>
              </w:rPr>
              <w:t>0</w:t>
            </w:r>
          </w:p>
        </w:tc>
        <w:tc>
          <w:tcPr>
            <w:tcW w:w="1761" w:type="dxa"/>
            <w:shd w:val="clear" w:color="auto" w:fill="auto"/>
            <w:vAlign w:val="center"/>
          </w:tcPr>
          <w:p>
            <w:pPr>
              <w:pStyle w:val="70"/>
              <w:rPr>
                <w:color w:val="auto"/>
                <w:highlight w:val="none"/>
              </w:rPr>
            </w:pPr>
          </w:p>
        </w:tc>
        <w:tc>
          <w:tcPr>
            <w:tcW w:w="1798"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987" w:type="dxa"/>
            <w:shd w:val="clear" w:color="auto" w:fill="auto"/>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rFonts w:hint="default" w:eastAsia="宋体"/>
                <w:color w:val="auto"/>
                <w:highlight w:val="none"/>
                <w:lang w:val="en-US" w:eastAsia="zh-CN"/>
              </w:rPr>
            </w:pPr>
            <w:r>
              <w:rPr>
                <w:rFonts w:hint="eastAsia"/>
                <w:color w:val="auto"/>
                <w:highlight w:val="none"/>
                <w:lang w:val="en-US" w:eastAsia="zh-CN"/>
              </w:rPr>
              <w:t>废无尘布</w:t>
            </w:r>
            <w:r>
              <w:rPr>
                <w:rFonts w:hint="eastAsia"/>
                <w:color w:val="auto"/>
                <w:highlight w:val="none"/>
              </w:rPr>
              <w:t>(t/a)</w:t>
            </w:r>
          </w:p>
        </w:tc>
        <w:tc>
          <w:tcPr>
            <w:tcW w:w="15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0025</w:t>
            </w:r>
          </w:p>
        </w:tc>
        <w:tc>
          <w:tcPr>
            <w:tcW w:w="1276" w:type="dxa"/>
            <w:vAlign w:val="center"/>
          </w:tcPr>
          <w:p>
            <w:pPr>
              <w:jc w:val="center"/>
              <w:rPr>
                <w:color w:val="auto"/>
                <w:highlight w:val="none"/>
              </w:rPr>
            </w:pPr>
          </w:p>
        </w:tc>
        <w:tc>
          <w:tcPr>
            <w:tcW w:w="1701" w:type="dxa"/>
            <w:vAlign w:val="center"/>
          </w:tcPr>
          <w:p>
            <w:pPr>
              <w:keepNext w:val="0"/>
              <w:keepLines w:val="0"/>
              <w:widowControl/>
              <w:suppressLineNumbers w:val="0"/>
              <w:jc w:val="center"/>
              <w:textAlignment w:val="center"/>
              <w:rPr>
                <w:color w:val="auto"/>
                <w:highlight w:val="none"/>
              </w:rPr>
            </w:pPr>
            <w:r>
              <w:rPr>
                <w:rFonts w:hint="eastAsia" w:ascii="Times New Roman" w:hAnsi="Times New Roman" w:cs="Times New Roman"/>
                <w:i w:val="0"/>
                <w:iCs w:val="0"/>
                <w:color w:val="auto"/>
                <w:kern w:val="0"/>
                <w:sz w:val="21"/>
                <w:szCs w:val="21"/>
                <w:highlight w:val="none"/>
                <w:u w:val="none"/>
                <w:lang w:val="en-US" w:eastAsia="zh-CN" w:bidi="ar"/>
              </w:rPr>
              <w:t>0</w:t>
            </w:r>
          </w:p>
        </w:tc>
        <w:tc>
          <w:tcPr>
            <w:tcW w:w="1559" w:type="dxa"/>
            <w:shd w:val="clear" w:color="auto" w:fill="auto"/>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.01</w:t>
            </w:r>
          </w:p>
        </w:tc>
        <w:tc>
          <w:tcPr>
            <w:tcW w:w="1761" w:type="dxa"/>
            <w:shd w:val="clear" w:color="auto" w:fill="auto"/>
            <w:vAlign w:val="center"/>
          </w:tcPr>
          <w:p>
            <w:pPr>
              <w:pStyle w:val="70"/>
              <w:rPr>
                <w:rFonts w:hint="default" w:eastAsia="宋体"/>
                <w:color w:val="auto"/>
                <w:highlight w:val="none"/>
                <w:lang w:val="en-US" w:eastAsia="zh-CN"/>
              </w:rPr>
            </w:pPr>
            <w:r>
              <w:rPr>
                <w:rFonts w:hint="eastAsia"/>
                <w:color w:val="auto"/>
                <w:highlight w:val="none"/>
                <w:lang w:val="en-US" w:eastAsia="zh-CN"/>
              </w:rPr>
              <w:t>-0.0025</w:t>
            </w:r>
          </w:p>
        </w:tc>
        <w:tc>
          <w:tcPr>
            <w:tcW w:w="1798" w:type="dxa"/>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ascii="Times New Roman" w:hAnsi="Times New Roman" w:cs="Times New Roman"/>
                <w:i w:val="0"/>
                <w:iCs w:val="0"/>
                <w:color w:val="auto"/>
                <w:kern w:val="0"/>
                <w:sz w:val="21"/>
                <w:szCs w:val="21"/>
                <w:highlight w:val="none"/>
                <w:u w:val="none"/>
                <w:lang w:val="en-US" w:eastAsia="zh-CN" w:bidi="ar"/>
              </w:rPr>
              <w:t>0.01</w:t>
            </w:r>
          </w:p>
        </w:tc>
        <w:tc>
          <w:tcPr>
            <w:tcW w:w="987" w:type="dxa"/>
            <w:shd w:val="clear" w:color="auto" w:fill="auto"/>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+0.0075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5" w:type="dxa"/>
            <w:vMerge w:val="continue"/>
            <w:vAlign w:val="center"/>
          </w:tcPr>
          <w:p>
            <w:pPr>
              <w:pStyle w:val="76"/>
              <w:rPr>
                <w:color w:val="auto"/>
                <w:highlight w:val="none"/>
              </w:rPr>
            </w:pPr>
          </w:p>
        </w:tc>
        <w:tc>
          <w:tcPr>
            <w:tcW w:w="1926" w:type="dxa"/>
            <w:vAlign w:val="center"/>
          </w:tcPr>
          <w:p>
            <w:pPr>
              <w:pStyle w:val="70"/>
              <w:rPr>
                <w:color w:val="auto"/>
                <w:highlight w:val="none"/>
              </w:rPr>
            </w:pPr>
            <w:r>
              <w:rPr>
                <w:rFonts w:hint="eastAsia"/>
                <w:color w:val="auto"/>
                <w:highlight w:val="none"/>
              </w:rPr>
              <w:t>解绑固体废物(t/a)</w:t>
            </w:r>
          </w:p>
        </w:tc>
        <w:tc>
          <w:tcPr>
            <w:tcW w:w="1585" w:type="dxa"/>
            <w:shd w:val="clear" w:color="auto" w:fill="auto"/>
            <w:vAlign w:val="center"/>
          </w:tcPr>
          <w:p>
            <w:pPr>
              <w:keepNext w:val="0"/>
              <w:keepLines w:val="0"/>
              <w:widowControl/>
              <w:suppressLineNumbers w:val="0"/>
              <w:jc w:val="center"/>
              <w:textAlignment w:val="center"/>
              <w:rPr>
                <w:rFonts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276" w:type="dxa"/>
            <w:vAlign w:val="center"/>
          </w:tcPr>
          <w:p>
            <w:pPr>
              <w:jc w:val="center"/>
              <w:rPr>
                <w:color w:val="auto"/>
                <w:highlight w:val="none"/>
              </w:rPr>
            </w:pPr>
          </w:p>
        </w:tc>
        <w:tc>
          <w:tcPr>
            <w:tcW w:w="1701" w:type="dxa"/>
            <w:vAlign w:val="center"/>
          </w:tcPr>
          <w:p>
            <w:pPr>
              <w:jc w:val="center"/>
              <w:rPr>
                <w:rFonts w:hint="eastAsia" w:eastAsia="宋体"/>
                <w:color w:val="auto"/>
                <w:highlight w:val="none"/>
                <w:lang w:val="en-US" w:eastAsia="zh-CN"/>
              </w:rPr>
            </w:pPr>
            <w:r>
              <w:rPr>
                <w:rFonts w:hint="eastAsia"/>
                <w:color w:val="auto"/>
                <w:highlight w:val="none"/>
                <w:lang w:val="en-US" w:eastAsia="zh-CN"/>
              </w:rPr>
              <w:t>0</w:t>
            </w:r>
          </w:p>
        </w:tc>
        <w:tc>
          <w:tcPr>
            <w:tcW w:w="1559" w:type="dxa"/>
            <w:shd w:val="clear" w:color="auto" w:fill="auto"/>
            <w:vAlign w:val="center"/>
          </w:tcPr>
          <w:p>
            <w:pPr>
              <w:keepNext w:val="0"/>
              <w:keepLines w:val="0"/>
              <w:widowControl/>
              <w:suppressLineNumbers w:val="0"/>
              <w:jc w:val="center"/>
              <w:textAlignment w:val="center"/>
              <w:rPr>
                <w:rFonts w:hint="eastAsia"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761" w:type="dxa"/>
            <w:shd w:val="clear" w:color="auto" w:fill="auto"/>
            <w:vAlign w:val="center"/>
          </w:tcPr>
          <w:p>
            <w:pPr>
              <w:pStyle w:val="70"/>
              <w:rPr>
                <w:color w:val="auto"/>
                <w:highlight w:val="none"/>
              </w:rPr>
            </w:pPr>
          </w:p>
        </w:tc>
        <w:tc>
          <w:tcPr>
            <w:tcW w:w="1798" w:type="dxa"/>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987" w:type="dxa"/>
            <w:shd w:val="clear" w:color="auto" w:fill="auto"/>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2"/>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rFonts w:hint="default" w:eastAsia="宋体"/>
                <w:color w:val="auto"/>
                <w:highlight w:val="none"/>
                <w:lang w:val="en-US" w:eastAsia="zh-CN"/>
              </w:rPr>
            </w:pPr>
            <w:r>
              <w:rPr>
                <w:rFonts w:hint="eastAsia"/>
                <w:color w:val="auto"/>
                <w:highlight w:val="none"/>
                <w:lang w:val="en-US" w:eastAsia="zh-CN"/>
              </w:rPr>
              <w:t>废布袋/滤筒</w:t>
            </w:r>
            <w:r>
              <w:rPr>
                <w:rFonts w:hint="eastAsia"/>
                <w:color w:val="auto"/>
                <w:highlight w:val="none"/>
              </w:rPr>
              <w:t>(t/a)</w:t>
            </w:r>
          </w:p>
        </w:tc>
        <w:tc>
          <w:tcPr>
            <w:tcW w:w="15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Fonts w:hint="eastAsia" w:ascii="Times New Roman" w:hAnsi="Times New Roman" w:cs="Times New Roman"/>
                <w:i w:val="0"/>
                <w:iCs w:val="0"/>
                <w:color w:val="auto"/>
                <w:kern w:val="0"/>
                <w:sz w:val="21"/>
                <w:szCs w:val="21"/>
                <w:highlight w:val="none"/>
                <w:u w:val="none"/>
                <w:lang w:val="en-US" w:eastAsia="zh-CN" w:bidi="ar"/>
              </w:rPr>
              <w:t>2</w:t>
            </w:r>
          </w:p>
        </w:tc>
        <w:tc>
          <w:tcPr>
            <w:tcW w:w="1276" w:type="dxa"/>
            <w:vAlign w:val="center"/>
          </w:tcPr>
          <w:p>
            <w:pPr>
              <w:jc w:val="center"/>
              <w:rPr>
                <w:rFonts w:hint="default" w:eastAsia="宋体"/>
                <w:color w:val="auto"/>
                <w:highlight w:val="none"/>
                <w:lang w:val="en-US" w:eastAsia="zh-CN"/>
              </w:rPr>
            </w:pPr>
          </w:p>
        </w:tc>
        <w:tc>
          <w:tcPr>
            <w:tcW w:w="170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0.112</w:t>
            </w:r>
          </w:p>
        </w:tc>
        <w:tc>
          <w:tcPr>
            <w:tcW w:w="1559" w:type="dxa"/>
            <w:shd w:val="clear" w:color="auto" w:fill="auto"/>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761" w:type="dxa"/>
            <w:shd w:val="clear" w:color="auto" w:fill="auto"/>
            <w:vAlign w:val="center"/>
          </w:tcPr>
          <w:p>
            <w:pPr>
              <w:pStyle w:val="70"/>
              <w:rPr>
                <w:color w:val="auto"/>
                <w:highlight w:val="none"/>
              </w:rPr>
            </w:pPr>
          </w:p>
        </w:tc>
        <w:tc>
          <w:tcPr>
            <w:tcW w:w="1798" w:type="dxa"/>
            <w:vAlign w:val="center"/>
          </w:tcPr>
          <w:p>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iCs w:val="0"/>
                <w:color w:val="auto"/>
                <w:kern w:val="0"/>
                <w:sz w:val="21"/>
                <w:szCs w:val="21"/>
                <w:highlight w:val="none"/>
                <w:u w:val="none"/>
                <w:lang w:val="en-US" w:eastAsia="zh-CN" w:bidi="ar"/>
              </w:rPr>
              <w:t>0.</w:t>
            </w: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eastAsia="宋体" w:cs="宋体"/>
                <w:i w:val="0"/>
                <w:iCs w:val="0"/>
                <w:color w:val="auto"/>
                <w:kern w:val="0"/>
                <w:sz w:val="21"/>
                <w:szCs w:val="21"/>
                <w:highlight w:val="none"/>
                <w:u w:val="none"/>
                <w:lang w:val="en-US" w:eastAsia="zh-CN" w:bidi="ar"/>
              </w:rPr>
              <w:t>12</w:t>
            </w:r>
          </w:p>
        </w:tc>
        <w:tc>
          <w:tcPr>
            <w:tcW w:w="987" w:type="dxa"/>
            <w:shd w:val="clear" w:color="auto" w:fill="auto"/>
            <w:vAlign w:val="center"/>
          </w:tcPr>
          <w:p>
            <w:pPr>
              <w:keepNext w:val="0"/>
              <w:keepLines w:val="0"/>
              <w:widowControl/>
              <w:suppressLineNumbers w:val="0"/>
              <w:jc w:val="center"/>
              <w:textAlignment w:val="center"/>
              <w:rPr>
                <w:rFonts w:hint="eastAsia" w:ascii="Calibri" w:hAnsi="Calibri" w:eastAsia="宋体" w:cs="Times New Roman"/>
                <w:color w:val="auto"/>
                <w:kern w:val="2"/>
                <w:sz w:val="21"/>
                <w:szCs w:val="22"/>
                <w:highlight w:val="none"/>
                <w:lang w:val="en-US" w:eastAsia="zh-CN" w:bidi="ar-SA"/>
              </w:rPr>
            </w:pPr>
            <w:r>
              <w:rPr>
                <w:rFonts w:hint="eastAsia"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rFonts w:hint="default"/>
                <w:color w:val="auto"/>
                <w:highlight w:val="none"/>
                <w:lang w:val="en-US" w:eastAsia="zh-CN"/>
              </w:rPr>
            </w:pPr>
            <w:r>
              <w:rPr>
                <w:rFonts w:hint="eastAsia"/>
                <w:color w:val="auto"/>
                <w:highlight w:val="none"/>
                <w:lang w:val="en-US" w:eastAsia="zh-CN"/>
              </w:rPr>
              <w:t>废包装材料</w:t>
            </w:r>
            <w:r>
              <w:rPr>
                <w:rFonts w:hint="eastAsia"/>
                <w:color w:val="auto"/>
                <w:highlight w:val="none"/>
              </w:rPr>
              <w:t>(t/a)</w:t>
            </w:r>
          </w:p>
        </w:tc>
        <w:tc>
          <w:tcPr>
            <w:tcW w:w="1585"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0.2</w:t>
            </w:r>
          </w:p>
        </w:tc>
        <w:tc>
          <w:tcPr>
            <w:tcW w:w="1276" w:type="dxa"/>
            <w:vAlign w:val="center"/>
          </w:tcPr>
          <w:p>
            <w:pPr>
              <w:jc w:val="center"/>
              <w:rPr>
                <w:rFonts w:hint="default"/>
                <w:color w:val="auto"/>
                <w:highlight w:val="none"/>
                <w:lang w:val="en-US" w:eastAsia="zh-CN"/>
              </w:rPr>
            </w:pPr>
          </w:p>
        </w:tc>
        <w:tc>
          <w:tcPr>
            <w:tcW w:w="170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559" w:type="dxa"/>
            <w:shd w:val="clear" w:color="auto" w:fill="auto"/>
            <w:vAlign w:val="center"/>
          </w:tcPr>
          <w:p>
            <w:pPr>
              <w:jc w:val="center"/>
              <w:rPr>
                <w:rFonts w:hint="default" w:eastAsia="宋体"/>
                <w:color w:val="auto"/>
                <w:highlight w:val="none"/>
                <w:lang w:val="en-US" w:eastAsia="zh-CN"/>
              </w:rPr>
            </w:pPr>
            <w:r>
              <w:rPr>
                <w:rFonts w:hint="eastAsia"/>
                <w:color w:val="auto"/>
                <w:highlight w:val="none"/>
                <w:lang w:val="en-US" w:eastAsia="zh-CN"/>
              </w:rPr>
              <w:t>0.3</w:t>
            </w:r>
          </w:p>
        </w:tc>
        <w:tc>
          <w:tcPr>
            <w:tcW w:w="1761" w:type="dxa"/>
            <w:shd w:val="clear" w:color="auto" w:fill="auto"/>
            <w:vAlign w:val="center"/>
          </w:tcPr>
          <w:p>
            <w:pPr>
              <w:pStyle w:val="70"/>
              <w:rPr>
                <w:rFonts w:hint="default" w:eastAsia="宋体"/>
                <w:color w:val="auto"/>
                <w:highlight w:val="none"/>
                <w:lang w:val="en-US" w:eastAsia="zh-CN"/>
              </w:rPr>
            </w:pPr>
            <w:r>
              <w:rPr>
                <w:rFonts w:hint="eastAsia"/>
                <w:color w:val="auto"/>
                <w:highlight w:val="none"/>
                <w:lang w:val="en-US" w:eastAsia="zh-CN"/>
              </w:rPr>
              <w:t>-0.15</w:t>
            </w:r>
          </w:p>
        </w:tc>
        <w:tc>
          <w:tcPr>
            <w:tcW w:w="1798" w:type="dxa"/>
            <w:vAlign w:val="center"/>
          </w:tcPr>
          <w:p>
            <w:pPr>
              <w:keepNext w:val="0"/>
              <w:keepLines w:val="0"/>
              <w:widowControl/>
              <w:suppressLineNumbers w:val="0"/>
              <w:jc w:val="center"/>
              <w:textAlignment w:val="center"/>
              <w:rPr>
                <w:rFonts w:hint="default"/>
                <w:color w:val="auto"/>
                <w:highlight w:val="none"/>
                <w:lang w:val="en-US"/>
              </w:rPr>
            </w:pPr>
            <w:r>
              <w:rPr>
                <w:rFonts w:hint="eastAsia" w:ascii="宋体" w:hAnsi="宋体" w:cs="宋体"/>
                <w:i w:val="0"/>
                <w:iCs w:val="0"/>
                <w:color w:val="auto"/>
                <w:kern w:val="0"/>
                <w:sz w:val="21"/>
                <w:szCs w:val="21"/>
                <w:highlight w:val="none"/>
                <w:u w:val="none"/>
                <w:lang w:val="en-US" w:eastAsia="zh-CN" w:bidi="ar"/>
              </w:rPr>
              <w:t>0.85</w:t>
            </w:r>
          </w:p>
        </w:tc>
        <w:tc>
          <w:tcPr>
            <w:tcW w:w="987" w:type="dxa"/>
            <w:shd w:val="clear" w:color="auto" w:fill="auto"/>
            <w:vAlign w:val="center"/>
          </w:tcPr>
          <w:p>
            <w:pPr>
              <w:jc w:val="center"/>
              <w:rPr>
                <w:rFonts w:hint="default" w:ascii="Calibri" w:hAnsi="Calibri" w:eastAsia="宋体" w:cs="Times New Roman"/>
                <w:color w:val="auto"/>
                <w:kern w:val="2"/>
                <w:sz w:val="21"/>
                <w:szCs w:val="22"/>
                <w:highlight w:val="none"/>
                <w:lang w:val="en-US" w:eastAsia="zh-CN" w:bidi="ar-SA"/>
              </w:rPr>
            </w:pPr>
            <w:r>
              <w:rPr>
                <w:rFonts w:hint="eastAsia" w:cs="Times New Roman"/>
                <w:color w:val="auto"/>
                <w:kern w:val="2"/>
                <w:sz w:val="21"/>
                <w:szCs w:val="22"/>
                <w:highlight w:val="none"/>
                <w:lang w:val="en-US" w:eastAsia="zh-CN" w:bidi="ar-SA"/>
              </w:rPr>
              <w:t>+0.15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rFonts w:hint="default"/>
                <w:color w:val="auto"/>
                <w:highlight w:val="none"/>
                <w:lang w:val="en-US" w:eastAsia="zh-CN"/>
              </w:rPr>
            </w:pPr>
            <w:r>
              <w:rPr>
                <w:rFonts w:hint="eastAsia"/>
                <w:color w:val="auto"/>
                <w:highlight w:val="none"/>
                <w:lang w:val="en-US" w:eastAsia="zh-CN"/>
              </w:rPr>
              <w:t>废白砂纸</w:t>
            </w:r>
            <w:r>
              <w:rPr>
                <w:rFonts w:hint="eastAsia"/>
                <w:color w:val="auto"/>
                <w:highlight w:val="none"/>
              </w:rPr>
              <w:t>(t/a)</w:t>
            </w:r>
          </w:p>
        </w:tc>
        <w:tc>
          <w:tcPr>
            <w:tcW w:w="1585"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0.01</w:t>
            </w:r>
          </w:p>
        </w:tc>
        <w:tc>
          <w:tcPr>
            <w:tcW w:w="1276" w:type="dxa"/>
            <w:vAlign w:val="center"/>
          </w:tcPr>
          <w:p>
            <w:pPr>
              <w:jc w:val="center"/>
              <w:rPr>
                <w:rFonts w:hint="default"/>
                <w:color w:val="auto"/>
                <w:highlight w:val="none"/>
                <w:lang w:val="en-US" w:eastAsia="zh-CN"/>
              </w:rPr>
            </w:pPr>
          </w:p>
        </w:tc>
        <w:tc>
          <w:tcPr>
            <w:tcW w:w="1701" w:type="dxa"/>
            <w:shd w:val="clear" w:color="auto" w:fill="auto"/>
            <w:vAlign w:val="center"/>
          </w:tcPr>
          <w:p>
            <w:pPr>
              <w:jc w:val="center"/>
              <w:rPr>
                <w:rFonts w:hint="eastAsia"/>
                <w:color w:val="auto"/>
                <w:highlight w:val="none"/>
                <w:lang w:val="en-US" w:eastAsia="zh-CN"/>
              </w:rPr>
            </w:pPr>
          </w:p>
        </w:tc>
        <w:tc>
          <w:tcPr>
            <w:tcW w:w="1559" w:type="dxa"/>
            <w:shd w:val="clear" w:color="auto" w:fill="auto"/>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761" w:type="dxa"/>
            <w:shd w:val="clear" w:color="auto" w:fill="auto"/>
            <w:vAlign w:val="center"/>
          </w:tcPr>
          <w:p>
            <w:pPr>
              <w:pStyle w:val="70"/>
              <w:rPr>
                <w:rFonts w:hint="default" w:eastAsia="宋体"/>
                <w:color w:val="auto"/>
                <w:highlight w:val="none"/>
                <w:lang w:val="en-US" w:eastAsia="zh-CN"/>
              </w:rPr>
            </w:pPr>
            <w:r>
              <w:rPr>
                <w:rFonts w:hint="eastAsia"/>
                <w:color w:val="auto"/>
                <w:highlight w:val="none"/>
                <w:lang w:val="en-US" w:eastAsia="zh-CN"/>
              </w:rPr>
              <w:t>-0.007</w:t>
            </w:r>
          </w:p>
        </w:tc>
        <w:tc>
          <w:tcPr>
            <w:tcW w:w="1798" w:type="dxa"/>
            <w:vAlign w:val="center"/>
          </w:tcPr>
          <w:p>
            <w:pPr>
              <w:keepNext w:val="0"/>
              <w:keepLines w:val="0"/>
              <w:widowControl/>
              <w:suppressLineNumbers w:val="0"/>
              <w:jc w:val="center"/>
              <w:textAlignment w:val="center"/>
              <w:rPr>
                <w:rFonts w:hint="default"/>
                <w:color w:val="auto"/>
                <w:highlight w:val="none"/>
                <w:lang w:val="en-US"/>
              </w:rPr>
            </w:pPr>
            <w:r>
              <w:rPr>
                <w:rFonts w:hint="eastAsia" w:ascii="宋体" w:hAnsi="宋体" w:eastAsia="宋体" w:cs="宋体"/>
                <w:i w:val="0"/>
                <w:iCs w:val="0"/>
                <w:color w:val="auto"/>
                <w:kern w:val="0"/>
                <w:sz w:val="21"/>
                <w:szCs w:val="21"/>
                <w:highlight w:val="none"/>
                <w:u w:val="none"/>
                <w:lang w:val="en-US" w:eastAsia="zh-CN" w:bidi="ar"/>
              </w:rPr>
              <w:t>0.0</w:t>
            </w:r>
            <w:r>
              <w:rPr>
                <w:rFonts w:hint="eastAsia" w:ascii="宋体" w:hAnsi="宋体" w:cs="宋体"/>
                <w:i w:val="0"/>
                <w:iCs w:val="0"/>
                <w:color w:val="auto"/>
                <w:kern w:val="0"/>
                <w:sz w:val="21"/>
                <w:szCs w:val="21"/>
                <w:highlight w:val="none"/>
                <w:u w:val="none"/>
                <w:lang w:val="en-US" w:eastAsia="zh-CN" w:bidi="ar"/>
              </w:rPr>
              <w:t>13</w:t>
            </w:r>
          </w:p>
        </w:tc>
        <w:tc>
          <w:tcPr>
            <w:tcW w:w="987" w:type="dxa"/>
            <w:shd w:val="clear" w:color="auto" w:fill="auto"/>
            <w:vAlign w:val="center"/>
          </w:tcPr>
          <w:p>
            <w:pPr>
              <w:keepNext w:val="0"/>
              <w:keepLines w:val="0"/>
              <w:widowControl/>
              <w:suppressLineNumbers w:val="0"/>
              <w:jc w:val="center"/>
              <w:textAlignment w:val="center"/>
              <w:rPr>
                <w:rFonts w:hint="default" w:ascii="Calibri" w:hAnsi="Calibri" w:eastAsia="宋体" w:cs="Times New Roman"/>
                <w:color w:val="auto"/>
                <w:kern w:val="2"/>
                <w:sz w:val="21"/>
                <w:szCs w:val="22"/>
                <w:highlight w:val="none"/>
                <w:lang w:val="en-US" w:eastAsia="zh-CN" w:bidi="ar-SA"/>
              </w:rPr>
            </w:pPr>
            <w:r>
              <w:rPr>
                <w:rFonts w:hint="eastAsia"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cs="Times New Roman"/>
                <w:i w:val="0"/>
                <w:iCs w:val="0"/>
                <w:color w:val="auto"/>
                <w:kern w:val="0"/>
                <w:sz w:val="21"/>
                <w:szCs w:val="21"/>
                <w:highlight w:val="none"/>
                <w:u w:val="none"/>
                <w:lang w:val="en-US" w:eastAsia="zh-CN" w:bidi="ar"/>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rFonts w:hint="default"/>
                <w:color w:val="auto"/>
                <w:highlight w:val="none"/>
                <w:lang w:val="en-US" w:eastAsia="zh-CN"/>
              </w:rPr>
            </w:pPr>
            <w:r>
              <w:rPr>
                <w:rFonts w:hint="eastAsia"/>
                <w:color w:val="auto"/>
                <w:highlight w:val="none"/>
                <w:lang w:val="en-US" w:eastAsia="zh-CN"/>
              </w:rPr>
              <w:t>废砂</w:t>
            </w:r>
            <w:r>
              <w:rPr>
                <w:rFonts w:hint="eastAsia"/>
                <w:color w:val="auto"/>
                <w:highlight w:val="none"/>
              </w:rPr>
              <w:t>(t/a)</w:t>
            </w:r>
          </w:p>
        </w:tc>
        <w:tc>
          <w:tcPr>
            <w:tcW w:w="158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cs="Times New Roman"/>
                <w:i w:val="0"/>
                <w:iCs w:val="0"/>
                <w:color w:val="auto"/>
                <w:kern w:val="0"/>
                <w:sz w:val="21"/>
                <w:szCs w:val="21"/>
                <w:highlight w:val="none"/>
                <w:u w:val="none"/>
                <w:lang w:val="en-US" w:eastAsia="zh-CN" w:bidi="ar"/>
              </w:rPr>
              <w:t>20</w:t>
            </w:r>
          </w:p>
        </w:tc>
        <w:tc>
          <w:tcPr>
            <w:tcW w:w="1276" w:type="dxa"/>
            <w:vAlign w:val="center"/>
          </w:tcPr>
          <w:p>
            <w:pPr>
              <w:jc w:val="center"/>
              <w:rPr>
                <w:rFonts w:hint="default"/>
                <w:color w:val="auto"/>
                <w:highlight w:val="none"/>
                <w:lang w:val="en-US" w:eastAsia="zh-CN"/>
              </w:rPr>
            </w:pPr>
          </w:p>
        </w:tc>
        <w:tc>
          <w:tcPr>
            <w:tcW w:w="1701" w:type="dxa"/>
            <w:shd w:val="clear" w:color="auto" w:fill="auto"/>
            <w:vAlign w:val="center"/>
          </w:tcPr>
          <w:p>
            <w:pPr>
              <w:jc w:val="center"/>
              <w:rPr>
                <w:rFonts w:hint="default"/>
                <w:color w:val="auto"/>
                <w:highlight w:val="none"/>
                <w:lang w:val="en-US" w:eastAsia="zh-CN"/>
              </w:rPr>
            </w:pPr>
          </w:p>
        </w:tc>
        <w:tc>
          <w:tcPr>
            <w:tcW w:w="1559" w:type="dxa"/>
            <w:shd w:val="clear" w:color="auto" w:fill="auto"/>
            <w:vAlign w:val="center"/>
          </w:tcPr>
          <w:p>
            <w:pPr>
              <w:keepNext w:val="0"/>
              <w:keepLines w:val="0"/>
              <w:widowControl/>
              <w:suppressLineNumbers w:val="0"/>
              <w:jc w:val="center"/>
              <w:textAlignment w:val="center"/>
              <w:rPr>
                <w:rFonts w:hint="default"/>
                <w:color w:val="auto"/>
                <w:highlight w:val="none"/>
                <w:lang w:val="en-US"/>
              </w:rPr>
            </w:pPr>
            <w:r>
              <w:rPr>
                <w:rFonts w:hint="eastAsia" w:ascii="Times New Roman" w:hAnsi="Times New Roman" w:cs="Times New Roman"/>
                <w:i w:val="0"/>
                <w:iCs w:val="0"/>
                <w:color w:val="auto"/>
                <w:kern w:val="0"/>
                <w:sz w:val="21"/>
                <w:szCs w:val="21"/>
                <w:highlight w:val="none"/>
                <w:u w:val="none"/>
                <w:lang w:val="en-US" w:eastAsia="zh-CN" w:bidi="ar"/>
              </w:rPr>
              <w:t>29.8</w:t>
            </w:r>
          </w:p>
        </w:tc>
        <w:tc>
          <w:tcPr>
            <w:tcW w:w="1761" w:type="dxa"/>
            <w:shd w:val="clear" w:color="auto" w:fill="auto"/>
            <w:vAlign w:val="center"/>
          </w:tcPr>
          <w:p>
            <w:pPr>
              <w:pStyle w:val="70"/>
              <w:rPr>
                <w:rFonts w:hint="default" w:eastAsia="宋体"/>
                <w:color w:val="auto"/>
                <w:highlight w:val="none"/>
                <w:lang w:val="en-US" w:eastAsia="zh-CN"/>
              </w:rPr>
            </w:pPr>
            <w:r>
              <w:rPr>
                <w:rFonts w:hint="eastAsia"/>
                <w:color w:val="auto"/>
                <w:highlight w:val="none"/>
                <w:lang w:val="en-US" w:eastAsia="zh-CN"/>
              </w:rPr>
              <w:t>-14</w:t>
            </w:r>
          </w:p>
        </w:tc>
        <w:tc>
          <w:tcPr>
            <w:tcW w:w="1798" w:type="dxa"/>
            <w:vAlign w:val="center"/>
          </w:tcPr>
          <w:p>
            <w:pPr>
              <w:keepNext w:val="0"/>
              <w:keepLines w:val="0"/>
              <w:widowControl/>
              <w:suppressLineNumbers w:val="0"/>
              <w:jc w:val="center"/>
              <w:textAlignment w:val="center"/>
              <w:rPr>
                <w:rFonts w:hint="default"/>
                <w:color w:val="auto"/>
                <w:highlight w:val="none"/>
                <w:lang w:val="en-US"/>
              </w:rPr>
            </w:pPr>
            <w:r>
              <w:rPr>
                <w:rFonts w:hint="eastAsia" w:ascii="宋体" w:hAnsi="宋体" w:cs="宋体"/>
                <w:i w:val="0"/>
                <w:iCs w:val="0"/>
                <w:color w:val="auto"/>
                <w:kern w:val="0"/>
                <w:sz w:val="21"/>
                <w:szCs w:val="21"/>
                <w:highlight w:val="none"/>
                <w:u w:val="none"/>
                <w:lang w:val="en-US" w:eastAsia="zh-CN" w:bidi="ar"/>
              </w:rPr>
              <w:t>35.8</w:t>
            </w:r>
          </w:p>
        </w:tc>
        <w:tc>
          <w:tcPr>
            <w:tcW w:w="987" w:type="dxa"/>
            <w:shd w:val="clear" w:color="auto" w:fill="auto"/>
            <w:vAlign w:val="center"/>
          </w:tcPr>
          <w:p>
            <w:pPr>
              <w:keepNext w:val="0"/>
              <w:keepLines w:val="0"/>
              <w:widowControl/>
              <w:suppressLineNumbers w:val="0"/>
              <w:jc w:val="center"/>
              <w:textAlignment w:val="center"/>
              <w:rPr>
                <w:rFonts w:hint="eastAsia" w:ascii="Calibri" w:hAnsi="Calibri" w:eastAsia="宋体" w:cs="Times New Roman"/>
                <w:color w:val="auto"/>
                <w:kern w:val="2"/>
                <w:sz w:val="21"/>
                <w:szCs w:val="22"/>
                <w:highlight w:val="none"/>
                <w:lang w:val="en-US" w:eastAsia="zh-CN" w:bidi="ar-SA"/>
              </w:rPr>
            </w:pPr>
            <w:r>
              <w:rPr>
                <w:rFonts w:hint="eastAsia" w:ascii="Times New Roman" w:hAnsi="Times New Roman" w:cs="Times New Roman"/>
                <w:i w:val="0"/>
                <w:iCs w:val="0"/>
                <w:color w:val="auto"/>
                <w:kern w:val="0"/>
                <w:sz w:val="21"/>
                <w:szCs w:val="21"/>
                <w:highlight w:val="none"/>
                <w:u w:val="none"/>
                <w:lang w:val="en-US" w:eastAsia="zh-CN" w:bidi="ar"/>
              </w:rPr>
              <w:t>+15</w:t>
            </w:r>
            <w:r>
              <w:rPr>
                <w:rFonts w:hint="default" w:ascii="Times New Roman" w:hAnsi="Times New Roman" w:eastAsia="宋体" w:cs="Times New Roman"/>
                <w:i w:val="0"/>
                <w:iCs w:val="0"/>
                <w:color w:val="auto"/>
                <w:kern w:val="0"/>
                <w:sz w:val="21"/>
                <w:szCs w:val="21"/>
                <w:highlight w:val="none"/>
                <w:u w:val="none"/>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rFonts w:hint="default"/>
                <w:color w:val="auto"/>
                <w:highlight w:val="none"/>
                <w:lang w:val="en-US" w:eastAsia="zh-CN"/>
              </w:rPr>
            </w:pPr>
            <w:r>
              <w:rPr>
                <w:rFonts w:hint="eastAsia"/>
                <w:color w:val="auto"/>
                <w:highlight w:val="none"/>
                <w:lang w:val="en-US" w:eastAsia="zh-CN"/>
              </w:rPr>
              <w:t>纯水站膜组件</w:t>
            </w:r>
            <w:r>
              <w:rPr>
                <w:rFonts w:hint="eastAsia"/>
                <w:color w:val="auto"/>
                <w:highlight w:val="none"/>
              </w:rPr>
              <w:t>(t/a)</w:t>
            </w:r>
          </w:p>
        </w:tc>
        <w:tc>
          <w:tcPr>
            <w:tcW w:w="1585" w:type="dxa"/>
            <w:shd w:val="clear" w:color="auto" w:fill="auto"/>
            <w:vAlign w:val="center"/>
          </w:tcPr>
          <w:p>
            <w:pPr>
              <w:keepNext w:val="0"/>
              <w:keepLines w:val="0"/>
              <w:widowControl/>
              <w:suppressLineNumbers w:val="0"/>
              <w:jc w:val="center"/>
              <w:textAlignment w:val="center"/>
              <w:rPr>
                <w:rFonts w:hint="eastAsia"/>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0.1</w:t>
            </w:r>
          </w:p>
        </w:tc>
        <w:tc>
          <w:tcPr>
            <w:tcW w:w="1276" w:type="dxa"/>
            <w:vAlign w:val="center"/>
          </w:tcPr>
          <w:p>
            <w:pPr>
              <w:jc w:val="center"/>
              <w:rPr>
                <w:rFonts w:hint="default"/>
                <w:color w:val="auto"/>
                <w:highlight w:val="none"/>
                <w:lang w:val="en-US" w:eastAsia="zh-CN"/>
              </w:rPr>
            </w:pPr>
          </w:p>
        </w:tc>
        <w:tc>
          <w:tcPr>
            <w:tcW w:w="1701" w:type="dxa"/>
            <w:shd w:val="clear" w:color="auto" w:fill="auto"/>
            <w:vAlign w:val="center"/>
          </w:tcPr>
          <w:p>
            <w:pPr>
              <w:jc w:val="center"/>
              <w:rPr>
                <w:rFonts w:hint="default"/>
                <w:color w:val="auto"/>
                <w:highlight w:val="none"/>
                <w:lang w:val="en-US" w:eastAsia="zh-CN"/>
              </w:rPr>
            </w:pPr>
          </w:p>
        </w:tc>
        <w:tc>
          <w:tcPr>
            <w:tcW w:w="1559" w:type="dxa"/>
            <w:shd w:val="clear" w:color="auto" w:fill="auto"/>
            <w:vAlign w:val="center"/>
          </w:tcPr>
          <w:p>
            <w:pPr>
              <w:keepNext w:val="0"/>
              <w:keepLines w:val="0"/>
              <w:widowControl/>
              <w:suppressLineNumbers w:val="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761" w:type="dxa"/>
            <w:shd w:val="clear" w:color="auto" w:fill="auto"/>
            <w:vAlign w:val="center"/>
          </w:tcPr>
          <w:p>
            <w:pPr>
              <w:pStyle w:val="70"/>
              <w:rPr>
                <w:color w:val="auto"/>
                <w:highlight w:val="none"/>
              </w:rPr>
            </w:pPr>
          </w:p>
        </w:tc>
        <w:tc>
          <w:tcPr>
            <w:tcW w:w="1798" w:type="dxa"/>
            <w:vAlign w:val="center"/>
          </w:tcPr>
          <w:p>
            <w:pPr>
              <w:keepNext w:val="0"/>
              <w:keepLines w:val="0"/>
              <w:widowControl/>
              <w:suppressLineNumbers w:val="0"/>
              <w:jc w:val="center"/>
              <w:textAlignment w:val="center"/>
              <w:rPr>
                <w:rFonts w:hint="eastAsia"/>
                <w:color w:val="auto"/>
                <w:highlight w:val="none"/>
              </w:rPr>
            </w:pPr>
            <w:r>
              <w:rPr>
                <w:rFonts w:hint="eastAsia" w:ascii="宋体" w:hAnsi="宋体" w:eastAsia="宋体" w:cs="宋体"/>
                <w:i w:val="0"/>
                <w:iCs w:val="0"/>
                <w:color w:val="auto"/>
                <w:kern w:val="0"/>
                <w:sz w:val="21"/>
                <w:szCs w:val="21"/>
                <w:highlight w:val="none"/>
                <w:u w:val="none"/>
                <w:lang w:val="en-US" w:eastAsia="zh-CN" w:bidi="ar"/>
              </w:rPr>
              <w:t>0.2</w:t>
            </w:r>
          </w:p>
        </w:tc>
        <w:tc>
          <w:tcPr>
            <w:tcW w:w="987" w:type="dxa"/>
            <w:shd w:val="clear" w:color="auto" w:fill="auto"/>
            <w:vAlign w:val="center"/>
          </w:tcPr>
          <w:p>
            <w:pPr>
              <w:keepNext w:val="0"/>
              <w:keepLines w:val="0"/>
              <w:widowControl/>
              <w:suppressLineNumbers w:val="0"/>
              <w:jc w:val="center"/>
              <w:textAlignment w:val="center"/>
              <w:rPr>
                <w:rFonts w:hint="eastAsia" w:ascii="Calibri" w:hAnsi="Calibri" w:eastAsia="宋体" w:cs="Times New Roman"/>
                <w:color w:val="auto"/>
                <w:kern w:val="2"/>
                <w:sz w:val="21"/>
                <w:szCs w:val="22"/>
                <w:highlight w:val="none"/>
                <w:lang w:val="en-US" w:eastAsia="zh-CN" w:bidi="ar-SA"/>
              </w:rPr>
            </w:pPr>
            <w:r>
              <w:rPr>
                <w:rFonts w:hint="eastAsia"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restart"/>
            <w:vAlign w:val="center"/>
          </w:tcPr>
          <w:p>
            <w:pPr>
              <w:pStyle w:val="76"/>
              <w:rPr>
                <w:color w:val="auto"/>
                <w:highlight w:val="none"/>
              </w:rPr>
            </w:pPr>
            <w:r>
              <w:rPr>
                <w:rFonts w:hint="eastAsia"/>
                <w:color w:val="auto"/>
                <w:highlight w:val="none"/>
              </w:rPr>
              <w:t>危险废物</w:t>
            </w:r>
          </w:p>
        </w:tc>
        <w:tc>
          <w:tcPr>
            <w:tcW w:w="1926" w:type="dxa"/>
            <w:vAlign w:val="center"/>
          </w:tcPr>
          <w:p>
            <w:pPr>
              <w:pStyle w:val="70"/>
              <w:rPr>
                <w:color w:val="auto"/>
                <w:highlight w:val="none"/>
              </w:rPr>
            </w:pPr>
            <w:r>
              <w:rPr>
                <w:rFonts w:hint="eastAsia"/>
                <w:color w:val="auto"/>
                <w:highlight w:val="none"/>
              </w:rPr>
              <w:t>废活性炭(t/a)</w:t>
            </w:r>
          </w:p>
        </w:tc>
        <w:tc>
          <w:tcPr>
            <w:tcW w:w="1585" w:type="dxa"/>
            <w:shd w:val="clear" w:color="auto" w:fill="auto"/>
            <w:vAlign w:val="center"/>
          </w:tcPr>
          <w:p>
            <w:pPr>
              <w:pStyle w:val="76"/>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w:t>
            </w:r>
          </w:p>
        </w:tc>
        <w:tc>
          <w:tcPr>
            <w:tcW w:w="1276" w:type="dxa"/>
            <w:vAlign w:val="center"/>
          </w:tcPr>
          <w:p>
            <w:pPr>
              <w:pStyle w:val="76"/>
              <w:rPr>
                <w:color w:val="auto"/>
                <w:highlight w:val="none"/>
              </w:rPr>
            </w:pPr>
          </w:p>
        </w:tc>
        <w:tc>
          <w:tcPr>
            <w:tcW w:w="1701" w:type="dxa"/>
            <w:vAlign w:val="center"/>
          </w:tcPr>
          <w:p>
            <w:pPr>
              <w:pStyle w:val="76"/>
              <w:rPr>
                <w:color w:val="auto"/>
                <w:highlight w:val="none"/>
              </w:rPr>
            </w:pPr>
            <w:r>
              <w:rPr>
                <w:rFonts w:hint="eastAsia"/>
                <w:color w:val="auto"/>
                <w:highlight w:val="none"/>
                <w:lang w:val="en-US" w:eastAsia="zh-CN"/>
              </w:rPr>
              <w:t>3.5</w:t>
            </w:r>
          </w:p>
        </w:tc>
        <w:tc>
          <w:tcPr>
            <w:tcW w:w="1559" w:type="dxa"/>
            <w:shd w:val="clear" w:color="auto" w:fill="auto"/>
            <w:vAlign w:val="center"/>
          </w:tcPr>
          <w:p>
            <w:pPr>
              <w:pStyle w:val="70"/>
              <w:rPr>
                <w:rFonts w:hint="eastAsia" w:eastAsia="宋体"/>
                <w:color w:val="auto"/>
                <w:highlight w:val="none"/>
                <w:lang w:val="en-US" w:eastAsia="zh-CN"/>
              </w:rPr>
            </w:pPr>
            <w:r>
              <w:rPr>
                <w:rFonts w:hint="eastAsia"/>
                <w:color w:val="auto"/>
                <w:highlight w:val="none"/>
                <w:lang w:val="en-US" w:eastAsia="zh-CN"/>
              </w:rPr>
              <w:t>0</w:t>
            </w:r>
          </w:p>
        </w:tc>
        <w:tc>
          <w:tcPr>
            <w:tcW w:w="1761" w:type="dxa"/>
            <w:shd w:val="clear" w:color="auto" w:fill="auto"/>
            <w:vAlign w:val="center"/>
          </w:tcPr>
          <w:p>
            <w:pPr>
              <w:pStyle w:val="70"/>
              <w:rPr>
                <w:color w:val="auto"/>
                <w:highlight w:val="none"/>
              </w:rPr>
            </w:pPr>
          </w:p>
        </w:tc>
        <w:tc>
          <w:tcPr>
            <w:tcW w:w="1798" w:type="dxa"/>
            <w:vAlign w:val="center"/>
          </w:tcPr>
          <w:p>
            <w:pPr>
              <w:pStyle w:val="76"/>
              <w:rPr>
                <w:rFonts w:hint="default" w:eastAsia="宋体"/>
                <w:color w:val="auto"/>
                <w:highlight w:val="none"/>
                <w:lang w:val="en-US" w:eastAsia="zh-CN"/>
              </w:rPr>
            </w:pPr>
            <w:r>
              <w:rPr>
                <w:rFonts w:hint="eastAsia"/>
                <w:color w:val="auto"/>
                <w:highlight w:val="none"/>
                <w:lang w:val="en-US" w:eastAsia="zh-CN"/>
              </w:rPr>
              <w:t>3.5</w:t>
            </w:r>
          </w:p>
        </w:tc>
        <w:tc>
          <w:tcPr>
            <w:tcW w:w="987" w:type="dxa"/>
            <w:vAlign w:val="center"/>
          </w:tcPr>
          <w:p>
            <w:pPr>
              <w:pStyle w:val="76"/>
              <w:rPr>
                <w:rFonts w:hint="default" w:eastAsia="宋体"/>
                <w:color w:val="auto"/>
                <w:highlight w:val="none"/>
                <w:lang w:val="en-US" w:eastAsia="zh-CN"/>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废切削液(t/a)</w:t>
            </w:r>
          </w:p>
        </w:tc>
        <w:tc>
          <w:tcPr>
            <w:tcW w:w="1585" w:type="dxa"/>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3</w:t>
            </w:r>
          </w:p>
        </w:tc>
        <w:tc>
          <w:tcPr>
            <w:tcW w:w="1276" w:type="dxa"/>
            <w:vAlign w:val="center"/>
          </w:tcPr>
          <w:p>
            <w:pPr>
              <w:pStyle w:val="76"/>
              <w:rPr>
                <w:rFonts w:hint="default" w:eastAsia="宋体"/>
                <w:color w:val="auto"/>
                <w:highlight w:val="none"/>
                <w:lang w:val="en-US" w:eastAsia="zh-CN"/>
              </w:rPr>
            </w:pPr>
          </w:p>
        </w:tc>
        <w:tc>
          <w:tcPr>
            <w:tcW w:w="1701" w:type="dxa"/>
            <w:vAlign w:val="center"/>
          </w:tcPr>
          <w:p>
            <w:pPr>
              <w:pStyle w:val="76"/>
              <w:rPr>
                <w:rFonts w:hint="default" w:eastAsia="宋体"/>
                <w:color w:val="auto"/>
                <w:highlight w:val="none"/>
                <w:lang w:val="en-US" w:eastAsia="zh-CN"/>
              </w:rPr>
            </w:pPr>
            <w:r>
              <w:rPr>
                <w:rFonts w:hint="eastAsia"/>
                <w:color w:val="auto"/>
                <w:highlight w:val="none"/>
                <w:lang w:val="en-US" w:eastAsia="zh-CN"/>
              </w:rPr>
              <w:t>1.25</w:t>
            </w:r>
          </w:p>
        </w:tc>
        <w:tc>
          <w:tcPr>
            <w:tcW w:w="1559" w:type="dxa"/>
            <w:shd w:val="clear" w:color="auto" w:fill="auto"/>
            <w:vAlign w:val="center"/>
          </w:tcPr>
          <w:p>
            <w:pPr>
              <w:pStyle w:val="76"/>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5</w:t>
            </w:r>
          </w:p>
        </w:tc>
        <w:tc>
          <w:tcPr>
            <w:tcW w:w="1761" w:type="dxa"/>
            <w:shd w:val="clear" w:color="auto" w:fill="auto"/>
            <w:vAlign w:val="center"/>
          </w:tcPr>
          <w:p>
            <w:pPr>
              <w:pStyle w:val="70"/>
              <w:rPr>
                <w:rFonts w:hint="default" w:eastAsia="宋体"/>
                <w:color w:val="auto"/>
                <w:highlight w:val="none"/>
                <w:lang w:val="en-US" w:eastAsia="zh-CN"/>
              </w:rPr>
            </w:pPr>
            <w:r>
              <w:rPr>
                <w:rFonts w:hint="eastAsia"/>
                <w:color w:val="auto"/>
                <w:highlight w:val="none"/>
                <w:lang w:val="en-US" w:eastAsia="zh-CN"/>
              </w:rPr>
              <w:t>-2</w:t>
            </w:r>
          </w:p>
        </w:tc>
        <w:tc>
          <w:tcPr>
            <w:tcW w:w="1798" w:type="dxa"/>
            <w:vAlign w:val="center"/>
          </w:tcPr>
          <w:p>
            <w:pPr>
              <w:pStyle w:val="76"/>
              <w:rPr>
                <w:rFonts w:hint="default" w:eastAsia="宋体"/>
                <w:color w:val="auto"/>
                <w:highlight w:val="none"/>
                <w:lang w:val="en-US" w:eastAsia="zh-CN"/>
              </w:rPr>
            </w:pPr>
            <w:r>
              <w:rPr>
                <w:rFonts w:hint="eastAsia"/>
                <w:color w:val="auto"/>
                <w:highlight w:val="none"/>
                <w:lang w:val="en-US" w:eastAsia="zh-CN"/>
              </w:rPr>
              <w:t>7.25</w:t>
            </w:r>
          </w:p>
        </w:tc>
        <w:tc>
          <w:tcPr>
            <w:tcW w:w="987" w:type="dxa"/>
            <w:vAlign w:val="center"/>
          </w:tcPr>
          <w:p>
            <w:pPr>
              <w:pStyle w:val="76"/>
              <w:rPr>
                <w:color w:val="auto"/>
                <w:highlight w:val="none"/>
              </w:rPr>
            </w:pPr>
            <w:r>
              <w:rPr>
                <w:rFonts w:hint="eastAsia"/>
                <w:color w:val="auto"/>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废</w:t>
            </w:r>
            <w:r>
              <w:rPr>
                <w:rFonts w:hint="eastAsia"/>
                <w:color w:val="auto"/>
                <w:highlight w:val="none"/>
                <w:lang w:val="en-US" w:eastAsia="zh-CN"/>
              </w:rPr>
              <w:t>矿物</w:t>
            </w:r>
            <w:r>
              <w:rPr>
                <w:rFonts w:hint="eastAsia"/>
                <w:color w:val="auto"/>
                <w:highlight w:val="none"/>
              </w:rPr>
              <w:t>油(t/a)</w:t>
            </w:r>
          </w:p>
        </w:tc>
        <w:tc>
          <w:tcPr>
            <w:tcW w:w="1585" w:type="dxa"/>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1.39</w:t>
            </w:r>
          </w:p>
        </w:tc>
        <w:tc>
          <w:tcPr>
            <w:tcW w:w="1276" w:type="dxa"/>
            <w:vAlign w:val="center"/>
          </w:tcPr>
          <w:p>
            <w:pPr>
              <w:pStyle w:val="76"/>
              <w:rPr>
                <w:color w:val="auto"/>
                <w:highlight w:val="none"/>
              </w:rPr>
            </w:pPr>
          </w:p>
        </w:tc>
        <w:tc>
          <w:tcPr>
            <w:tcW w:w="1701" w:type="dxa"/>
            <w:vAlign w:val="center"/>
          </w:tcPr>
          <w:p>
            <w:pPr>
              <w:pStyle w:val="76"/>
              <w:rPr>
                <w:rFonts w:hint="default" w:eastAsia="宋体"/>
                <w:color w:val="auto"/>
                <w:highlight w:val="none"/>
                <w:lang w:val="en-US" w:eastAsia="zh-CN"/>
              </w:rPr>
            </w:pPr>
            <w:r>
              <w:rPr>
                <w:rFonts w:hint="eastAsia"/>
                <w:color w:val="auto"/>
                <w:highlight w:val="none"/>
                <w:lang w:val="en-US" w:eastAsia="zh-CN"/>
              </w:rPr>
              <w:t>0</w:t>
            </w:r>
          </w:p>
        </w:tc>
        <w:tc>
          <w:tcPr>
            <w:tcW w:w="1559" w:type="dxa"/>
            <w:shd w:val="clear" w:color="auto" w:fill="auto"/>
            <w:vAlign w:val="center"/>
          </w:tcPr>
          <w:p>
            <w:pPr>
              <w:pStyle w:val="76"/>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1</w:t>
            </w:r>
          </w:p>
        </w:tc>
        <w:tc>
          <w:tcPr>
            <w:tcW w:w="1761" w:type="dxa"/>
            <w:shd w:val="clear" w:color="auto" w:fill="auto"/>
            <w:vAlign w:val="center"/>
          </w:tcPr>
          <w:p>
            <w:pPr>
              <w:pStyle w:val="70"/>
              <w:rPr>
                <w:color w:val="auto"/>
                <w:highlight w:val="none"/>
              </w:rPr>
            </w:pPr>
          </w:p>
        </w:tc>
        <w:tc>
          <w:tcPr>
            <w:tcW w:w="1798" w:type="dxa"/>
            <w:vAlign w:val="center"/>
          </w:tcPr>
          <w:p>
            <w:pPr>
              <w:pStyle w:val="76"/>
              <w:rPr>
                <w:rFonts w:hint="default" w:eastAsia="宋体"/>
                <w:color w:val="auto"/>
                <w:highlight w:val="none"/>
                <w:lang w:val="en-US" w:eastAsia="zh-CN"/>
              </w:rPr>
            </w:pPr>
            <w:r>
              <w:rPr>
                <w:rFonts w:hint="eastAsia"/>
                <w:color w:val="auto"/>
                <w:highlight w:val="none"/>
                <w:lang w:val="en-US" w:eastAsia="zh-CN"/>
              </w:rPr>
              <w:t>2.39</w:t>
            </w:r>
          </w:p>
        </w:tc>
        <w:tc>
          <w:tcPr>
            <w:tcW w:w="987" w:type="dxa"/>
            <w:vAlign w:val="center"/>
          </w:tcPr>
          <w:p>
            <w:pPr>
              <w:pStyle w:val="76"/>
              <w:rPr>
                <w:rFonts w:hint="eastAsia" w:eastAsia="宋体"/>
                <w:color w:val="auto"/>
                <w:highlight w:val="none"/>
                <w:lang w:val="en-US" w:eastAsia="zh-CN"/>
              </w:rPr>
            </w:pPr>
            <w:r>
              <w:rPr>
                <w:rFonts w:hint="eastAsia"/>
                <w:color w:val="auto"/>
                <w:highlight w:val="none"/>
              </w:rPr>
              <w:t>+</w:t>
            </w:r>
            <w:r>
              <w:rPr>
                <w:rFonts w:hint="eastAsia"/>
                <w:color w:val="auto"/>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rPr>
              <w:t>污水处理</w:t>
            </w:r>
            <w:r>
              <w:rPr>
                <w:rFonts w:hint="eastAsia"/>
                <w:color w:val="auto"/>
                <w:highlight w:val="none"/>
                <w:lang w:val="en-US" w:eastAsia="zh-CN"/>
              </w:rPr>
              <w:t>站</w:t>
            </w:r>
            <w:r>
              <w:rPr>
                <w:rFonts w:hint="eastAsia"/>
                <w:color w:val="auto"/>
                <w:highlight w:val="none"/>
              </w:rPr>
              <w:t>污泥(t/a)</w:t>
            </w:r>
          </w:p>
        </w:tc>
        <w:tc>
          <w:tcPr>
            <w:tcW w:w="1585" w:type="dxa"/>
            <w:shd w:val="clear" w:color="auto" w:fill="auto"/>
            <w:vAlign w:val="center"/>
          </w:tcPr>
          <w:p>
            <w:pPr>
              <w:pStyle w:val="70"/>
              <w:rPr>
                <w:rFonts w:hint="default" w:ascii="Times New Roman" w:hAnsi="Times New Roman" w:eastAsia="宋体" w:cs="Times New Roman"/>
                <w:snapToGrid w:val="0"/>
                <w:color w:val="auto"/>
                <w:kern w:val="2"/>
                <w:sz w:val="21"/>
                <w:szCs w:val="22"/>
                <w:highlight w:val="none"/>
                <w:lang w:val="en-US" w:eastAsia="zh-CN" w:bidi="ar-SA"/>
              </w:rPr>
            </w:pPr>
            <w:r>
              <w:rPr>
                <w:rFonts w:hint="eastAsia"/>
                <w:color w:val="auto"/>
                <w:highlight w:val="none"/>
                <w:lang w:val="en-US" w:eastAsia="zh-CN"/>
              </w:rPr>
              <w:t>0.1</w:t>
            </w:r>
          </w:p>
        </w:tc>
        <w:tc>
          <w:tcPr>
            <w:tcW w:w="1276" w:type="dxa"/>
            <w:shd w:val="clear" w:color="auto" w:fill="auto"/>
            <w:vAlign w:val="center"/>
          </w:tcPr>
          <w:p>
            <w:pPr>
              <w:pStyle w:val="76"/>
              <w:rPr>
                <w:rFonts w:ascii="Times New Roman" w:hAnsi="Times New Roman" w:eastAsia="宋体" w:cs="Times New Roman"/>
                <w:snapToGrid w:val="0"/>
                <w:color w:val="auto"/>
                <w:kern w:val="2"/>
                <w:sz w:val="21"/>
                <w:szCs w:val="21"/>
                <w:highlight w:val="none"/>
                <w:lang w:val="en-US" w:eastAsia="zh-CN" w:bidi="ar-SA"/>
              </w:rPr>
            </w:pPr>
          </w:p>
        </w:tc>
        <w:tc>
          <w:tcPr>
            <w:tcW w:w="1701" w:type="dxa"/>
            <w:shd w:val="clear" w:color="auto" w:fill="auto"/>
            <w:vAlign w:val="center"/>
          </w:tcPr>
          <w:p>
            <w:pPr>
              <w:pStyle w:val="76"/>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0.1</w:t>
            </w:r>
          </w:p>
        </w:tc>
        <w:tc>
          <w:tcPr>
            <w:tcW w:w="1559" w:type="dxa"/>
            <w:shd w:val="clear" w:color="auto" w:fill="auto"/>
            <w:vAlign w:val="center"/>
          </w:tcPr>
          <w:p>
            <w:pPr>
              <w:pStyle w:val="76"/>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1761" w:type="dxa"/>
            <w:shd w:val="clear" w:color="auto" w:fill="auto"/>
            <w:vAlign w:val="center"/>
          </w:tcPr>
          <w:p>
            <w:pPr>
              <w:pStyle w:val="70"/>
              <w:rPr>
                <w:rFonts w:ascii="Times New Roman" w:hAnsi="Times New Roman" w:eastAsia="宋体" w:cs="Times New Roman"/>
                <w:snapToGrid w:val="0"/>
                <w:color w:val="auto"/>
                <w:kern w:val="2"/>
                <w:sz w:val="21"/>
                <w:szCs w:val="22"/>
                <w:highlight w:val="none"/>
                <w:lang w:val="en-US" w:eastAsia="zh-CN" w:bidi="ar-SA"/>
              </w:rPr>
            </w:pPr>
          </w:p>
        </w:tc>
        <w:tc>
          <w:tcPr>
            <w:tcW w:w="1798" w:type="dxa"/>
            <w:shd w:val="clear" w:color="auto" w:fill="auto"/>
            <w:vAlign w:val="center"/>
          </w:tcPr>
          <w:p>
            <w:pPr>
              <w:pStyle w:val="76"/>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2.2</w:t>
            </w:r>
          </w:p>
        </w:tc>
        <w:tc>
          <w:tcPr>
            <w:tcW w:w="987" w:type="dxa"/>
            <w:vAlign w:val="center"/>
          </w:tcPr>
          <w:p>
            <w:pPr>
              <w:pStyle w:val="76"/>
              <w:rPr>
                <w:rFonts w:hint="default" w:eastAsia="宋体"/>
                <w:color w:val="auto"/>
                <w:highlight w:val="none"/>
                <w:lang w:val="en-US" w:eastAsia="zh-CN"/>
              </w:rPr>
            </w:pPr>
            <w:r>
              <w:rPr>
                <w:rFonts w:hint="eastAsia"/>
                <w:color w:val="auto"/>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color w:val="auto"/>
                <w:highlight w:val="none"/>
              </w:rPr>
            </w:pPr>
            <w:r>
              <w:rPr>
                <w:rFonts w:hint="eastAsia"/>
                <w:color w:val="auto"/>
                <w:highlight w:val="none"/>
              </w:rPr>
              <w:t>实验室废液(t/a)</w:t>
            </w:r>
          </w:p>
        </w:tc>
        <w:tc>
          <w:tcPr>
            <w:tcW w:w="1585" w:type="dxa"/>
            <w:vAlign w:val="center"/>
          </w:tcPr>
          <w:p>
            <w:pPr>
              <w:pStyle w:val="70"/>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57</w:t>
            </w:r>
          </w:p>
        </w:tc>
        <w:tc>
          <w:tcPr>
            <w:tcW w:w="1276" w:type="dxa"/>
            <w:vAlign w:val="center"/>
          </w:tcPr>
          <w:p>
            <w:pPr>
              <w:pStyle w:val="76"/>
              <w:rPr>
                <w:rFonts w:hint="default" w:eastAsia="宋体"/>
                <w:color w:val="auto"/>
                <w:highlight w:val="none"/>
                <w:lang w:val="en-US" w:eastAsia="zh-CN"/>
              </w:rPr>
            </w:pPr>
          </w:p>
        </w:tc>
        <w:tc>
          <w:tcPr>
            <w:tcW w:w="1701" w:type="dxa"/>
            <w:vAlign w:val="center"/>
          </w:tcPr>
          <w:p>
            <w:pPr>
              <w:pStyle w:val="76"/>
              <w:rPr>
                <w:rFonts w:hint="default"/>
                <w:color w:val="auto"/>
                <w:highlight w:val="none"/>
                <w:lang w:val="en-US"/>
              </w:rPr>
            </w:pPr>
            <w:r>
              <w:rPr>
                <w:rFonts w:hint="eastAsia"/>
                <w:color w:val="auto"/>
                <w:highlight w:val="none"/>
                <w:lang w:val="en-US" w:eastAsia="zh-CN"/>
              </w:rPr>
              <w:t>0.0328</w:t>
            </w:r>
          </w:p>
        </w:tc>
        <w:tc>
          <w:tcPr>
            <w:tcW w:w="1559" w:type="dxa"/>
            <w:shd w:val="clear" w:color="auto" w:fill="auto"/>
            <w:vAlign w:val="center"/>
          </w:tcPr>
          <w:p>
            <w:pPr>
              <w:pStyle w:val="70"/>
              <w:rPr>
                <w:rFonts w:hint="eastAsia" w:eastAsia="宋体"/>
                <w:color w:val="auto"/>
                <w:highlight w:val="none"/>
                <w:lang w:val="en-US" w:eastAsia="zh-CN"/>
              </w:rPr>
            </w:pPr>
            <w:r>
              <w:rPr>
                <w:rFonts w:hint="eastAsia"/>
                <w:color w:val="auto"/>
                <w:highlight w:val="none"/>
                <w:lang w:val="en-US" w:eastAsia="zh-CN"/>
              </w:rPr>
              <w:t>0</w:t>
            </w:r>
          </w:p>
        </w:tc>
        <w:tc>
          <w:tcPr>
            <w:tcW w:w="1761" w:type="dxa"/>
            <w:shd w:val="clear" w:color="auto" w:fill="auto"/>
            <w:vAlign w:val="center"/>
          </w:tcPr>
          <w:p>
            <w:pPr>
              <w:pStyle w:val="70"/>
              <w:rPr>
                <w:color w:val="auto"/>
                <w:highlight w:val="none"/>
              </w:rPr>
            </w:pPr>
          </w:p>
        </w:tc>
        <w:tc>
          <w:tcPr>
            <w:tcW w:w="1798" w:type="dxa"/>
            <w:vAlign w:val="center"/>
          </w:tcPr>
          <w:p>
            <w:pPr>
              <w:pStyle w:val="76"/>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6028</w:t>
            </w:r>
          </w:p>
        </w:tc>
        <w:tc>
          <w:tcPr>
            <w:tcW w:w="987" w:type="dxa"/>
            <w:vAlign w:val="center"/>
          </w:tcPr>
          <w:p>
            <w:pPr>
              <w:pStyle w:val="76"/>
              <w:rPr>
                <w:color w:val="auto"/>
                <w:highlight w:val="none"/>
              </w:rPr>
            </w:pPr>
            <w:r>
              <w:rPr>
                <w:rFonts w:hint="eastAsia"/>
                <w:color w:val="auto"/>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rFonts w:hint="default" w:eastAsia="宋体"/>
                <w:color w:val="auto"/>
                <w:highlight w:val="none"/>
                <w:lang w:val="en-US" w:eastAsia="zh-CN"/>
              </w:rPr>
            </w:pPr>
            <w:r>
              <w:rPr>
                <w:rFonts w:hint="eastAsia"/>
                <w:color w:val="auto"/>
                <w:highlight w:val="none"/>
                <w:lang w:val="en-US" w:eastAsia="zh-CN"/>
              </w:rPr>
              <w:t>废硝酸瓶（t/a）</w:t>
            </w:r>
          </w:p>
        </w:tc>
        <w:tc>
          <w:tcPr>
            <w:tcW w:w="1585" w:type="dxa"/>
            <w:vAlign w:val="center"/>
          </w:tcPr>
          <w:p>
            <w:pPr>
              <w:pStyle w:val="70"/>
              <w:rPr>
                <w:rFonts w:hint="default" w:eastAsia="宋体"/>
                <w:color w:val="auto"/>
                <w:highlight w:val="none"/>
                <w:lang w:val="en-US" w:eastAsia="zh-CN"/>
              </w:rPr>
            </w:pPr>
            <w:r>
              <w:rPr>
                <w:rFonts w:hint="eastAsia"/>
                <w:color w:val="auto"/>
                <w:highlight w:val="none"/>
                <w:lang w:val="en-US" w:eastAsia="zh-CN"/>
              </w:rPr>
              <w:t>0</w:t>
            </w:r>
          </w:p>
        </w:tc>
        <w:tc>
          <w:tcPr>
            <w:tcW w:w="1276" w:type="dxa"/>
            <w:vAlign w:val="center"/>
          </w:tcPr>
          <w:p>
            <w:pPr>
              <w:pStyle w:val="76"/>
              <w:rPr>
                <w:rFonts w:hint="eastAsia"/>
                <w:color w:val="auto"/>
                <w:highlight w:val="none"/>
                <w:lang w:val="en-US" w:eastAsia="zh-CN"/>
              </w:rPr>
            </w:pPr>
          </w:p>
        </w:tc>
        <w:tc>
          <w:tcPr>
            <w:tcW w:w="1701" w:type="dxa"/>
            <w:vAlign w:val="center"/>
          </w:tcPr>
          <w:p>
            <w:pPr>
              <w:pStyle w:val="76"/>
              <w:rPr>
                <w:color w:val="auto"/>
                <w:highlight w:val="none"/>
              </w:rPr>
            </w:pPr>
            <w:r>
              <w:rPr>
                <w:rFonts w:hint="eastAsia"/>
                <w:color w:val="auto"/>
                <w:highlight w:val="none"/>
                <w:lang w:val="en-US" w:eastAsia="zh-CN"/>
              </w:rPr>
              <w:t>0.015</w:t>
            </w:r>
          </w:p>
        </w:tc>
        <w:tc>
          <w:tcPr>
            <w:tcW w:w="1559" w:type="dxa"/>
            <w:shd w:val="clear" w:color="auto" w:fill="auto"/>
            <w:vAlign w:val="center"/>
          </w:tcPr>
          <w:p>
            <w:pPr>
              <w:pStyle w:val="70"/>
              <w:rPr>
                <w:rFonts w:hint="eastAsia" w:eastAsia="宋体"/>
                <w:color w:val="auto"/>
                <w:highlight w:val="none"/>
                <w:lang w:val="en-US" w:eastAsia="zh-CN"/>
              </w:rPr>
            </w:pPr>
            <w:r>
              <w:rPr>
                <w:rFonts w:hint="eastAsia"/>
                <w:color w:val="auto"/>
                <w:highlight w:val="none"/>
                <w:lang w:val="en-US" w:eastAsia="zh-CN"/>
              </w:rPr>
              <w:t>0</w:t>
            </w:r>
          </w:p>
        </w:tc>
        <w:tc>
          <w:tcPr>
            <w:tcW w:w="1761" w:type="dxa"/>
            <w:shd w:val="clear" w:color="auto" w:fill="auto"/>
            <w:vAlign w:val="center"/>
          </w:tcPr>
          <w:p>
            <w:pPr>
              <w:pStyle w:val="70"/>
              <w:rPr>
                <w:color w:val="auto"/>
                <w:highlight w:val="none"/>
              </w:rPr>
            </w:pPr>
          </w:p>
        </w:tc>
        <w:tc>
          <w:tcPr>
            <w:tcW w:w="1798" w:type="dxa"/>
            <w:vAlign w:val="center"/>
          </w:tcPr>
          <w:p>
            <w:pPr>
              <w:pStyle w:val="76"/>
              <w:rPr>
                <w:rFonts w:hint="default" w:eastAsia="宋体"/>
                <w:color w:val="auto"/>
                <w:highlight w:val="none"/>
                <w:lang w:val="en-US" w:eastAsia="zh-CN"/>
              </w:rPr>
            </w:pPr>
            <w:r>
              <w:rPr>
                <w:rFonts w:hint="eastAsia"/>
                <w:color w:val="auto"/>
                <w:highlight w:val="none"/>
                <w:lang w:val="en-US" w:eastAsia="zh-CN"/>
              </w:rPr>
              <w:t>0.015</w:t>
            </w:r>
          </w:p>
        </w:tc>
        <w:tc>
          <w:tcPr>
            <w:tcW w:w="987" w:type="dxa"/>
            <w:vAlign w:val="center"/>
          </w:tcPr>
          <w:p>
            <w:pPr>
              <w:pStyle w:val="76"/>
              <w:rPr>
                <w:rFonts w:hint="default" w:eastAsia="宋体"/>
                <w:color w:val="auto"/>
                <w:highlight w:val="none"/>
                <w:lang w:val="en-US" w:eastAsia="zh-CN"/>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5" w:type="dxa"/>
            <w:vMerge w:val="continue"/>
            <w:vAlign w:val="center"/>
          </w:tcPr>
          <w:p>
            <w:pPr>
              <w:pStyle w:val="76"/>
              <w:rPr>
                <w:color w:val="auto"/>
                <w:highlight w:val="none"/>
              </w:rPr>
            </w:pPr>
          </w:p>
        </w:tc>
        <w:tc>
          <w:tcPr>
            <w:tcW w:w="1926" w:type="dxa"/>
            <w:vAlign w:val="center"/>
          </w:tcPr>
          <w:p>
            <w:pPr>
              <w:pStyle w:val="70"/>
              <w:rPr>
                <w:rFonts w:hint="default"/>
                <w:color w:val="auto"/>
                <w:highlight w:val="none"/>
                <w:lang w:val="en-US" w:eastAsia="zh-CN"/>
              </w:rPr>
            </w:pPr>
            <w:r>
              <w:rPr>
                <w:rFonts w:hint="eastAsia"/>
                <w:color w:val="auto"/>
                <w:highlight w:val="none"/>
                <w:lang w:val="en-US" w:eastAsia="zh-CN"/>
              </w:rPr>
              <w:t>废包装桶（t/a）</w:t>
            </w:r>
          </w:p>
        </w:tc>
        <w:tc>
          <w:tcPr>
            <w:tcW w:w="1585" w:type="dxa"/>
            <w:vAlign w:val="center"/>
          </w:tcPr>
          <w:p>
            <w:pPr>
              <w:pStyle w:val="70"/>
              <w:rPr>
                <w:rFonts w:hint="eastAsia"/>
                <w:color w:val="auto"/>
                <w:highlight w:val="none"/>
                <w:lang w:val="en-US" w:eastAsia="zh-CN"/>
              </w:rPr>
            </w:pPr>
          </w:p>
        </w:tc>
        <w:tc>
          <w:tcPr>
            <w:tcW w:w="1276" w:type="dxa"/>
            <w:vAlign w:val="center"/>
          </w:tcPr>
          <w:p>
            <w:pPr>
              <w:pStyle w:val="76"/>
              <w:rPr>
                <w:rFonts w:hint="eastAsia"/>
                <w:color w:val="auto"/>
                <w:highlight w:val="none"/>
                <w:lang w:val="en-US" w:eastAsia="zh-CN"/>
              </w:rPr>
            </w:pPr>
          </w:p>
        </w:tc>
        <w:tc>
          <w:tcPr>
            <w:tcW w:w="1701" w:type="dxa"/>
            <w:vAlign w:val="center"/>
          </w:tcPr>
          <w:p>
            <w:pPr>
              <w:pStyle w:val="76"/>
              <w:rPr>
                <w:rFonts w:hint="default"/>
                <w:color w:val="auto"/>
                <w:highlight w:val="none"/>
                <w:lang w:val="en-US" w:eastAsia="zh-CN"/>
              </w:rPr>
            </w:pPr>
          </w:p>
        </w:tc>
        <w:tc>
          <w:tcPr>
            <w:tcW w:w="1559" w:type="dxa"/>
            <w:shd w:val="clear" w:color="auto" w:fill="auto"/>
            <w:vAlign w:val="center"/>
          </w:tcPr>
          <w:p>
            <w:pPr>
              <w:pStyle w:val="70"/>
              <w:rPr>
                <w:rFonts w:hint="eastAsia"/>
                <w:color w:val="auto"/>
                <w:highlight w:val="none"/>
                <w:lang w:val="en-US" w:eastAsia="zh-CN"/>
              </w:rPr>
            </w:pPr>
            <w:r>
              <w:rPr>
                <w:rFonts w:hint="eastAsia"/>
                <w:color w:val="auto"/>
                <w:highlight w:val="none"/>
                <w:lang w:val="en-US" w:eastAsia="zh-CN"/>
              </w:rPr>
              <w:t>1.5</w:t>
            </w:r>
          </w:p>
        </w:tc>
        <w:tc>
          <w:tcPr>
            <w:tcW w:w="1761" w:type="dxa"/>
            <w:shd w:val="clear" w:color="auto" w:fill="auto"/>
            <w:vAlign w:val="center"/>
          </w:tcPr>
          <w:p>
            <w:pPr>
              <w:pStyle w:val="70"/>
              <w:rPr>
                <w:color w:val="auto"/>
                <w:highlight w:val="none"/>
              </w:rPr>
            </w:pPr>
          </w:p>
        </w:tc>
        <w:tc>
          <w:tcPr>
            <w:tcW w:w="1798" w:type="dxa"/>
            <w:vAlign w:val="center"/>
          </w:tcPr>
          <w:p>
            <w:pPr>
              <w:pStyle w:val="76"/>
              <w:rPr>
                <w:rFonts w:hint="default"/>
                <w:color w:val="auto"/>
                <w:highlight w:val="none"/>
                <w:lang w:val="en-US" w:eastAsia="zh-CN"/>
              </w:rPr>
            </w:pPr>
            <w:r>
              <w:rPr>
                <w:rFonts w:hint="eastAsia"/>
                <w:color w:val="auto"/>
                <w:highlight w:val="none"/>
                <w:lang w:val="en-US" w:eastAsia="zh-CN"/>
              </w:rPr>
              <w:t>1.5</w:t>
            </w:r>
          </w:p>
        </w:tc>
        <w:tc>
          <w:tcPr>
            <w:tcW w:w="987" w:type="dxa"/>
            <w:vAlign w:val="center"/>
          </w:tcPr>
          <w:p>
            <w:pPr>
              <w:pStyle w:val="76"/>
              <w:rPr>
                <w:rFonts w:hint="default"/>
                <w:color w:val="auto"/>
                <w:highlight w:val="none"/>
                <w:lang w:val="en-US" w:eastAsia="zh-CN"/>
              </w:rPr>
            </w:pPr>
            <w:r>
              <w:rPr>
                <w:rFonts w:hint="eastAsia"/>
                <w:color w:val="auto"/>
                <w:highlight w:val="none"/>
                <w:lang w:val="en-US" w:eastAsia="zh-CN"/>
              </w:rPr>
              <w:t>+1.5</w:t>
            </w:r>
          </w:p>
        </w:tc>
      </w:tr>
    </w:tbl>
    <w:p>
      <w:pPr>
        <w:pStyle w:val="45"/>
        <w:spacing w:before="192" w:beforeLines="80" w:after="24"/>
        <w:jc w:val="left"/>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p>
    <w:p>
      <w:pPr>
        <w:rPr>
          <w:rFonts w:hAnsi="宋体"/>
          <w:snapToGrid w:val="0"/>
          <w:color w:val="auto"/>
          <w:spacing w:val="-6"/>
          <w:kern w:val="21"/>
          <w:szCs w:val="21"/>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bookmarkEnd w:id="2"/>
    <w:p>
      <w:pPr>
        <w:rPr>
          <w:rFonts w:hint="default"/>
          <w:b w:val="0"/>
          <w:bCs/>
          <w:color w:val="auto"/>
          <w:lang w:val="en-US" w:eastAsia="zh-CN"/>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AFF" w:usb1="C0007841" w:usb2="00000009" w:usb3="00000000" w:csb0="400001FF" w:csb1="FFFF0000"/>
  </w:font>
  <w:font w:name="宋体">
    <w:panose1 w:val="02010600030101010101"/>
    <w:charset w:val="4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CE9F04E-7D16-4B7A-A812-9346D24B4968}"/>
  </w:font>
  <w:font w:name="黑体">
    <w:panose1 w:val="02010609060101010101"/>
    <w:charset w:val="86"/>
    <w:family w:val="auto"/>
    <w:pitch w:val="default"/>
    <w:sig w:usb0="800002BF" w:usb1="38CF7CFA" w:usb2="00000016" w:usb3="00000000" w:csb0="00040001" w:csb1="00000000"/>
    <w:embedRegular r:id="rId2" w:fontKey="{C16E8621-4E5C-4AE1-90E8-99BEFA06A72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BC1D7EC-F8A3-4BBE-811F-71824060191E}"/>
  </w:font>
  <w:font w:name="Calibri Light">
    <w:panose1 w:val="020F0302020204030204"/>
    <w:charset w:val="00"/>
    <w:family w:val="swiss"/>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A442B213-5284-470F-A1B4-D133A9503B18}"/>
  </w:font>
  <w:font w:name="..ì.">
    <w:altName w:val="宋体"/>
    <w:panose1 w:val="00000000000000000000"/>
    <w:charset w:val="86"/>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embedRegular r:id="rId5" w:fontKey="{62D4B315-179D-4BF4-983F-FA1EE88093F9}"/>
  </w:font>
  <w:font w:name="仿宋">
    <w:panose1 w:val="02010609060101010101"/>
    <w:charset w:val="86"/>
    <w:family w:val="modern"/>
    <w:pitch w:val="default"/>
    <w:sig w:usb0="800002BF" w:usb1="38CF7CFA" w:usb2="00000016" w:usb3="00000000" w:csb0="00040001" w:csb1="00000000"/>
    <w:embedRegular r:id="rId6" w:fontKey="{B6574AAB-38B0-4141-A842-7B509A1766B2}"/>
  </w:font>
  <w:font w:name="TimesNewRomanPSMT">
    <w:altName w:val="Times New Roman"/>
    <w:panose1 w:val="00000000000000000000"/>
    <w:charset w:val="00"/>
    <w:family w:val="auto"/>
    <w:pitch w:val="default"/>
    <w:sig w:usb0="00000000" w:usb1="00000000" w:usb2="00000000" w:usb3="00000000" w:csb0="00000000" w:csb1="00000000"/>
    <w:embedRegular r:id="rId7" w:fontKey="{35B5D2A6-84A0-465B-9E83-1A110F5CA7C4}"/>
  </w:font>
  <w:font w:name="Helvetica">
    <w:altName w:val="Arial"/>
    <w:panose1 w:val="020B0604020202020204"/>
    <w:charset w:val="00"/>
    <w:family w:val="swiss"/>
    <w:pitch w:val="default"/>
    <w:sig w:usb0="00000000" w:usb1="00000000" w:usb2="00000000" w:usb3="00000000" w:csb0="00000001" w:csb1="00000000"/>
    <w:embedRegular r:id="rId8" w:fontKey="{1543DF4C-174D-4FB5-B181-D28931A09F92}"/>
  </w:font>
  <w:font w:name="微软雅黑">
    <w:panose1 w:val="020B0503020204020204"/>
    <w:charset w:val="86"/>
    <w:family w:val="swiss"/>
    <w:pitch w:val="default"/>
    <w:sig w:usb0="80000287" w:usb1="280F3C52" w:usb2="00000016" w:usb3="00000000" w:csb0="0004001F" w:csb1="00000000"/>
    <w:embedRegular r:id="rId9" w:fontKey="{EBF134D4-3BC2-4DFC-9FE3-2E5F78D1B257}"/>
  </w:font>
  <w:font w:name="Cambria Math">
    <w:panose1 w:val="02040503050406030204"/>
    <w:charset w:val="00"/>
    <w:family w:val="roman"/>
    <w:pitch w:val="default"/>
    <w:sig w:usb0="E00002FF" w:usb1="420024FF" w:usb2="00000000" w:usb3="00000000" w:csb0="2000019F" w:csb1="00000000"/>
    <w:embedRegular r:id="rId10" w:fontKey="{2144F868-7198-4A09-88B5-DBFBA1095D88}"/>
  </w:font>
  <w:font w:name="SymbolMT">
    <w:altName w:val="Malgun Gothic"/>
    <w:panose1 w:val="00000000000000000000"/>
    <w:charset w:val="81"/>
    <w:family w:val="auto"/>
    <w:pitch w:val="default"/>
    <w:sig w:usb0="00000000" w:usb1="00000000" w:usb2="00000010" w:usb3="00000000" w:csb0="00080000" w:csb1="00000000"/>
    <w:embedRegular r:id="rId11" w:fontKey="{57CEBFB5-FB84-4290-96A4-D5B737C78A66}"/>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Style w:val="32"/>
                              <w:rFonts w:ascii="宋体" w:hAnsi="宋体"/>
                              <w:sz w:val="28"/>
                              <w:szCs w:val="28"/>
                            </w:rPr>
                          </w:pPr>
                          <w:r>
                            <w:rPr>
                              <w:rStyle w:val="32"/>
                              <w:rFonts w:hint="eastAsia" w:ascii="宋体" w:hAnsi="宋体"/>
                              <w:sz w:val="28"/>
                              <w:szCs w:val="28"/>
                            </w:rPr>
                            <w:t>—</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67</w:t>
                          </w:r>
                          <w:r>
                            <w:rPr>
                              <w:rStyle w:val="32"/>
                              <w:rFonts w:ascii="宋体" w:hAnsi="宋体"/>
                              <w:sz w:val="26"/>
                              <w:szCs w:val="26"/>
                            </w:rPr>
                            <w:fldChar w:fldCharType="end"/>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23"/>
                      <w:rPr>
                        <w:rStyle w:val="32"/>
                        <w:rFonts w:ascii="宋体" w:hAnsi="宋体"/>
                        <w:sz w:val="28"/>
                        <w:szCs w:val="28"/>
                      </w:rPr>
                    </w:pPr>
                    <w:r>
                      <w:rPr>
                        <w:rStyle w:val="32"/>
                        <w:rFonts w:hint="eastAsia" w:ascii="宋体" w:hAnsi="宋体"/>
                        <w:sz w:val="28"/>
                        <w:szCs w:val="28"/>
                      </w:rPr>
                      <w:t>—</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67</w:t>
                    </w:r>
                    <w:r>
                      <w:rPr>
                        <w:rStyle w:val="32"/>
                        <w:rFonts w:ascii="宋体" w:hAnsi="宋体"/>
                        <w:sz w:val="26"/>
                        <w:szCs w:val="26"/>
                      </w:rPr>
                      <w:fldChar w:fldCharType="end"/>
                    </w:r>
                    <w:r>
                      <w:rPr>
                        <w:rStyle w:val="32"/>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Style w:val="32"/>
                              <w:rFonts w:ascii="宋体" w:hAnsi="宋体"/>
                              <w:sz w:val="28"/>
                              <w:szCs w:val="28"/>
                            </w:rPr>
                          </w:pPr>
                          <w:r>
                            <w:rPr>
                              <w:rStyle w:val="32"/>
                              <w:rFonts w:hint="eastAsia" w:ascii="宋体" w:hAnsi="宋体"/>
                              <w:sz w:val="28"/>
                              <w:szCs w:val="28"/>
                            </w:rPr>
                            <w:t>—</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67</w:t>
                          </w:r>
                          <w:r>
                            <w:rPr>
                              <w:rStyle w:val="32"/>
                              <w:rFonts w:ascii="宋体" w:hAnsi="宋体"/>
                              <w:sz w:val="26"/>
                              <w:szCs w:val="26"/>
                            </w:rPr>
                            <w:fldChar w:fldCharType="end"/>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3"/>
                      <w:rPr>
                        <w:rStyle w:val="32"/>
                        <w:rFonts w:ascii="宋体" w:hAnsi="宋体"/>
                        <w:sz w:val="28"/>
                        <w:szCs w:val="28"/>
                      </w:rPr>
                    </w:pPr>
                    <w:r>
                      <w:rPr>
                        <w:rStyle w:val="32"/>
                        <w:rFonts w:hint="eastAsia" w:ascii="宋体" w:hAnsi="宋体"/>
                        <w:sz w:val="28"/>
                        <w:szCs w:val="28"/>
                      </w:rPr>
                      <w:t>—</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67</w:t>
                    </w:r>
                    <w:r>
                      <w:rPr>
                        <w:rStyle w:val="32"/>
                        <w:rFonts w:ascii="宋体" w:hAnsi="宋体"/>
                        <w:sz w:val="26"/>
                        <w:szCs w:val="26"/>
                      </w:rPr>
                      <w:fldChar w:fldCharType="end"/>
                    </w:r>
                    <w:r>
                      <w:rPr>
                        <w:rStyle w:val="32"/>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Style w:val="32"/>
                              <w:rFonts w:ascii="宋体" w:hAnsi="宋体"/>
                              <w:sz w:val="28"/>
                              <w:szCs w:val="28"/>
                            </w:rPr>
                          </w:pPr>
                          <w:r>
                            <w:rPr>
                              <w:rStyle w:val="32"/>
                              <w:rFonts w:hint="eastAsia" w:ascii="宋体" w:hAnsi="宋体"/>
                              <w:sz w:val="28"/>
                              <w:szCs w:val="28"/>
                            </w:rPr>
                            <w:t>—</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68</w:t>
                          </w:r>
                          <w:r>
                            <w:rPr>
                              <w:rStyle w:val="32"/>
                              <w:rFonts w:ascii="宋体" w:hAnsi="宋体"/>
                              <w:sz w:val="26"/>
                              <w:szCs w:val="26"/>
                            </w:rPr>
                            <w:fldChar w:fldCharType="end"/>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3"/>
                      <w:rPr>
                        <w:rStyle w:val="32"/>
                        <w:rFonts w:ascii="宋体" w:hAnsi="宋体"/>
                        <w:sz w:val="28"/>
                        <w:szCs w:val="28"/>
                      </w:rPr>
                    </w:pPr>
                    <w:r>
                      <w:rPr>
                        <w:rStyle w:val="32"/>
                        <w:rFonts w:hint="eastAsia" w:ascii="宋体" w:hAnsi="宋体"/>
                        <w:sz w:val="28"/>
                        <w:szCs w:val="28"/>
                      </w:rPr>
                      <w:t>—</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68</w:t>
                    </w:r>
                    <w:r>
                      <w:rPr>
                        <w:rStyle w:val="32"/>
                        <w:rFonts w:ascii="宋体" w:hAnsi="宋体"/>
                        <w:sz w:val="26"/>
                        <w:szCs w:val="26"/>
                      </w:rPr>
                      <w:fldChar w:fldCharType="end"/>
                    </w:r>
                    <w:r>
                      <w:rPr>
                        <w:rStyle w:val="32"/>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Style w:val="32"/>
                              <w:rFonts w:ascii="宋体" w:hAnsi="宋体"/>
                              <w:sz w:val="28"/>
                              <w:szCs w:val="28"/>
                            </w:rPr>
                          </w:pPr>
                          <w:r>
                            <w:rPr>
                              <w:rStyle w:val="32"/>
                              <w:rFonts w:hint="eastAsia" w:ascii="宋体" w:hAnsi="宋体"/>
                              <w:sz w:val="28"/>
                              <w:szCs w:val="28"/>
                            </w:rPr>
                            <w:t>—</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3</w:t>
                          </w:r>
                          <w:r>
                            <w:rPr>
                              <w:rStyle w:val="32"/>
                              <w:rFonts w:ascii="宋体" w:hAnsi="宋体"/>
                              <w:sz w:val="26"/>
                              <w:szCs w:val="26"/>
                            </w:rPr>
                            <w:fldChar w:fldCharType="end"/>
                          </w:r>
                          <w:r>
                            <w:rPr>
                              <w:rStyle w:val="3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3"/>
                      <w:rPr>
                        <w:rStyle w:val="32"/>
                        <w:rFonts w:ascii="宋体" w:hAnsi="宋体"/>
                        <w:sz w:val="28"/>
                        <w:szCs w:val="28"/>
                      </w:rPr>
                    </w:pPr>
                    <w:r>
                      <w:rPr>
                        <w:rStyle w:val="32"/>
                        <w:rFonts w:hint="eastAsia" w:ascii="宋体" w:hAnsi="宋体"/>
                        <w:sz w:val="28"/>
                        <w:szCs w:val="28"/>
                      </w:rPr>
                      <w:t>—</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3</w:t>
                    </w:r>
                    <w:r>
                      <w:rPr>
                        <w:rStyle w:val="32"/>
                        <w:rFonts w:ascii="宋体" w:hAnsi="宋体"/>
                        <w:sz w:val="26"/>
                        <w:szCs w:val="26"/>
                      </w:rPr>
                      <w:fldChar w:fldCharType="end"/>
                    </w:r>
                    <w:r>
                      <w:rPr>
                        <w:rStyle w:val="32"/>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00C07D"/>
    <w:multiLevelType w:val="singleLevel"/>
    <w:tmpl w:val="B100C07D"/>
    <w:lvl w:ilvl="0" w:tentative="0">
      <w:start w:val="1"/>
      <w:numFmt w:val="decimal"/>
      <w:suff w:val="nothing"/>
      <w:lvlText w:val="（%1）"/>
      <w:lvlJc w:val="left"/>
    </w:lvl>
  </w:abstractNum>
  <w:abstractNum w:abstractNumId="1">
    <w:nsid w:val="B7E64C77"/>
    <w:multiLevelType w:val="singleLevel"/>
    <w:tmpl w:val="B7E64C77"/>
    <w:lvl w:ilvl="0" w:tentative="0">
      <w:start w:val="1"/>
      <w:numFmt w:val="decimal"/>
      <w:suff w:val="nothing"/>
      <w:lvlText w:val="（%1）"/>
      <w:lvlJc w:val="left"/>
    </w:lvl>
  </w:abstractNum>
  <w:abstractNum w:abstractNumId="2">
    <w:nsid w:val="BAC9BED9"/>
    <w:multiLevelType w:val="singleLevel"/>
    <w:tmpl w:val="BAC9BED9"/>
    <w:lvl w:ilvl="0" w:tentative="0">
      <w:start w:val="2"/>
      <w:numFmt w:val="decimal"/>
      <w:suff w:val="nothing"/>
      <w:lvlText w:val="%1、"/>
      <w:lvlJc w:val="left"/>
    </w:lvl>
  </w:abstractNum>
  <w:abstractNum w:abstractNumId="3">
    <w:nsid w:val="C2F8D6D4"/>
    <w:multiLevelType w:val="singleLevel"/>
    <w:tmpl w:val="C2F8D6D4"/>
    <w:lvl w:ilvl="0" w:tentative="0">
      <w:start w:val="2"/>
      <w:numFmt w:val="upperLetter"/>
      <w:suff w:val="nothing"/>
      <w:lvlText w:val="%1、"/>
      <w:lvlJc w:val="left"/>
    </w:lvl>
  </w:abstractNum>
  <w:abstractNum w:abstractNumId="4">
    <w:nsid w:val="EA47C6F5"/>
    <w:multiLevelType w:val="singleLevel"/>
    <w:tmpl w:val="EA47C6F5"/>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5">
    <w:nsid w:val="12D4122A"/>
    <w:multiLevelType w:val="singleLevel"/>
    <w:tmpl w:val="12D4122A"/>
    <w:lvl w:ilvl="0" w:tentative="0">
      <w:start w:val="1"/>
      <w:numFmt w:val="decimal"/>
      <w:lvlText w:val="%1."/>
      <w:lvlJc w:val="left"/>
      <w:pPr>
        <w:tabs>
          <w:tab w:val="left" w:pos="312"/>
        </w:tabs>
      </w:pPr>
    </w:lvl>
  </w:abstractNum>
  <w:abstractNum w:abstractNumId="6">
    <w:nsid w:val="37724D54"/>
    <w:multiLevelType w:val="singleLevel"/>
    <w:tmpl w:val="37724D54"/>
    <w:lvl w:ilvl="0" w:tentative="0">
      <w:start w:val="2"/>
      <w:numFmt w:val="decimal"/>
      <w:suff w:val="nothing"/>
      <w:lvlText w:val="（%1）"/>
      <w:lvlJc w:val="left"/>
    </w:lvl>
  </w:abstractNum>
  <w:abstractNum w:abstractNumId="7">
    <w:nsid w:val="564854E3"/>
    <w:multiLevelType w:val="multilevel"/>
    <w:tmpl w:val="564854E3"/>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64"/>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8">
    <w:nsid w:val="5F600B25"/>
    <w:multiLevelType w:val="singleLevel"/>
    <w:tmpl w:val="5F600B25"/>
    <w:lvl w:ilvl="0" w:tentative="0">
      <w:start w:val="1"/>
      <w:numFmt w:val="decimal"/>
      <w:suff w:val="nothing"/>
      <w:lvlText w:val="（%1）"/>
      <w:lvlJc w:val="left"/>
    </w:lvl>
  </w:abstractNum>
  <w:abstractNum w:abstractNumId="9">
    <w:nsid w:val="74C45EAF"/>
    <w:multiLevelType w:val="singleLevel"/>
    <w:tmpl w:val="74C45EAF"/>
    <w:lvl w:ilvl="0" w:tentative="0">
      <w:start w:val="1"/>
      <w:numFmt w:val="decimal"/>
      <w:lvlText w:val="%1."/>
      <w:lvlJc w:val="left"/>
      <w:pPr>
        <w:tabs>
          <w:tab w:val="left" w:pos="312"/>
        </w:tabs>
      </w:pPr>
    </w:lvl>
  </w:abstractNum>
  <w:abstractNum w:abstractNumId="10">
    <w:nsid w:val="75FF7FEA"/>
    <w:multiLevelType w:val="multilevel"/>
    <w:tmpl w:val="75FF7FEA"/>
    <w:lvl w:ilvl="0" w:tentative="0">
      <w:start w:val="1"/>
      <w:numFmt w:val="decimal"/>
      <w:pStyle w:val="4"/>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720" w:hanging="720"/>
      </w:pPr>
      <w:rPr>
        <w:rFonts w:hint="default"/>
      </w:rPr>
    </w:lvl>
    <w:lvl w:ilvl="3" w:tentative="0">
      <w:start w:val="1"/>
      <w:numFmt w:val="decimal"/>
      <w:pStyle w:val="9"/>
      <w:lvlText w:val="%1.%2.%3.%4."/>
      <w:lvlJc w:val="left"/>
      <w:pPr>
        <w:ind w:left="864" w:hanging="864"/>
      </w:pPr>
      <w:rPr>
        <w:rFonts w:hint="default"/>
      </w:rPr>
    </w:lvl>
    <w:lvl w:ilvl="4" w:tentative="0">
      <w:start w:val="1"/>
      <w:numFmt w:val="decimal"/>
      <w:pStyle w:val="10"/>
      <w:lvlText w:val="%1.%2.%3.%4.%5."/>
      <w:lvlJc w:val="left"/>
      <w:pPr>
        <w:ind w:left="1008" w:hanging="1008"/>
      </w:pPr>
      <w:rPr>
        <w:rFonts w:hint="default"/>
      </w:rPr>
    </w:lvl>
    <w:lvl w:ilvl="5" w:tentative="0">
      <w:start w:val="1"/>
      <w:numFmt w:val="decimal"/>
      <w:pStyle w:val="11"/>
      <w:lvlText w:val="%1.%2.%3.%4.%5.%6."/>
      <w:lvlJc w:val="left"/>
      <w:pPr>
        <w:ind w:left="1151" w:hanging="1151"/>
      </w:pPr>
      <w:rPr>
        <w:rFonts w:hint="default"/>
      </w:rPr>
    </w:lvl>
    <w:lvl w:ilvl="6" w:tentative="0">
      <w:start w:val="1"/>
      <w:numFmt w:val="decimal"/>
      <w:pStyle w:val="12"/>
      <w:lvlText w:val="%1.%2.%3.%4.%5.%6.%7."/>
      <w:lvlJc w:val="left"/>
      <w:pPr>
        <w:ind w:left="1296" w:hanging="1296"/>
      </w:pPr>
      <w:rPr>
        <w:rFonts w:hint="default"/>
      </w:rPr>
    </w:lvl>
    <w:lvl w:ilvl="7" w:tentative="0">
      <w:start w:val="1"/>
      <w:numFmt w:val="decimal"/>
      <w:pStyle w:val="13"/>
      <w:lvlText w:val="%1.%2.%3.%4.%5.%6.%7.%8."/>
      <w:lvlJc w:val="left"/>
      <w:pPr>
        <w:ind w:left="1440" w:hanging="1440"/>
      </w:pPr>
      <w:rPr>
        <w:rFonts w:hint="default"/>
      </w:rPr>
    </w:lvl>
    <w:lvl w:ilvl="8" w:tentative="0">
      <w:start w:val="1"/>
      <w:numFmt w:val="decimal"/>
      <w:pStyle w:val="14"/>
      <w:lvlText w:val="%1.%2.%3.%4.%5.%6.%7.%8.%9."/>
      <w:lvlJc w:val="left"/>
      <w:pPr>
        <w:ind w:left="1583" w:hanging="1583"/>
      </w:pPr>
      <w:rPr>
        <w:rFonts w:hint="default"/>
      </w:rPr>
    </w:lvl>
  </w:abstractNum>
  <w:num w:numId="1">
    <w:abstractNumId w:val="10"/>
  </w:num>
  <w:num w:numId="2">
    <w:abstractNumId w:val="4"/>
  </w:num>
  <w:num w:numId="3">
    <w:abstractNumId w:val="7"/>
  </w:num>
  <w:num w:numId="4">
    <w:abstractNumId w:val="6"/>
  </w:num>
  <w:num w:numId="5">
    <w:abstractNumId w:val="5"/>
  </w:num>
  <w:num w:numId="6">
    <w:abstractNumId w:val="9"/>
  </w:num>
  <w:num w:numId="7">
    <w:abstractNumId w:val="1"/>
  </w:num>
  <w:num w:numId="8">
    <w:abstractNumId w:val="2"/>
  </w:num>
  <w:num w:numId="9">
    <w:abstractNumId w:val="8"/>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mYmRjYjRmOGI4NmIxZTA5ZjIxNmM5NzBhNGVmMDc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A580D"/>
    <w:rsid w:val="000B058F"/>
    <w:rsid w:val="000B4467"/>
    <w:rsid w:val="000B4DB9"/>
    <w:rsid w:val="000C09AC"/>
    <w:rsid w:val="000C767F"/>
    <w:rsid w:val="000D5A44"/>
    <w:rsid w:val="000E3ED2"/>
    <w:rsid w:val="00103EB3"/>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0028"/>
    <w:rsid w:val="001B107A"/>
    <w:rsid w:val="001B1BF8"/>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176EE"/>
    <w:rsid w:val="00321D8E"/>
    <w:rsid w:val="00325928"/>
    <w:rsid w:val="00332863"/>
    <w:rsid w:val="0033684D"/>
    <w:rsid w:val="00337B42"/>
    <w:rsid w:val="00341B42"/>
    <w:rsid w:val="0034348F"/>
    <w:rsid w:val="00353F2A"/>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75A6E"/>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56AC"/>
    <w:rsid w:val="005969E4"/>
    <w:rsid w:val="005A06B7"/>
    <w:rsid w:val="005A1759"/>
    <w:rsid w:val="005A68A7"/>
    <w:rsid w:val="005D36AB"/>
    <w:rsid w:val="00612B01"/>
    <w:rsid w:val="00617CC3"/>
    <w:rsid w:val="006377A6"/>
    <w:rsid w:val="00637A3D"/>
    <w:rsid w:val="006411EF"/>
    <w:rsid w:val="0066795B"/>
    <w:rsid w:val="006748B8"/>
    <w:rsid w:val="006775C3"/>
    <w:rsid w:val="0069290A"/>
    <w:rsid w:val="0069775A"/>
    <w:rsid w:val="00697813"/>
    <w:rsid w:val="00697B7A"/>
    <w:rsid w:val="006A3EE8"/>
    <w:rsid w:val="006A72BF"/>
    <w:rsid w:val="006B03F2"/>
    <w:rsid w:val="006B37DC"/>
    <w:rsid w:val="006B4F68"/>
    <w:rsid w:val="006C0592"/>
    <w:rsid w:val="006C272E"/>
    <w:rsid w:val="006C5479"/>
    <w:rsid w:val="006D13B5"/>
    <w:rsid w:val="006E12FF"/>
    <w:rsid w:val="006E607E"/>
    <w:rsid w:val="00706C5D"/>
    <w:rsid w:val="00732922"/>
    <w:rsid w:val="007354F4"/>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E582C"/>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A5E00"/>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4CF5"/>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49D5"/>
    <w:rsid w:val="009B7BD9"/>
    <w:rsid w:val="009C7DD5"/>
    <w:rsid w:val="009E227D"/>
    <w:rsid w:val="009E5019"/>
    <w:rsid w:val="00A04F1B"/>
    <w:rsid w:val="00A0501B"/>
    <w:rsid w:val="00A1478C"/>
    <w:rsid w:val="00A14947"/>
    <w:rsid w:val="00A32A83"/>
    <w:rsid w:val="00A35F94"/>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2EC9"/>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0F96"/>
    <w:rsid w:val="00F027DB"/>
    <w:rsid w:val="00F14A7A"/>
    <w:rsid w:val="00F22985"/>
    <w:rsid w:val="00F3383E"/>
    <w:rsid w:val="00F465A7"/>
    <w:rsid w:val="00F50B7C"/>
    <w:rsid w:val="00F52C34"/>
    <w:rsid w:val="00F550E6"/>
    <w:rsid w:val="00F74345"/>
    <w:rsid w:val="00F80A0A"/>
    <w:rsid w:val="00F82B19"/>
    <w:rsid w:val="00F9212D"/>
    <w:rsid w:val="00F965DA"/>
    <w:rsid w:val="00FA406A"/>
    <w:rsid w:val="00FB503A"/>
    <w:rsid w:val="00FB516C"/>
    <w:rsid w:val="00FD0236"/>
    <w:rsid w:val="00FD18F4"/>
    <w:rsid w:val="00FD54DB"/>
    <w:rsid w:val="00FD619F"/>
    <w:rsid w:val="01290F7E"/>
    <w:rsid w:val="01460DB0"/>
    <w:rsid w:val="014D28C9"/>
    <w:rsid w:val="015D1E09"/>
    <w:rsid w:val="02041301"/>
    <w:rsid w:val="020C3E3F"/>
    <w:rsid w:val="024D2CC1"/>
    <w:rsid w:val="02697903"/>
    <w:rsid w:val="02F96569"/>
    <w:rsid w:val="03EA7B21"/>
    <w:rsid w:val="043735AC"/>
    <w:rsid w:val="04473DD0"/>
    <w:rsid w:val="05EC7173"/>
    <w:rsid w:val="05F83EAE"/>
    <w:rsid w:val="063A3713"/>
    <w:rsid w:val="063E7D85"/>
    <w:rsid w:val="06E9653B"/>
    <w:rsid w:val="06EB39CE"/>
    <w:rsid w:val="07293586"/>
    <w:rsid w:val="07295285"/>
    <w:rsid w:val="07636392"/>
    <w:rsid w:val="07770C56"/>
    <w:rsid w:val="081232CB"/>
    <w:rsid w:val="084B0F28"/>
    <w:rsid w:val="08D228B5"/>
    <w:rsid w:val="092217DD"/>
    <w:rsid w:val="093A7294"/>
    <w:rsid w:val="09B511E2"/>
    <w:rsid w:val="0A263993"/>
    <w:rsid w:val="0A2D3AC2"/>
    <w:rsid w:val="0AA755DF"/>
    <w:rsid w:val="0AC06641"/>
    <w:rsid w:val="0B120D44"/>
    <w:rsid w:val="0B437571"/>
    <w:rsid w:val="0BD27BF6"/>
    <w:rsid w:val="0C1D5864"/>
    <w:rsid w:val="0C3B3C7D"/>
    <w:rsid w:val="0CAB2EAE"/>
    <w:rsid w:val="0CE95B9C"/>
    <w:rsid w:val="0D3A242C"/>
    <w:rsid w:val="0D621C7D"/>
    <w:rsid w:val="0E3E1F17"/>
    <w:rsid w:val="0E73034D"/>
    <w:rsid w:val="0F0A1DF9"/>
    <w:rsid w:val="0F13775A"/>
    <w:rsid w:val="0F5F45FE"/>
    <w:rsid w:val="0F9A112B"/>
    <w:rsid w:val="106D2F64"/>
    <w:rsid w:val="108A2F1F"/>
    <w:rsid w:val="10B63710"/>
    <w:rsid w:val="10C51550"/>
    <w:rsid w:val="10F10820"/>
    <w:rsid w:val="111C2F7A"/>
    <w:rsid w:val="11665CA1"/>
    <w:rsid w:val="11F95053"/>
    <w:rsid w:val="12104170"/>
    <w:rsid w:val="12C31210"/>
    <w:rsid w:val="12FF2BA4"/>
    <w:rsid w:val="13124658"/>
    <w:rsid w:val="13275C78"/>
    <w:rsid w:val="133E39F8"/>
    <w:rsid w:val="13951726"/>
    <w:rsid w:val="13D26C95"/>
    <w:rsid w:val="13D65FC5"/>
    <w:rsid w:val="13E744B7"/>
    <w:rsid w:val="14345A34"/>
    <w:rsid w:val="14396509"/>
    <w:rsid w:val="14902DA1"/>
    <w:rsid w:val="14DD2C3C"/>
    <w:rsid w:val="14DD4B17"/>
    <w:rsid w:val="14DE58BA"/>
    <w:rsid w:val="1545001E"/>
    <w:rsid w:val="16087E1D"/>
    <w:rsid w:val="16333D3C"/>
    <w:rsid w:val="16DC39FC"/>
    <w:rsid w:val="17256662"/>
    <w:rsid w:val="17534A4B"/>
    <w:rsid w:val="17701D14"/>
    <w:rsid w:val="17735226"/>
    <w:rsid w:val="17AD0700"/>
    <w:rsid w:val="18267CA4"/>
    <w:rsid w:val="189F624C"/>
    <w:rsid w:val="18F61186"/>
    <w:rsid w:val="194E6224"/>
    <w:rsid w:val="1A1C66C0"/>
    <w:rsid w:val="1A42393B"/>
    <w:rsid w:val="1AAD45DE"/>
    <w:rsid w:val="1B046F80"/>
    <w:rsid w:val="1B3267B5"/>
    <w:rsid w:val="1B40161D"/>
    <w:rsid w:val="1B441859"/>
    <w:rsid w:val="1B6606B1"/>
    <w:rsid w:val="1BBD2953"/>
    <w:rsid w:val="1C5E7925"/>
    <w:rsid w:val="1CE16F82"/>
    <w:rsid w:val="1CFD070F"/>
    <w:rsid w:val="1D5F6196"/>
    <w:rsid w:val="1D6132A5"/>
    <w:rsid w:val="1D7C2114"/>
    <w:rsid w:val="1D8E56D5"/>
    <w:rsid w:val="1DE37094"/>
    <w:rsid w:val="1DF12B02"/>
    <w:rsid w:val="1E14074F"/>
    <w:rsid w:val="1E431EBC"/>
    <w:rsid w:val="1E7A43DA"/>
    <w:rsid w:val="1EAA40D0"/>
    <w:rsid w:val="1F55717C"/>
    <w:rsid w:val="1F5F3D62"/>
    <w:rsid w:val="1FA54E1C"/>
    <w:rsid w:val="1FE7539E"/>
    <w:rsid w:val="1FF83D94"/>
    <w:rsid w:val="20671BE0"/>
    <w:rsid w:val="20963CB8"/>
    <w:rsid w:val="2099122F"/>
    <w:rsid w:val="20A81A1B"/>
    <w:rsid w:val="20B07FB6"/>
    <w:rsid w:val="20B646FB"/>
    <w:rsid w:val="211467A4"/>
    <w:rsid w:val="21264DEA"/>
    <w:rsid w:val="213B74B1"/>
    <w:rsid w:val="215A2310"/>
    <w:rsid w:val="21DE0D59"/>
    <w:rsid w:val="21DE318A"/>
    <w:rsid w:val="21EF5B80"/>
    <w:rsid w:val="21F155F3"/>
    <w:rsid w:val="22500B07"/>
    <w:rsid w:val="22576990"/>
    <w:rsid w:val="22F47480"/>
    <w:rsid w:val="233951C9"/>
    <w:rsid w:val="23DE1C48"/>
    <w:rsid w:val="240210CD"/>
    <w:rsid w:val="244A432F"/>
    <w:rsid w:val="246A6A2D"/>
    <w:rsid w:val="24BF09F7"/>
    <w:rsid w:val="252D53FE"/>
    <w:rsid w:val="25EC2D81"/>
    <w:rsid w:val="277057A2"/>
    <w:rsid w:val="28137B19"/>
    <w:rsid w:val="28B07DA0"/>
    <w:rsid w:val="28E84C5D"/>
    <w:rsid w:val="29206EB8"/>
    <w:rsid w:val="292E501E"/>
    <w:rsid w:val="29595666"/>
    <w:rsid w:val="297F245B"/>
    <w:rsid w:val="29874881"/>
    <w:rsid w:val="29A47F24"/>
    <w:rsid w:val="29E325E0"/>
    <w:rsid w:val="2A135BAE"/>
    <w:rsid w:val="2A452503"/>
    <w:rsid w:val="2BA936A8"/>
    <w:rsid w:val="2BDA4BD6"/>
    <w:rsid w:val="2C315A5A"/>
    <w:rsid w:val="2C4B1C25"/>
    <w:rsid w:val="2C9171F6"/>
    <w:rsid w:val="2CF9552F"/>
    <w:rsid w:val="2D9E56F5"/>
    <w:rsid w:val="2E34697C"/>
    <w:rsid w:val="2E6433AC"/>
    <w:rsid w:val="2E667F96"/>
    <w:rsid w:val="2E8226AB"/>
    <w:rsid w:val="2E8A313C"/>
    <w:rsid w:val="2E8B0409"/>
    <w:rsid w:val="2E9A4D94"/>
    <w:rsid w:val="2F6F341E"/>
    <w:rsid w:val="2F723DC9"/>
    <w:rsid w:val="2FD065E6"/>
    <w:rsid w:val="2FD96870"/>
    <w:rsid w:val="30580BC9"/>
    <w:rsid w:val="308C35E2"/>
    <w:rsid w:val="30A31F98"/>
    <w:rsid w:val="311E2ED7"/>
    <w:rsid w:val="313C02C4"/>
    <w:rsid w:val="315619EE"/>
    <w:rsid w:val="315C449C"/>
    <w:rsid w:val="31713958"/>
    <w:rsid w:val="31A83080"/>
    <w:rsid w:val="31B82709"/>
    <w:rsid w:val="31D05482"/>
    <w:rsid w:val="32074860"/>
    <w:rsid w:val="32400B34"/>
    <w:rsid w:val="329E6876"/>
    <w:rsid w:val="32EC1997"/>
    <w:rsid w:val="32F74773"/>
    <w:rsid w:val="330752C3"/>
    <w:rsid w:val="333015F2"/>
    <w:rsid w:val="334B6320"/>
    <w:rsid w:val="33D934D4"/>
    <w:rsid w:val="33FE2F6A"/>
    <w:rsid w:val="340E07E5"/>
    <w:rsid w:val="34235BF7"/>
    <w:rsid w:val="34607E7E"/>
    <w:rsid w:val="3485492E"/>
    <w:rsid w:val="35046189"/>
    <w:rsid w:val="35211925"/>
    <w:rsid w:val="35220D1A"/>
    <w:rsid w:val="358B7322"/>
    <w:rsid w:val="358C5FA8"/>
    <w:rsid w:val="35C15DF1"/>
    <w:rsid w:val="35DB5371"/>
    <w:rsid w:val="36074A7F"/>
    <w:rsid w:val="36923549"/>
    <w:rsid w:val="36B75FBF"/>
    <w:rsid w:val="36BD0C45"/>
    <w:rsid w:val="372E6B85"/>
    <w:rsid w:val="37587B5C"/>
    <w:rsid w:val="37DE01EB"/>
    <w:rsid w:val="37E00298"/>
    <w:rsid w:val="3881369A"/>
    <w:rsid w:val="38B302F9"/>
    <w:rsid w:val="38BE4EED"/>
    <w:rsid w:val="38DD0AAF"/>
    <w:rsid w:val="38F12CD3"/>
    <w:rsid w:val="38F94775"/>
    <w:rsid w:val="392971ED"/>
    <w:rsid w:val="39325651"/>
    <w:rsid w:val="39915509"/>
    <w:rsid w:val="399A09DD"/>
    <w:rsid w:val="39FF0981"/>
    <w:rsid w:val="3A3434EE"/>
    <w:rsid w:val="3A872856"/>
    <w:rsid w:val="3AC845C8"/>
    <w:rsid w:val="3B3763D1"/>
    <w:rsid w:val="3BD816C6"/>
    <w:rsid w:val="3C2F6E1E"/>
    <w:rsid w:val="3C4F64BA"/>
    <w:rsid w:val="3CDA245A"/>
    <w:rsid w:val="3D1E06B7"/>
    <w:rsid w:val="3D323028"/>
    <w:rsid w:val="3DFD4754"/>
    <w:rsid w:val="3E083824"/>
    <w:rsid w:val="3E66054B"/>
    <w:rsid w:val="3EDA0523"/>
    <w:rsid w:val="3EF47EF7"/>
    <w:rsid w:val="3FC20CAA"/>
    <w:rsid w:val="3FD15010"/>
    <w:rsid w:val="3FD15E98"/>
    <w:rsid w:val="407A6407"/>
    <w:rsid w:val="40BD3239"/>
    <w:rsid w:val="41D71614"/>
    <w:rsid w:val="4200449D"/>
    <w:rsid w:val="423170C2"/>
    <w:rsid w:val="423A3BCC"/>
    <w:rsid w:val="424E57D2"/>
    <w:rsid w:val="42B26C49"/>
    <w:rsid w:val="433A6FE6"/>
    <w:rsid w:val="43480868"/>
    <w:rsid w:val="4350713C"/>
    <w:rsid w:val="436653E0"/>
    <w:rsid w:val="43775A80"/>
    <w:rsid w:val="43C4431A"/>
    <w:rsid w:val="43CA332A"/>
    <w:rsid w:val="44B951CC"/>
    <w:rsid w:val="44CD14E0"/>
    <w:rsid w:val="44F20B0B"/>
    <w:rsid w:val="452E5F4C"/>
    <w:rsid w:val="453111C9"/>
    <w:rsid w:val="45612018"/>
    <w:rsid w:val="458946E9"/>
    <w:rsid w:val="45A47C0E"/>
    <w:rsid w:val="45E72DB8"/>
    <w:rsid w:val="46274A64"/>
    <w:rsid w:val="462C182F"/>
    <w:rsid w:val="46577FD6"/>
    <w:rsid w:val="46D955A7"/>
    <w:rsid w:val="47133957"/>
    <w:rsid w:val="47152B0E"/>
    <w:rsid w:val="471F28DC"/>
    <w:rsid w:val="47A07E0C"/>
    <w:rsid w:val="47FE5A06"/>
    <w:rsid w:val="4841181A"/>
    <w:rsid w:val="4870272E"/>
    <w:rsid w:val="49262DB0"/>
    <w:rsid w:val="49C5361B"/>
    <w:rsid w:val="49DC7715"/>
    <w:rsid w:val="4A023139"/>
    <w:rsid w:val="4A7B576F"/>
    <w:rsid w:val="4AA8428B"/>
    <w:rsid w:val="4AF561A9"/>
    <w:rsid w:val="4B0C0415"/>
    <w:rsid w:val="4B0C61BF"/>
    <w:rsid w:val="4B531E57"/>
    <w:rsid w:val="4B7047B7"/>
    <w:rsid w:val="4B8D6137"/>
    <w:rsid w:val="4C046BA5"/>
    <w:rsid w:val="4C0F4402"/>
    <w:rsid w:val="4C4A0649"/>
    <w:rsid w:val="4C582777"/>
    <w:rsid w:val="4C7E5ECA"/>
    <w:rsid w:val="4C84056F"/>
    <w:rsid w:val="4C876AA5"/>
    <w:rsid w:val="4D0E00FB"/>
    <w:rsid w:val="4D176606"/>
    <w:rsid w:val="4D341814"/>
    <w:rsid w:val="4DEC4FB0"/>
    <w:rsid w:val="4E075D8A"/>
    <w:rsid w:val="4E2E583B"/>
    <w:rsid w:val="4EC00FAD"/>
    <w:rsid w:val="4EDB4350"/>
    <w:rsid w:val="4F8B6063"/>
    <w:rsid w:val="4F9843DC"/>
    <w:rsid w:val="4FAA2168"/>
    <w:rsid w:val="4FC62A8C"/>
    <w:rsid w:val="4FE20F0D"/>
    <w:rsid w:val="4FE51552"/>
    <w:rsid w:val="500233EC"/>
    <w:rsid w:val="50504C4B"/>
    <w:rsid w:val="508E6389"/>
    <w:rsid w:val="509C6E7C"/>
    <w:rsid w:val="5162104E"/>
    <w:rsid w:val="524F394B"/>
    <w:rsid w:val="525E7A5F"/>
    <w:rsid w:val="53084635"/>
    <w:rsid w:val="53501059"/>
    <w:rsid w:val="53A039CC"/>
    <w:rsid w:val="53A1505A"/>
    <w:rsid w:val="54063E08"/>
    <w:rsid w:val="543437E8"/>
    <w:rsid w:val="54DA2F9C"/>
    <w:rsid w:val="54F73313"/>
    <w:rsid w:val="54F80955"/>
    <w:rsid w:val="552E3459"/>
    <w:rsid w:val="555170A7"/>
    <w:rsid w:val="5587536D"/>
    <w:rsid w:val="559B174B"/>
    <w:rsid w:val="55A00BD2"/>
    <w:rsid w:val="55CE0CF4"/>
    <w:rsid w:val="56B22A9C"/>
    <w:rsid w:val="5759717A"/>
    <w:rsid w:val="57B72A76"/>
    <w:rsid w:val="57C3426C"/>
    <w:rsid w:val="57CE1F93"/>
    <w:rsid w:val="583E1B26"/>
    <w:rsid w:val="588743D1"/>
    <w:rsid w:val="5887701A"/>
    <w:rsid w:val="58BA4102"/>
    <w:rsid w:val="58D02A6D"/>
    <w:rsid w:val="5917092A"/>
    <w:rsid w:val="597A0DD5"/>
    <w:rsid w:val="59C0439F"/>
    <w:rsid w:val="59DC3C62"/>
    <w:rsid w:val="59E12C2E"/>
    <w:rsid w:val="5A89426E"/>
    <w:rsid w:val="5ABE2233"/>
    <w:rsid w:val="5BDF5D95"/>
    <w:rsid w:val="5BFE7528"/>
    <w:rsid w:val="5C602DDD"/>
    <w:rsid w:val="5D3C274B"/>
    <w:rsid w:val="5D4D7EAF"/>
    <w:rsid w:val="5E2467F1"/>
    <w:rsid w:val="5EEA7DAC"/>
    <w:rsid w:val="5F063C4E"/>
    <w:rsid w:val="5F1A2B43"/>
    <w:rsid w:val="5FB837BB"/>
    <w:rsid w:val="60085BEB"/>
    <w:rsid w:val="60CC405A"/>
    <w:rsid w:val="60ED0195"/>
    <w:rsid w:val="614A4A05"/>
    <w:rsid w:val="61573FF7"/>
    <w:rsid w:val="615B16B7"/>
    <w:rsid w:val="61E215D8"/>
    <w:rsid w:val="620E1957"/>
    <w:rsid w:val="621B3775"/>
    <w:rsid w:val="62364782"/>
    <w:rsid w:val="6394356A"/>
    <w:rsid w:val="63C61B2C"/>
    <w:rsid w:val="63D40BE9"/>
    <w:rsid w:val="64102431"/>
    <w:rsid w:val="64917820"/>
    <w:rsid w:val="64A5243A"/>
    <w:rsid w:val="64F531DE"/>
    <w:rsid w:val="65246478"/>
    <w:rsid w:val="65373578"/>
    <w:rsid w:val="65FC7F22"/>
    <w:rsid w:val="664B0492"/>
    <w:rsid w:val="671F124A"/>
    <w:rsid w:val="677A33C6"/>
    <w:rsid w:val="67AF7FBD"/>
    <w:rsid w:val="681F6961"/>
    <w:rsid w:val="68610A2F"/>
    <w:rsid w:val="68663CD0"/>
    <w:rsid w:val="68805514"/>
    <w:rsid w:val="689F5292"/>
    <w:rsid w:val="68D55B1E"/>
    <w:rsid w:val="6925553A"/>
    <w:rsid w:val="69316E2F"/>
    <w:rsid w:val="693623FA"/>
    <w:rsid w:val="694A2693"/>
    <w:rsid w:val="694E2071"/>
    <w:rsid w:val="69766163"/>
    <w:rsid w:val="697A3B33"/>
    <w:rsid w:val="699876D3"/>
    <w:rsid w:val="69D44760"/>
    <w:rsid w:val="69E67A28"/>
    <w:rsid w:val="6A520EC7"/>
    <w:rsid w:val="6AF87E20"/>
    <w:rsid w:val="6B322639"/>
    <w:rsid w:val="6C636C38"/>
    <w:rsid w:val="6D943EDD"/>
    <w:rsid w:val="6DB34098"/>
    <w:rsid w:val="6DB545B6"/>
    <w:rsid w:val="6DBB3B60"/>
    <w:rsid w:val="6DE02FB4"/>
    <w:rsid w:val="6E29348D"/>
    <w:rsid w:val="6E514CED"/>
    <w:rsid w:val="6EB563D5"/>
    <w:rsid w:val="6ED92677"/>
    <w:rsid w:val="6EE7377F"/>
    <w:rsid w:val="6F0A44BC"/>
    <w:rsid w:val="6F225983"/>
    <w:rsid w:val="6F2E742E"/>
    <w:rsid w:val="6F345300"/>
    <w:rsid w:val="6F5C7274"/>
    <w:rsid w:val="6FD35D60"/>
    <w:rsid w:val="6FFC5590"/>
    <w:rsid w:val="70080E6D"/>
    <w:rsid w:val="706D1DD0"/>
    <w:rsid w:val="707E17C8"/>
    <w:rsid w:val="70856B87"/>
    <w:rsid w:val="70D527EE"/>
    <w:rsid w:val="715B5300"/>
    <w:rsid w:val="71D27F8A"/>
    <w:rsid w:val="72553024"/>
    <w:rsid w:val="72593D1A"/>
    <w:rsid w:val="72F62F44"/>
    <w:rsid w:val="7306585C"/>
    <w:rsid w:val="73122968"/>
    <w:rsid w:val="731F5D5E"/>
    <w:rsid w:val="739B64B9"/>
    <w:rsid w:val="73C51AD5"/>
    <w:rsid w:val="73E96158"/>
    <w:rsid w:val="741E793C"/>
    <w:rsid w:val="745E3944"/>
    <w:rsid w:val="74917071"/>
    <w:rsid w:val="7635099D"/>
    <w:rsid w:val="76C84BF7"/>
    <w:rsid w:val="774B4C5D"/>
    <w:rsid w:val="776B5153"/>
    <w:rsid w:val="77762421"/>
    <w:rsid w:val="77B56B1F"/>
    <w:rsid w:val="780F09F4"/>
    <w:rsid w:val="7899684C"/>
    <w:rsid w:val="78A90480"/>
    <w:rsid w:val="7913626B"/>
    <w:rsid w:val="7A293BFF"/>
    <w:rsid w:val="7A364017"/>
    <w:rsid w:val="7A8265E1"/>
    <w:rsid w:val="7A9B5C5C"/>
    <w:rsid w:val="7AC51B7A"/>
    <w:rsid w:val="7AD92641"/>
    <w:rsid w:val="7AE6195B"/>
    <w:rsid w:val="7B686D42"/>
    <w:rsid w:val="7B6C46EB"/>
    <w:rsid w:val="7B841746"/>
    <w:rsid w:val="7C16743F"/>
    <w:rsid w:val="7C6C5AC7"/>
    <w:rsid w:val="7CA5458A"/>
    <w:rsid w:val="7CA918F7"/>
    <w:rsid w:val="7CC6544B"/>
    <w:rsid w:val="7CDE2C3B"/>
    <w:rsid w:val="7D0239FF"/>
    <w:rsid w:val="7D5E40CD"/>
    <w:rsid w:val="7D6053E9"/>
    <w:rsid w:val="7DCD56F2"/>
    <w:rsid w:val="7ED514B5"/>
    <w:rsid w:val="7F001CE7"/>
    <w:rsid w:val="7F56636A"/>
    <w:rsid w:val="7F64052D"/>
    <w:rsid w:val="7F66705A"/>
    <w:rsid w:val="7FC76394"/>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qFormat="1"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54"/>
    <w:qFormat/>
    <w:locked/>
    <w:uiPriority w:val="0"/>
    <w:pPr>
      <w:keepNext/>
      <w:keepLines/>
      <w:numPr>
        <w:ilvl w:val="0"/>
        <w:numId w:val="1"/>
      </w:numPr>
      <w:spacing w:line="360" w:lineRule="auto"/>
      <w:outlineLvl w:val="0"/>
    </w:pPr>
    <w:rPr>
      <w:rFonts w:eastAsia="黑体"/>
      <w:b/>
      <w:bCs/>
      <w:kern w:val="44"/>
      <w:sz w:val="36"/>
      <w:szCs w:val="44"/>
    </w:rPr>
  </w:style>
  <w:style w:type="paragraph" w:styleId="5">
    <w:name w:val="heading 2"/>
    <w:basedOn w:val="1"/>
    <w:next w:val="1"/>
    <w:link w:val="55"/>
    <w:unhideWhenUsed/>
    <w:qFormat/>
    <w:locked/>
    <w:uiPriority w:val="0"/>
    <w:pPr>
      <w:keepNext/>
      <w:keepLines/>
      <w:numPr>
        <w:ilvl w:val="1"/>
        <w:numId w:val="1"/>
      </w:numPr>
      <w:spacing w:line="360" w:lineRule="auto"/>
      <w:outlineLvl w:val="1"/>
    </w:pPr>
    <w:rPr>
      <w:rFonts w:ascii="Times New Roman" w:hAnsi="Times New Roman" w:eastAsia="黑体"/>
      <w:b/>
      <w:bCs/>
      <w:sz w:val="32"/>
      <w:szCs w:val="32"/>
    </w:rPr>
  </w:style>
  <w:style w:type="paragraph" w:styleId="6">
    <w:name w:val="heading 3"/>
    <w:basedOn w:val="1"/>
    <w:next w:val="7"/>
    <w:link w:val="56"/>
    <w:unhideWhenUsed/>
    <w:qFormat/>
    <w:locked/>
    <w:uiPriority w:val="0"/>
    <w:pPr>
      <w:keepNext/>
      <w:keepLines/>
      <w:numPr>
        <w:ilvl w:val="2"/>
        <w:numId w:val="1"/>
      </w:numPr>
      <w:spacing w:line="360" w:lineRule="auto"/>
      <w:outlineLvl w:val="2"/>
    </w:pPr>
    <w:rPr>
      <w:rFonts w:ascii="Times New Roman" w:hAnsi="Times New Roman" w:eastAsia="黑体"/>
      <w:b/>
      <w:bCs/>
      <w:sz w:val="28"/>
      <w:szCs w:val="32"/>
    </w:rPr>
  </w:style>
  <w:style w:type="paragraph" w:styleId="9">
    <w:name w:val="heading 4"/>
    <w:basedOn w:val="1"/>
    <w:next w:val="1"/>
    <w:link w:val="57"/>
    <w:unhideWhenUsed/>
    <w:qFormat/>
    <w:locked/>
    <w:uiPriority w:val="9"/>
    <w:pPr>
      <w:keepNext/>
      <w:keepLines/>
      <w:numPr>
        <w:ilvl w:val="3"/>
        <w:numId w:val="1"/>
      </w:numPr>
      <w:spacing w:before="280" w:after="290" w:line="376" w:lineRule="auto"/>
      <w:outlineLvl w:val="3"/>
    </w:pPr>
    <w:rPr>
      <w:rFonts w:ascii="Calibri Light" w:hAnsi="Calibri Light"/>
      <w:b/>
      <w:bCs/>
      <w:sz w:val="28"/>
      <w:szCs w:val="28"/>
    </w:rPr>
  </w:style>
  <w:style w:type="paragraph" w:styleId="10">
    <w:name w:val="heading 5"/>
    <w:basedOn w:val="1"/>
    <w:next w:val="1"/>
    <w:semiHidden/>
    <w:unhideWhenUsed/>
    <w:qFormat/>
    <w:locked/>
    <w:uiPriority w:val="0"/>
    <w:pPr>
      <w:keepNext/>
      <w:keepLines/>
      <w:numPr>
        <w:ilvl w:val="4"/>
        <w:numId w:val="1"/>
      </w:numPr>
      <w:spacing w:before="280" w:after="290" w:line="372" w:lineRule="auto"/>
      <w:outlineLvl w:val="4"/>
    </w:pPr>
    <w:rPr>
      <w:b/>
      <w:sz w:val="28"/>
    </w:rPr>
  </w:style>
  <w:style w:type="paragraph" w:styleId="11">
    <w:name w:val="heading 6"/>
    <w:basedOn w:val="1"/>
    <w:next w:val="1"/>
    <w:semiHidden/>
    <w:unhideWhenUsed/>
    <w:qFormat/>
    <w:locked/>
    <w:uiPriority w:val="0"/>
    <w:pPr>
      <w:keepNext/>
      <w:keepLines/>
      <w:numPr>
        <w:ilvl w:val="5"/>
        <w:numId w:val="1"/>
      </w:numPr>
      <w:spacing w:before="240" w:after="64" w:line="317" w:lineRule="auto"/>
      <w:outlineLvl w:val="5"/>
    </w:pPr>
    <w:rPr>
      <w:rFonts w:ascii="Arial" w:hAnsi="Arial" w:eastAsia="黑体"/>
      <w:b/>
      <w:sz w:val="24"/>
    </w:rPr>
  </w:style>
  <w:style w:type="paragraph" w:styleId="12">
    <w:name w:val="heading 7"/>
    <w:basedOn w:val="1"/>
    <w:next w:val="1"/>
    <w:semiHidden/>
    <w:unhideWhenUsed/>
    <w:qFormat/>
    <w:locked/>
    <w:uiPriority w:val="0"/>
    <w:pPr>
      <w:keepNext/>
      <w:keepLines/>
      <w:numPr>
        <w:ilvl w:val="6"/>
        <w:numId w:val="1"/>
      </w:numPr>
      <w:spacing w:before="240" w:after="64" w:line="317" w:lineRule="auto"/>
      <w:outlineLvl w:val="6"/>
    </w:pPr>
    <w:rPr>
      <w:b/>
      <w:sz w:val="24"/>
    </w:rPr>
  </w:style>
  <w:style w:type="paragraph" w:styleId="13">
    <w:name w:val="heading 8"/>
    <w:basedOn w:val="1"/>
    <w:next w:val="1"/>
    <w:semiHidden/>
    <w:unhideWhenUsed/>
    <w:qFormat/>
    <w:locked/>
    <w:uiPriority w:val="0"/>
    <w:pPr>
      <w:keepNext/>
      <w:keepLines/>
      <w:numPr>
        <w:ilvl w:val="7"/>
        <w:numId w:val="1"/>
      </w:numPr>
      <w:spacing w:before="240" w:after="64" w:line="317" w:lineRule="auto"/>
      <w:outlineLvl w:val="7"/>
    </w:pPr>
    <w:rPr>
      <w:rFonts w:ascii="Arial" w:hAnsi="Arial" w:eastAsia="黑体"/>
      <w:sz w:val="24"/>
    </w:rPr>
  </w:style>
  <w:style w:type="paragraph" w:styleId="14">
    <w:name w:val="heading 9"/>
    <w:basedOn w:val="1"/>
    <w:next w:val="1"/>
    <w:autoRedefine/>
    <w:semiHidden/>
    <w:unhideWhenUsed/>
    <w:qFormat/>
    <w:locked/>
    <w:uiPriority w:val="0"/>
    <w:pPr>
      <w:keepNext/>
      <w:keepLines/>
      <w:numPr>
        <w:ilvl w:val="8"/>
        <w:numId w:val="1"/>
      </w:numPr>
      <w:spacing w:before="240" w:after="64" w:line="317" w:lineRule="auto"/>
      <w:outlineLvl w:val="8"/>
    </w:pPr>
    <w:rPr>
      <w:rFonts w:ascii="Arial" w:hAnsi="Arial" w:eastAsia="黑体"/>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locked/>
    <w:uiPriority w:val="99"/>
    <w:pPr>
      <w:spacing w:after="0" w:line="420" w:lineRule="exact"/>
      <w:ind w:left="0" w:leftChars="0" w:firstLine="420"/>
    </w:pPr>
    <w:rPr>
      <w:rFonts w:ascii="仿宋_GB2312" w:eastAsia="Times New Roman"/>
      <w:sz w:val="24"/>
    </w:rPr>
  </w:style>
  <w:style w:type="paragraph" w:styleId="3">
    <w:name w:val="Body Text Indent"/>
    <w:basedOn w:val="1"/>
    <w:next w:val="2"/>
    <w:link w:val="51"/>
    <w:autoRedefine/>
    <w:qFormat/>
    <w:uiPriority w:val="0"/>
    <w:pPr>
      <w:spacing w:after="120"/>
      <w:ind w:left="420" w:leftChars="200"/>
    </w:pPr>
    <w:rPr>
      <w:kern w:val="0"/>
      <w:sz w:val="24"/>
      <w:szCs w:val="20"/>
    </w:rPr>
  </w:style>
  <w:style w:type="paragraph" w:styleId="7">
    <w:name w:val="Normal Indent"/>
    <w:basedOn w:val="1"/>
    <w:next w:val="8"/>
    <w:autoRedefine/>
    <w:qFormat/>
    <w:locked/>
    <w:uiPriority w:val="0"/>
    <w:pPr>
      <w:ind w:firstLine="420" w:firstLineChars="200"/>
    </w:pPr>
  </w:style>
  <w:style w:type="paragraph" w:styleId="8">
    <w:name w:val="envelope return"/>
    <w:basedOn w:val="1"/>
    <w:autoRedefine/>
    <w:qFormat/>
    <w:locked/>
    <w:uiPriority w:val="0"/>
    <w:pPr>
      <w:snapToGrid w:val="0"/>
    </w:pPr>
    <w:rPr>
      <w:rFonts w:ascii="Arial" w:hAnsi="Arial" w:cs="Arial"/>
    </w:rPr>
  </w:style>
  <w:style w:type="paragraph" w:styleId="15">
    <w:name w:val="Note Heading"/>
    <w:basedOn w:val="1"/>
    <w:next w:val="1"/>
    <w:autoRedefine/>
    <w:qFormat/>
    <w:locked/>
    <w:uiPriority w:val="0"/>
    <w:pPr>
      <w:jc w:val="left"/>
    </w:pPr>
  </w:style>
  <w:style w:type="paragraph" w:styleId="16">
    <w:name w:val="annotation text"/>
    <w:basedOn w:val="1"/>
    <w:link w:val="43"/>
    <w:semiHidden/>
    <w:qFormat/>
    <w:uiPriority w:val="0"/>
    <w:pPr>
      <w:jc w:val="left"/>
    </w:pPr>
    <w:rPr>
      <w:kern w:val="0"/>
      <w:sz w:val="24"/>
      <w:szCs w:val="20"/>
    </w:rPr>
  </w:style>
  <w:style w:type="paragraph" w:styleId="17">
    <w:name w:val="index 6"/>
    <w:basedOn w:val="1"/>
    <w:next w:val="1"/>
    <w:autoRedefine/>
    <w:qFormat/>
    <w:locked/>
    <w:uiPriority w:val="0"/>
    <w:pPr>
      <w:ind w:left="1000" w:leftChars="1000"/>
    </w:pPr>
  </w:style>
  <w:style w:type="paragraph" w:styleId="18">
    <w:name w:val="Body Text"/>
    <w:basedOn w:val="1"/>
    <w:link w:val="42"/>
    <w:autoRedefine/>
    <w:qFormat/>
    <w:uiPriority w:val="0"/>
    <w:pPr>
      <w:widowControl/>
      <w:snapToGrid w:val="0"/>
      <w:spacing w:before="60" w:after="160" w:line="259" w:lineRule="auto"/>
      <w:ind w:right="113"/>
    </w:pPr>
    <w:rPr>
      <w:kern w:val="0"/>
      <w:sz w:val="18"/>
      <w:szCs w:val="20"/>
    </w:rPr>
  </w:style>
  <w:style w:type="paragraph" w:styleId="19">
    <w:name w:val="Plain Text"/>
    <w:basedOn w:val="1"/>
    <w:autoRedefine/>
    <w:qFormat/>
    <w:locked/>
    <w:uiPriority w:val="0"/>
    <w:rPr>
      <w:rFonts w:ascii="宋体" w:hAnsi="Courier New" w:cs="Courier New"/>
      <w:szCs w:val="21"/>
    </w:rPr>
  </w:style>
  <w:style w:type="paragraph" w:styleId="20">
    <w:name w:val="List Bullet 5"/>
    <w:basedOn w:val="1"/>
    <w:autoRedefine/>
    <w:qFormat/>
    <w:locked/>
    <w:uiPriority w:val="0"/>
    <w:pPr>
      <w:numPr>
        <w:ilvl w:val="0"/>
        <w:numId w:val="2"/>
      </w:numPr>
    </w:pPr>
  </w:style>
  <w:style w:type="paragraph" w:styleId="21">
    <w:name w:val="Date"/>
    <w:basedOn w:val="1"/>
    <w:next w:val="1"/>
    <w:link w:val="38"/>
    <w:autoRedefine/>
    <w:qFormat/>
    <w:uiPriority w:val="0"/>
    <w:pPr>
      <w:ind w:left="100" w:leftChars="2500"/>
    </w:pPr>
    <w:rPr>
      <w:kern w:val="0"/>
      <w:sz w:val="24"/>
      <w:szCs w:val="20"/>
    </w:rPr>
  </w:style>
  <w:style w:type="paragraph" w:styleId="22">
    <w:name w:val="Balloon Text"/>
    <w:basedOn w:val="1"/>
    <w:link w:val="47"/>
    <w:semiHidden/>
    <w:qFormat/>
    <w:uiPriority w:val="0"/>
    <w:rPr>
      <w:kern w:val="0"/>
      <w:sz w:val="18"/>
      <w:szCs w:val="20"/>
    </w:rPr>
  </w:style>
  <w:style w:type="paragraph" w:styleId="23">
    <w:name w:val="footer"/>
    <w:basedOn w:val="1"/>
    <w:link w:val="37"/>
    <w:autoRedefine/>
    <w:qFormat/>
    <w:uiPriority w:val="99"/>
    <w:pPr>
      <w:tabs>
        <w:tab w:val="center" w:pos="4153"/>
        <w:tab w:val="right" w:pos="8306"/>
      </w:tabs>
      <w:snapToGrid w:val="0"/>
      <w:jc w:val="left"/>
    </w:pPr>
    <w:rPr>
      <w:kern w:val="0"/>
      <w:sz w:val="18"/>
      <w:szCs w:val="20"/>
    </w:rPr>
  </w:style>
  <w:style w:type="paragraph" w:styleId="24">
    <w:name w:val="header"/>
    <w:basedOn w:val="1"/>
    <w:link w:val="49"/>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Normal (Web)"/>
    <w:basedOn w:val="1"/>
    <w:link w:val="40"/>
    <w:autoRedefine/>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16"/>
    <w:next w:val="16"/>
    <w:link w:val="48"/>
    <w:autoRedefine/>
    <w:semiHidden/>
    <w:qFormat/>
    <w:uiPriority w:val="0"/>
    <w:rPr>
      <w:b/>
    </w:rPr>
  </w:style>
  <w:style w:type="paragraph" w:styleId="27">
    <w:name w:val="Body Text First Indent"/>
    <w:basedOn w:val="18"/>
    <w:qFormat/>
    <w:locked/>
    <w:uiPriority w:val="0"/>
    <w:pPr>
      <w:ind w:firstLine="640" w:firstLineChars="200"/>
    </w:pPr>
    <w:rPr>
      <w:rFonts w:ascii="Times New Roman" w:hAnsi="Times New Roman"/>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locked/>
    <w:uiPriority w:val="0"/>
    <w:rPr>
      <w:b/>
    </w:rPr>
  </w:style>
  <w:style w:type="character" w:styleId="32">
    <w:name w:val="page number"/>
    <w:basedOn w:val="30"/>
    <w:autoRedefine/>
    <w:qFormat/>
    <w:locked/>
    <w:uiPriority w:val="0"/>
  </w:style>
  <w:style w:type="character" w:styleId="33">
    <w:name w:val="Emphasis"/>
    <w:basedOn w:val="30"/>
    <w:autoRedefine/>
    <w:qFormat/>
    <w:locked/>
    <w:uiPriority w:val="0"/>
    <w:rPr>
      <w:i/>
    </w:rPr>
  </w:style>
  <w:style w:type="character" w:styleId="34">
    <w:name w:val="Hyperlink"/>
    <w:basedOn w:val="30"/>
    <w:autoRedefine/>
    <w:qFormat/>
    <w:locked/>
    <w:uiPriority w:val="0"/>
    <w:rPr>
      <w:color w:val="0000FF"/>
      <w:u w:val="single"/>
    </w:rPr>
  </w:style>
  <w:style w:type="character" w:styleId="35">
    <w:name w:val="annotation reference"/>
    <w:autoRedefine/>
    <w:semiHidden/>
    <w:qFormat/>
    <w:uiPriority w:val="0"/>
    <w:rPr>
      <w:sz w:val="21"/>
    </w:rPr>
  </w:style>
  <w:style w:type="paragraph" w:customStyle="1" w:styleId="36">
    <w:name w:val="Default"/>
    <w:autoRedefine/>
    <w:qFormat/>
    <w:uiPriority w:val="0"/>
    <w:pPr>
      <w:widowControl w:val="0"/>
      <w:autoSpaceDE w:val="0"/>
      <w:autoSpaceDN w:val="0"/>
      <w:adjustRightInd w:val="0"/>
    </w:pPr>
    <w:rPr>
      <w:rFonts w:ascii="..ì." w:hAnsi="Times New Roman" w:eastAsia="..ì." w:cs="Times New Roman"/>
      <w:color w:val="000000"/>
      <w:sz w:val="24"/>
      <w:lang w:val="en-US" w:eastAsia="zh-CN" w:bidi="ar-SA"/>
    </w:rPr>
  </w:style>
  <w:style w:type="character" w:customStyle="1" w:styleId="37">
    <w:name w:val="页脚 Char"/>
    <w:link w:val="23"/>
    <w:autoRedefine/>
    <w:qFormat/>
    <w:locked/>
    <w:uiPriority w:val="99"/>
    <w:rPr>
      <w:kern w:val="0"/>
      <w:sz w:val="18"/>
      <w:szCs w:val="20"/>
    </w:rPr>
  </w:style>
  <w:style w:type="character" w:customStyle="1" w:styleId="38">
    <w:name w:val="日期 Char"/>
    <w:link w:val="21"/>
    <w:autoRedefine/>
    <w:qFormat/>
    <w:locked/>
    <w:uiPriority w:val="0"/>
    <w:rPr>
      <w:kern w:val="0"/>
      <w:sz w:val="24"/>
      <w:szCs w:val="20"/>
    </w:rPr>
  </w:style>
  <w:style w:type="character" w:customStyle="1" w:styleId="39">
    <w:name w:val="页脚 字符"/>
    <w:basedOn w:val="30"/>
    <w:autoRedefine/>
    <w:qFormat/>
    <w:uiPriority w:val="99"/>
  </w:style>
  <w:style w:type="character" w:customStyle="1" w:styleId="40">
    <w:name w:val="普通(网站) Char"/>
    <w:link w:val="25"/>
    <w:autoRedefine/>
    <w:qFormat/>
    <w:locked/>
    <w:uiPriority w:val="0"/>
    <w:rPr>
      <w:rFonts w:ascii="宋体" w:hAnsi="宋体"/>
      <w:kern w:val="0"/>
      <w:sz w:val="24"/>
      <w:szCs w:val="20"/>
    </w:rPr>
  </w:style>
  <w:style w:type="character" w:customStyle="1" w:styleId="41">
    <w:name w:val="正文文本 字符1"/>
    <w:autoRedefine/>
    <w:semiHidden/>
    <w:qFormat/>
    <w:uiPriority w:val="0"/>
    <w:rPr>
      <w:rFonts w:ascii="Times New Roman" w:hAnsi="Times New Roman" w:eastAsia="宋体"/>
      <w:sz w:val="24"/>
    </w:rPr>
  </w:style>
  <w:style w:type="character" w:customStyle="1" w:styleId="42">
    <w:name w:val="正文文本 Char"/>
    <w:link w:val="18"/>
    <w:autoRedefine/>
    <w:qFormat/>
    <w:locked/>
    <w:uiPriority w:val="0"/>
    <w:rPr>
      <w:kern w:val="0"/>
      <w:sz w:val="18"/>
      <w:szCs w:val="20"/>
    </w:rPr>
  </w:style>
  <w:style w:type="character" w:customStyle="1" w:styleId="43">
    <w:name w:val="批注文字 Char"/>
    <w:link w:val="16"/>
    <w:autoRedefine/>
    <w:qFormat/>
    <w:locked/>
    <w:uiPriority w:val="0"/>
    <w:rPr>
      <w:kern w:val="0"/>
      <w:sz w:val="24"/>
      <w:szCs w:val="20"/>
    </w:rPr>
  </w:style>
  <w:style w:type="character" w:customStyle="1" w:styleId="44">
    <w:name w:val="表格 Char"/>
    <w:link w:val="45"/>
    <w:autoRedefine/>
    <w:qFormat/>
    <w:locked/>
    <w:uiPriority w:val="0"/>
    <w:rPr>
      <w:rFonts w:ascii="宋体"/>
      <w:sz w:val="21"/>
    </w:rPr>
  </w:style>
  <w:style w:type="paragraph" w:customStyle="1" w:styleId="45">
    <w:name w:val="表格"/>
    <w:basedOn w:val="1"/>
    <w:next w:val="1"/>
    <w:link w:val="44"/>
    <w:autoRedefine/>
    <w:qFormat/>
    <w:uiPriority w:val="0"/>
    <w:pPr>
      <w:adjustRightInd w:val="0"/>
      <w:snapToGrid w:val="0"/>
      <w:spacing w:beforeLines="10" w:afterLines="10" w:line="259" w:lineRule="auto"/>
      <w:jc w:val="center"/>
    </w:pPr>
    <w:rPr>
      <w:rFonts w:ascii="宋体"/>
    </w:rPr>
  </w:style>
  <w:style w:type="character" w:customStyle="1" w:styleId="46">
    <w:name w:val="日期 字符"/>
    <w:autoRedefine/>
    <w:semiHidden/>
    <w:qFormat/>
    <w:uiPriority w:val="0"/>
    <w:rPr>
      <w:rFonts w:ascii="Times New Roman" w:hAnsi="Times New Roman" w:eastAsia="宋体"/>
      <w:sz w:val="24"/>
    </w:rPr>
  </w:style>
  <w:style w:type="character" w:customStyle="1" w:styleId="47">
    <w:name w:val="批注框文本 Char"/>
    <w:link w:val="22"/>
    <w:autoRedefine/>
    <w:semiHidden/>
    <w:qFormat/>
    <w:locked/>
    <w:uiPriority w:val="0"/>
    <w:rPr>
      <w:kern w:val="0"/>
      <w:sz w:val="18"/>
      <w:szCs w:val="20"/>
    </w:rPr>
  </w:style>
  <w:style w:type="character" w:customStyle="1" w:styleId="48">
    <w:name w:val="批注主题 Char"/>
    <w:link w:val="26"/>
    <w:autoRedefine/>
    <w:semiHidden/>
    <w:qFormat/>
    <w:locked/>
    <w:uiPriority w:val="0"/>
    <w:rPr>
      <w:b/>
    </w:rPr>
  </w:style>
  <w:style w:type="character" w:customStyle="1" w:styleId="49">
    <w:name w:val="页眉 Char"/>
    <w:link w:val="24"/>
    <w:autoRedefine/>
    <w:qFormat/>
    <w:locked/>
    <w:uiPriority w:val="0"/>
    <w:rPr>
      <w:kern w:val="0"/>
      <w:sz w:val="18"/>
      <w:szCs w:val="20"/>
    </w:rPr>
  </w:style>
  <w:style w:type="character" w:customStyle="1" w:styleId="50">
    <w:name w:val="批注文字 字符1"/>
    <w:autoRedefine/>
    <w:semiHidden/>
    <w:qFormat/>
    <w:uiPriority w:val="0"/>
    <w:rPr>
      <w:rFonts w:ascii="Times New Roman" w:hAnsi="Times New Roman" w:eastAsia="宋体"/>
      <w:sz w:val="24"/>
    </w:rPr>
  </w:style>
  <w:style w:type="character" w:customStyle="1" w:styleId="51">
    <w:name w:val="正文文本缩进 Char"/>
    <w:link w:val="3"/>
    <w:autoRedefine/>
    <w:semiHidden/>
    <w:qFormat/>
    <w:locked/>
    <w:uiPriority w:val="0"/>
    <w:rPr>
      <w:kern w:val="0"/>
      <w:sz w:val="24"/>
      <w:szCs w:val="20"/>
    </w:rPr>
  </w:style>
  <w:style w:type="paragraph" w:customStyle="1" w:styleId="5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autoRedefine/>
    <w:qFormat/>
    <w:uiPriority w:val="0"/>
    <w:pPr>
      <w:widowControl/>
      <w:spacing w:before="100" w:beforeAutospacing="1" w:after="100" w:afterAutospacing="1"/>
      <w:jc w:val="left"/>
    </w:pPr>
    <w:rPr>
      <w:rFonts w:ascii="宋体" w:hAnsi="宋体"/>
      <w:sz w:val="24"/>
      <w:szCs w:val="20"/>
    </w:rPr>
  </w:style>
  <w:style w:type="character" w:customStyle="1" w:styleId="54">
    <w:name w:val="标题 1 Char"/>
    <w:link w:val="4"/>
    <w:autoRedefine/>
    <w:qFormat/>
    <w:uiPriority w:val="0"/>
    <w:rPr>
      <w:rFonts w:eastAsia="黑体"/>
      <w:b/>
      <w:bCs/>
      <w:kern w:val="44"/>
      <w:sz w:val="36"/>
      <w:szCs w:val="44"/>
    </w:rPr>
  </w:style>
  <w:style w:type="character" w:customStyle="1" w:styleId="55">
    <w:name w:val="标题 2 Char"/>
    <w:link w:val="5"/>
    <w:autoRedefine/>
    <w:qFormat/>
    <w:uiPriority w:val="0"/>
    <w:rPr>
      <w:rFonts w:ascii="Times New Roman" w:hAnsi="Times New Roman" w:eastAsia="黑体"/>
      <w:b/>
      <w:bCs/>
      <w:sz w:val="32"/>
      <w:szCs w:val="32"/>
    </w:rPr>
  </w:style>
  <w:style w:type="character" w:customStyle="1" w:styleId="56">
    <w:name w:val="标题 3 Char"/>
    <w:link w:val="6"/>
    <w:autoRedefine/>
    <w:qFormat/>
    <w:uiPriority w:val="0"/>
    <w:rPr>
      <w:rFonts w:ascii="Times New Roman" w:hAnsi="Times New Roman" w:eastAsia="黑体"/>
      <w:b/>
      <w:bCs/>
      <w:sz w:val="28"/>
      <w:szCs w:val="32"/>
    </w:rPr>
  </w:style>
  <w:style w:type="character" w:customStyle="1" w:styleId="57">
    <w:name w:val="标题 4 Char"/>
    <w:link w:val="9"/>
    <w:autoRedefine/>
    <w:qFormat/>
    <w:uiPriority w:val="9"/>
    <w:rPr>
      <w:rFonts w:ascii="Calibri Light" w:hAnsi="Calibri Light"/>
      <w:b/>
      <w:bCs/>
      <w:sz w:val="28"/>
      <w:szCs w:val="28"/>
    </w:rPr>
  </w:style>
  <w:style w:type="paragraph" w:customStyle="1" w:styleId="58">
    <w:name w:val="金皇-备注"/>
    <w:basedOn w:val="1"/>
    <w:next w:val="1"/>
    <w:link w:val="59"/>
    <w:autoRedefine/>
    <w:qFormat/>
    <w:uiPriority w:val="0"/>
    <w:pPr>
      <w:widowControl/>
      <w:jc w:val="left"/>
    </w:pPr>
    <w:rPr>
      <w:rFonts w:ascii="Times New Roman" w:hAnsi="Times New Roman"/>
      <w:i/>
      <w:szCs w:val="24"/>
      <w:lang w:eastAsia="en-US" w:bidi="en-US"/>
    </w:rPr>
  </w:style>
  <w:style w:type="character" w:customStyle="1" w:styleId="59">
    <w:name w:val="金皇-备注 Char"/>
    <w:link w:val="58"/>
    <w:autoRedefine/>
    <w:qFormat/>
    <w:uiPriority w:val="0"/>
    <w:rPr>
      <w:rFonts w:ascii="Times New Roman" w:hAnsi="Times New Roman"/>
      <w:i/>
      <w:szCs w:val="24"/>
      <w:lang w:eastAsia="en-US" w:bidi="en-US"/>
    </w:rPr>
  </w:style>
  <w:style w:type="paragraph" w:customStyle="1" w:styleId="60">
    <w:name w:val="金皇-标题1"/>
    <w:basedOn w:val="4"/>
    <w:link w:val="61"/>
    <w:autoRedefine/>
    <w:qFormat/>
    <w:uiPriority w:val="0"/>
    <w:pPr>
      <w:numPr>
        <w:ilvl w:val="0"/>
        <w:numId w:val="0"/>
      </w:numPr>
      <w:tabs>
        <w:tab w:val="left" w:pos="1960"/>
      </w:tabs>
      <w:jc w:val="left"/>
    </w:pPr>
    <w:rPr>
      <w:rFonts w:ascii="Times New Roman" w:hAnsi="Times New Roman"/>
    </w:rPr>
  </w:style>
  <w:style w:type="character" w:customStyle="1" w:styleId="61">
    <w:name w:val="金皇-标题1 Char"/>
    <w:link w:val="60"/>
    <w:autoRedefine/>
    <w:qFormat/>
    <w:uiPriority w:val="0"/>
    <w:rPr>
      <w:rFonts w:ascii="Times New Roman" w:hAnsi="Times New Roman"/>
    </w:rPr>
  </w:style>
  <w:style w:type="paragraph" w:customStyle="1" w:styleId="62">
    <w:name w:val="金皇-标题2"/>
    <w:basedOn w:val="5"/>
    <w:link w:val="63"/>
    <w:autoRedefine/>
    <w:qFormat/>
    <w:uiPriority w:val="0"/>
    <w:pPr>
      <w:keepNext w:val="0"/>
      <w:keepLines w:val="0"/>
      <w:numPr>
        <w:ilvl w:val="0"/>
        <w:numId w:val="0"/>
      </w:numPr>
      <w:jc w:val="left"/>
    </w:pPr>
  </w:style>
  <w:style w:type="character" w:customStyle="1" w:styleId="63">
    <w:name w:val="金皇-标题2 Char"/>
    <w:link w:val="62"/>
    <w:autoRedefine/>
    <w:qFormat/>
    <w:uiPriority w:val="0"/>
  </w:style>
  <w:style w:type="paragraph" w:customStyle="1" w:styleId="64">
    <w:name w:val="金皇-标题3"/>
    <w:basedOn w:val="6"/>
    <w:link w:val="65"/>
    <w:autoRedefine/>
    <w:qFormat/>
    <w:uiPriority w:val="0"/>
    <w:pPr>
      <w:keepNext w:val="0"/>
      <w:keepLines w:val="0"/>
      <w:numPr>
        <w:numId w:val="3"/>
      </w:numPr>
      <w:tabs>
        <w:tab w:val="left" w:pos="644"/>
        <w:tab w:val="left" w:pos="2160"/>
      </w:tabs>
      <w:jc w:val="left"/>
    </w:pPr>
    <w:rPr>
      <w:szCs w:val="30"/>
    </w:rPr>
  </w:style>
  <w:style w:type="character" w:customStyle="1" w:styleId="65">
    <w:name w:val="金皇-标题3 Char"/>
    <w:link w:val="64"/>
    <w:autoRedefine/>
    <w:qFormat/>
    <w:uiPriority w:val="0"/>
    <w:rPr>
      <w:szCs w:val="30"/>
    </w:rPr>
  </w:style>
  <w:style w:type="paragraph" w:customStyle="1" w:styleId="66">
    <w:name w:val="金皇-标题4"/>
    <w:basedOn w:val="9"/>
    <w:link w:val="67"/>
    <w:autoRedefine/>
    <w:qFormat/>
    <w:uiPriority w:val="0"/>
    <w:pPr>
      <w:tabs>
        <w:tab w:val="left" w:pos="0"/>
        <w:tab w:val="left" w:pos="420"/>
      </w:tabs>
      <w:spacing w:before="0" w:after="0" w:line="360" w:lineRule="auto"/>
      <w:ind w:right="-105"/>
      <w:jc w:val="left"/>
    </w:pPr>
    <w:rPr>
      <w:rFonts w:ascii="Times New Roman" w:hAnsi="Times New Roman"/>
    </w:rPr>
  </w:style>
  <w:style w:type="character" w:customStyle="1" w:styleId="67">
    <w:name w:val="金皇-标题4 Char"/>
    <w:link w:val="66"/>
    <w:autoRedefine/>
    <w:qFormat/>
    <w:uiPriority w:val="0"/>
    <w:rPr>
      <w:rFonts w:ascii="Times New Roman" w:hAnsi="Times New Roman"/>
    </w:rPr>
  </w:style>
  <w:style w:type="paragraph" w:customStyle="1" w:styleId="68">
    <w:name w:val="金皇-表（图）头"/>
    <w:basedOn w:val="1"/>
    <w:link w:val="69"/>
    <w:autoRedefine/>
    <w:qFormat/>
    <w:uiPriority w:val="0"/>
    <w:pPr>
      <w:adjustRightInd w:val="0"/>
      <w:jc w:val="center"/>
      <w:outlineLvl w:val="4"/>
    </w:pPr>
    <w:rPr>
      <w:rFonts w:ascii="Times New Roman" w:hAnsi="Times New Roman" w:eastAsia="黑体"/>
      <w:b/>
      <w:sz w:val="24"/>
    </w:rPr>
  </w:style>
  <w:style w:type="character" w:customStyle="1" w:styleId="69">
    <w:name w:val="金皇-表（图）头 Char"/>
    <w:link w:val="68"/>
    <w:autoRedefine/>
    <w:qFormat/>
    <w:uiPriority w:val="0"/>
    <w:rPr>
      <w:rFonts w:ascii="Times New Roman" w:hAnsi="Times New Roman" w:eastAsia="黑体"/>
      <w:b/>
      <w:sz w:val="24"/>
    </w:rPr>
  </w:style>
  <w:style w:type="paragraph" w:customStyle="1" w:styleId="70">
    <w:name w:val="金皇-表格内文字"/>
    <w:basedOn w:val="1"/>
    <w:link w:val="71"/>
    <w:autoRedefine/>
    <w:qFormat/>
    <w:uiPriority w:val="0"/>
    <w:pPr>
      <w:tabs>
        <w:tab w:val="left" w:pos="0"/>
      </w:tabs>
      <w:adjustRightInd w:val="0"/>
      <w:snapToGrid w:val="0"/>
      <w:jc w:val="center"/>
    </w:pPr>
    <w:rPr>
      <w:rFonts w:ascii="Times New Roman" w:hAnsi="Times New Roman"/>
      <w:snapToGrid w:val="0"/>
    </w:rPr>
  </w:style>
  <w:style w:type="character" w:customStyle="1" w:styleId="71">
    <w:name w:val="金皇-表格内文字 Char"/>
    <w:link w:val="70"/>
    <w:autoRedefine/>
    <w:qFormat/>
    <w:uiPriority w:val="0"/>
    <w:rPr>
      <w:rFonts w:ascii="Times New Roman" w:hAnsi="Times New Roman"/>
      <w:snapToGrid w:val="0"/>
    </w:rPr>
  </w:style>
  <w:style w:type="paragraph" w:customStyle="1" w:styleId="72">
    <w:name w:val="金皇-正文"/>
    <w:basedOn w:val="1"/>
    <w:link w:val="73"/>
    <w:autoRedefine/>
    <w:qFormat/>
    <w:uiPriority w:val="0"/>
    <w:pPr>
      <w:spacing w:line="360" w:lineRule="auto"/>
      <w:ind w:firstLine="200" w:firstLineChars="200"/>
    </w:pPr>
    <w:rPr>
      <w:rFonts w:ascii="Times New Roman" w:hAnsi="Times New Roman" w:eastAsia="宋体"/>
      <w:sz w:val="24"/>
      <w:szCs w:val="24"/>
    </w:rPr>
  </w:style>
  <w:style w:type="character" w:customStyle="1" w:styleId="73">
    <w:name w:val="金皇-正文 Char"/>
    <w:link w:val="72"/>
    <w:autoRedefine/>
    <w:qFormat/>
    <w:uiPriority w:val="0"/>
    <w:rPr>
      <w:rFonts w:ascii="Times New Roman" w:hAnsi="Times New Roman" w:eastAsia="宋体"/>
      <w:sz w:val="24"/>
      <w:szCs w:val="24"/>
    </w:rPr>
  </w:style>
  <w:style w:type="paragraph" w:customStyle="1" w:styleId="74">
    <w:name w:val="Table Paragraph"/>
    <w:basedOn w:val="1"/>
    <w:autoRedefine/>
    <w:qFormat/>
    <w:uiPriority w:val="1"/>
    <w:pPr>
      <w:jc w:val="center"/>
    </w:pPr>
    <w:rPr>
      <w:rFonts w:ascii="宋体" w:hAnsi="宋体" w:cs="宋体"/>
      <w:lang w:val="zh-CN" w:bidi="zh-CN"/>
    </w:rPr>
  </w:style>
  <w:style w:type="paragraph" w:customStyle="1" w:styleId="75">
    <w:name w:val="表格内容CCW"/>
    <w:basedOn w:val="1"/>
    <w:autoRedefine/>
    <w:qFormat/>
    <w:uiPriority w:val="0"/>
    <w:pPr>
      <w:jc w:val="center"/>
    </w:pPr>
    <w:rPr>
      <w:sz w:val="18"/>
    </w:rPr>
  </w:style>
  <w:style w:type="paragraph" w:customStyle="1" w:styleId="76">
    <w:name w:val="1-表格内文字"/>
    <w:basedOn w:val="1"/>
    <w:autoRedefine/>
    <w:qFormat/>
    <w:uiPriority w:val="0"/>
    <w:pPr>
      <w:tabs>
        <w:tab w:val="left" w:pos="0"/>
      </w:tabs>
      <w:adjustRightInd w:val="0"/>
      <w:snapToGrid w:val="0"/>
      <w:jc w:val="center"/>
    </w:pPr>
    <w:rPr>
      <w:rFonts w:ascii="Times New Roman" w:hAnsi="Times New Roman"/>
      <w:snapToGrid w:val="0"/>
      <w:szCs w:val="21"/>
    </w:rPr>
  </w:style>
  <w:style w:type="paragraph" w:customStyle="1" w:styleId="77">
    <w:name w:val="正文(首行缩进)"/>
    <w:basedOn w:val="1"/>
    <w:autoRedefine/>
    <w:qFormat/>
    <w:uiPriority w:val="0"/>
    <w:pPr>
      <w:adjustRightInd w:val="0"/>
      <w:snapToGrid w:val="0"/>
      <w:spacing w:line="360" w:lineRule="auto"/>
      <w:ind w:firstLine="200" w:firstLineChars="200"/>
    </w:pPr>
    <w:rPr>
      <w:rFonts w:ascii="Times New Roman" w:hAnsi="Times New Roman"/>
      <w:snapToGrid w:val="0"/>
      <w:kern w:val="0"/>
    </w:rPr>
  </w:style>
  <w:style w:type="paragraph" w:customStyle="1" w:styleId="78">
    <w:name w:val="5文章正文"/>
    <w:basedOn w:val="1"/>
    <w:autoRedefine/>
    <w:qFormat/>
    <w:uiPriority w:val="0"/>
    <w:pPr>
      <w:ind w:firstLine="200" w:firstLineChars="200"/>
    </w:pPr>
    <w:rPr>
      <w:rFonts w:asciiTheme="minorHAnsi" w:hAnsiTheme="minorHAnsi" w:eastAsiaTheme="minorEastAsia" w:cstheme="minorBidi"/>
      <w:sz w:val="24"/>
      <w:szCs w:val="24"/>
    </w:rPr>
  </w:style>
  <w:style w:type="paragraph" w:customStyle="1" w:styleId="79">
    <w:name w:val="5文章(治)"/>
    <w:basedOn w:val="1"/>
    <w:next w:val="17"/>
    <w:autoRedefine/>
    <w:qFormat/>
    <w:uiPriority w:val="0"/>
    <w:pPr>
      <w:spacing w:line="360" w:lineRule="auto"/>
      <w:ind w:firstLine="480" w:firstLineChars="200"/>
    </w:pPr>
    <w:rPr>
      <w:snapToGrid w:val="0"/>
      <w:color w:val="000000"/>
      <w:kern w:val="0"/>
      <w:sz w:val="24"/>
      <w:szCs w:val="20"/>
      <w:lang w:val="en-GB"/>
    </w:rPr>
  </w:style>
  <w:style w:type="character" w:customStyle="1" w:styleId="80">
    <w:name w:val="5文章(治) Char1"/>
    <w:autoRedefine/>
    <w:qFormat/>
    <w:uiPriority w:val="0"/>
    <w:rPr>
      <w:rFonts w:ascii="Times New Roman" w:hAnsi="Times New Roman" w:eastAsia="宋体" w:cs="Times New Roman"/>
      <w:kern w:val="2"/>
      <w:sz w:val="24"/>
      <w:szCs w:val="24"/>
    </w:rPr>
  </w:style>
  <w:style w:type="paragraph" w:customStyle="1" w:styleId="81">
    <w:name w:val="样式 首行缩进:  2 字符1"/>
    <w:basedOn w:val="1"/>
    <w:autoRedefine/>
    <w:qFormat/>
    <w:uiPriority w:val="0"/>
    <w:pPr>
      <w:snapToGrid w:val="0"/>
    </w:pPr>
    <w:rPr>
      <w:rFonts w:cs="宋体"/>
    </w:rPr>
  </w:style>
  <w:style w:type="paragraph" w:customStyle="1" w:styleId="82">
    <w:name w:val="正文（小四）"/>
    <w:autoRedefine/>
    <w:qFormat/>
    <w:uiPriority w:val="0"/>
    <w:pPr>
      <w:spacing w:line="360" w:lineRule="auto"/>
      <w:ind w:firstLine="200" w:firstLineChars="200"/>
      <w:jc w:val="both"/>
    </w:pPr>
    <w:rPr>
      <w:rFonts w:ascii="Calibri" w:hAnsi="Calibri" w:eastAsia="宋体" w:cs="Times New Roman"/>
      <w:bCs/>
      <w:kern w:val="2"/>
      <w:sz w:val="24"/>
      <w:szCs w:val="32"/>
      <w:lang w:val="en-US" w:eastAsia="zh-CN" w:bidi="ar-SA"/>
    </w:rPr>
  </w:style>
  <w:style w:type="paragraph" w:customStyle="1" w:styleId="83">
    <w:name w:val="Body text|1"/>
    <w:basedOn w:val="1"/>
    <w:autoRedefine/>
    <w:qFormat/>
    <w:uiPriority w:val="0"/>
    <w:pPr>
      <w:widowControl w:val="0"/>
      <w:shd w:val="clear" w:color="auto" w:fill="auto"/>
      <w:spacing w:line="451" w:lineRule="auto"/>
      <w:ind w:firstLine="400"/>
    </w:pPr>
    <w:rPr>
      <w:rFonts w:ascii="宋体" w:hAnsi="宋体" w:eastAsia="宋体" w:cs="宋体"/>
      <w:sz w:val="18"/>
      <w:szCs w:val="18"/>
      <w:u w:val="none"/>
      <w:shd w:val="clear" w:color="auto" w:fill="auto"/>
      <w:lang w:val="zh-CN" w:eastAsia="zh-CN" w:bidi="zh-CN"/>
    </w:rPr>
  </w:style>
  <w:style w:type="paragraph" w:customStyle="1" w:styleId="84">
    <w:name w:val="7表格(治)"/>
    <w:autoRedefine/>
    <w:qFormat/>
    <w:uiPriority w:val="0"/>
    <w:pPr>
      <w:jc w:val="center"/>
    </w:pPr>
    <w:rPr>
      <w:rFonts w:ascii="Calibri" w:hAnsi="Calibri" w:eastAsia="宋体" w:cs="Times New Roman"/>
      <w:sz w:val="21"/>
      <w:lang w:val="en-US" w:eastAsia="zh-CN" w:bidi="ar-SA"/>
    </w:rPr>
  </w:style>
  <w:style w:type="paragraph" w:customStyle="1" w:styleId="85">
    <w:name w:val="表文字"/>
    <w:basedOn w:val="1"/>
    <w:autoRedefine/>
    <w:qFormat/>
    <w:uiPriority w:val="0"/>
    <w:pPr>
      <w:overflowPunct w:val="0"/>
      <w:autoSpaceDE w:val="0"/>
      <w:autoSpaceDN w:val="0"/>
      <w:adjustRightInd w:val="0"/>
      <w:jc w:val="center"/>
      <w:textAlignment w:val="baseline"/>
    </w:pPr>
    <w:rPr>
      <w:rFonts w:ascii="Times New Roman" w:hAnsi="Times New Roman" w:eastAsia="宋体" w:cs="Times New Roman"/>
      <w:kern w:val="0"/>
      <w:sz w:val="21"/>
      <w:szCs w:val="20"/>
      <w:lang w:eastAsia="zh-CN"/>
    </w:rPr>
  </w:style>
  <w:style w:type="paragraph" w:customStyle="1" w:styleId="86">
    <w:name w:val="表格标题"/>
    <w:basedOn w:val="1"/>
    <w:autoRedefine/>
    <w:qFormat/>
    <w:uiPriority w:val="0"/>
    <w:pPr>
      <w:spacing w:beforeLines="50"/>
      <w:jc w:val="center"/>
    </w:pPr>
    <w:rPr>
      <w:b/>
      <w:szCs w:val="20"/>
    </w:rPr>
  </w:style>
  <w:style w:type="character" w:customStyle="1" w:styleId="87">
    <w:name w:val="font31"/>
    <w:basedOn w:val="30"/>
    <w:autoRedefine/>
    <w:qFormat/>
    <w:uiPriority w:val="0"/>
    <w:rPr>
      <w:rFonts w:hint="eastAsia" w:ascii="宋体" w:hAnsi="宋体" w:eastAsia="宋体" w:cs="宋体"/>
      <w:color w:val="000000"/>
      <w:sz w:val="21"/>
      <w:szCs w:val="21"/>
      <w:u w:val="none"/>
    </w:rPr>
  </w:style>
  <w:style w:type="character" w:customStyle="1" w:styleId="88">
    <w:name w:val="font41"/>
    <w:basedOn w:val="30"/>
    <w:autoRedefine/>
    <w:qFormat/>
    <w:uiPriority w:val="0"/>
    <w:rPr>
      <w:rFonts w:hint="default" w:ascii="Times New Roman" w:hAnsi="Times New Roman" w:cs="Times New Roman"/>
      <w:color w:val="000000"/>
      <w:sz w:val="21"/>
      <w:szCs w:val="21"/>
      <w:u w:val="none"/>
    </w:rPr>
  </w:style>
  <w:style w:type="character" w:customStyle="1" w:styleId="89">
    <w:name w:val="font21"/>
    <w:basedOn w:val="30"/>
    <w:autoRedefine/>
    <w:qFormat/>
    <w:uiPriority w:val="0"/>
    <w:rPr>
      <w:rFonts w:hint="default" w:ascii="Times New Roman" w:hAnsi="Times New Roman" w:cs="Times New Roman"/>
      <w:b/>
      <w:bCs/>
      <w:color w:val="000000"/>
      <w:sz w:val="21"/>
      <w:szCs w:val="21"/>
      <w:u w:val="none"/>
    </w:rPr>
  </w:style>
  <w:style w:type="character" w:customStyle="1" w:styleId="90">
    <w:name w:val="font71"/>
    <w:basedOn w:val="30"/>
    <w:autoRedefine/>
    <w:qFormat/>
    <w:uiPriority w:val="0"/>
    <w:rPr>
      <w:rFonts w:hint="default" w:ascii="Times New Roman" w:hAnsi="Times New Roman" w:cs="Times New Roman"/>
      <w:b/>
      <w:bCs/>
      <w:color w:val="000000"/>
      <w:sz w:val="21"/>
      <w:szCs w:val="21"/>
      <w:u w:val="none"/>
      <w:vertAlign w:val="subscript"/>
    </w:rPr>
  </w:style>
  <w:style w:type="paragraph" w:customStyle="1" w:styleId="91">
    <w:name w:val="3标题(治)"/>
    <w:basedOn w:val="6"/>
    <w:autoRedefine/>
    <w:qFormat/>
    <w:uiPriority w:val="0"/>
    <w:pPr>
      <w:numPr>
        <w:ilvl w:val="0"/>
        <w:numId w:val="0"/>
      </w:numPr>
      <w:spacing w:before="0" w:after="0" w:line="360" w:lineRule="auto"/>
      <w:textAlignment w:val="baseline"/>
      <w:outlineLvl w:val="1"/>
    </w:pPr>
    <w:rPr>
      <w:rFonts w:eastAsia="黑体"/>
      <w:sz w:val="28"/>
    </w:rPr>
  </w:style>
  <w:style w:type="paragraph" w:customStyle="1" w:styleId="92">
    <w:name w:val="6表(图)头(治)"/>
    <w:next w:val="1"/>
    <w:autoRedefine/>
    <w:qFormat/>
    <w:uiPriority w:val="0"/>
    <w:pPr>
      <w:widowControl w:val="0"/>
      <w:jc w:val="center"/>
    </w:pPr>
    <w:rPr>
      <w:rFonts w:ascii="Times New Roman" w:hAnsi="Times New Roman" w:eastAsia="黑体" w:cs="Times New Roman"/>
      <w:b/>
      <w:kern w:val="2"/>
      <w:sz w:val="24"/>
      <w:szCs w:val="28"/>
      <w:lang w:val="en-US" w:eastAsia="zh-CN" w:bidi="ar-SA"/>
    </w:rPr>
  </w:style>
  <w:style w:type="character" w:customStyle="1" w:styleId="93">
    <w:name w:val="font11"/>
    <w:basedOn w:val="30"/>
    <w:autoRedefine/>
    <w:qFormat/>
    <w:uiPriority w:val="0"/>
    <w:rPr>
      <w:rFonts w:hint="eastAsia" w:ascii="宋体" w:hAnsi="宋体" w:eastAsia="宋体" w:cs="宋体"/>
      <w:color w:val="000000"/>
      <w:sz w:val="21"/>
      <w:szCs w:val="21"/>
      <w:u w:val="none"/>
    </w:rPr>
  </w:style>
  <w:style w:type="character" w:customStyle="1" w:styleId="94">
    <w:name w:val="font51"/>
    <w:basedOn w:val="30"/>
    <w:autoRedefine/>
    <w:qFormat/>
    <w:uiPriority w:val="0"/>
    <w:rPr>
      <w:rFonts w:hint="default" w:ascii="Times New Roman" w:hAnsi="Times New Roman" w:cs="Times New Roman"/>
      <w:color w:val="000000"/>
      <w:sz w:val="21"/>
      <w:szCs w:val="21"/>
      <w:u w:val="none"/>
    </w:rPr>
  </w:style>
  <w:style w:type="character" w:customStyle="1" w:styleId="95">
    <w:name w:val="font61"/>
    <w:basedOn w:val="30"/>
    <w:autoRedefine/>
    <w:qFormat/>
    <w:uiPriority w:val="0"/>
    <w:rPr>
      <w:rFonts w:hint="default" w:ascii="Times New Roman" w:hAnsi="Times New Roman" w:cs="Times New Roman"/>
      <w:color w:val="000000"/>
      <w:sz w:val="18"/>
      <w:szCs w:val="18"/>
      <w:u w:val="none"/>
      <w:vertAlign w:val="superscript"/>
    </w:rPr>
  </w:style>
  <w:style w:type="paragraph" w:customStyle="1" w:styleId="96">
    <w:name w:val="msolistparagraph"/>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paragraph" w:customStyle="1" w:styleId="97">
    <w:name w:val="一级aaa"/>
    <w:basedOn w:val="4"/>
    <w:next w:val="1"/>
    <w:autoRedefine/>
    <w:qFormat/>
    <w:uiPriority w:val="0"/>
    <w:pPr>
      <w:keepNext w:val="0"/>
      <w:keepLines w:val="0"/>
      <w:widowControl w:val="0"/>
      <w:adjustRightInd w:val="0"/>
      <w:snapToGrid w:val="0"/>
      <w:spacing w:before="312" w:beforeLines="100" w:after="312" w:afterLines="100" w:line="360" w:lineRule="auto"/>
    </w:pPr>
    <w:rPr>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emf"/><Relationship Id="rId31" Type="http://schemas.openxmlformats.org/officeDocument/2006/relationships/image" Target="media/image17.emf"/><Relationship Id="rId30" Type="http://schemas.openxmlformats.org/officeDocument/2006/relationships/image" Target="media/image16.emf"/><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emf"/><Relationship Id="rId26" Type="http://schemas.openxmlformats.org/officeDocument/2006/relationships/oleObject" Target="embeddings/oleObject6.bin"/><Relationship Id="rId25" Type="http://schemas.openxmlformats.org/officeDocument/2006/relationships/image" Target="media/image12.emf"/><Relationship Id="rId24" Type="http://schemas.openxmlformats.org/officeDocument/2006/relationships/oleObject" Target="embeddings/oleObject5.bin"/><Relationship Id="rId23" Type="http://schemas.openxmlformats.org/officeDocument/2006/relationships/image" Target="media/image11.emf"/><Relationship Id="rId22" Type="http://schemas.openxmlformats.org/officeDocument/2006/relationships/oleObject" Target="embeddings/oleObject4.bin"/><Relationship Id="rId21" Type="http://schemas.openxmlformats.org/officeDocument/2006/relationships/image" Target="media/image10.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2.bin"/><Relationship Id="rId17" Type="http://schemas.openxmlformats.org/officeDocument/2006/relationships/image" Target="media/image8.emf"/><Relationship Id="rId16" Type="http://schemas.openxmlformats.org/officeDocument/2006/relationships/oleObject" Target="embeddings/oleObject1.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afe77025-0c08-4fa2-b1f6-5aa65911efb5</errorID>
      <errorWord>[2025]0620号</errorWord>
      <group>L1_Knowledge</group>
      <groupName>知识性问题</groupName>
      <ability>L2_Knowledge</ability>
      <abilityName>其他知识</abilityName>
      <candidateList>
        <item>〔2025〕620号</item>
      </candidateList>
      <explain>发文字号格式错误。</explain>
      <paraID>225148EF</paraID>
      <start>4</start>
      <end>14</end>
      <status>modified</status>
      <modifiedWord>〔2025〕620号</modifiedWord>
      <trackRevisions>false</trackRevisions>
    </reviewItem>
    <reviewItem>
      <errorID>04f2297a-941e-41ee-a466-d86add07804a</errorID>
      <errorWord>海</errorWord>
      <group>L1_Word</group>
      <groupName>字词问题</groupName>
      <ability>L2_Typo</ability>
      <abilityName>字词错误</abilityName>
      <candidateList>
        <item>海洋</item>
      </candidateList>
      <explain/>
      <paraID>6EA871AB</paraID>
      <start>14</start>
      <end>16</end>
      <status>modified</status>
      <modifiedWord>海洋</modifiedWord>
      <trackRevisions>false</trackRevisions>
    </reviewItem>
    <reviewItem>
      <errorID>8fa4ec61-8fa1-4c71-9565-b88d2044540b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5C2D1B23</paraID>
      <start>24</start>
      <end>25</end>
      <status>modified</status>
      <modifiedWord>—</modifiedWord>
      <trackRevisions>false</trackRevisions>
    </reviewItem>
    <reviewItem>
      <errorID>abde2bbc-f299-41e3-be05-954ad0f103f2</errorID>
      <errorWord>：/</errorWord>
      <group>L1_Punc</group>
      <groupName>标点问题</groupName>
      <ability>L2_Punc</ability>
      <abilityName>标点符号检查</abilityName>
      <candidateList>
        <item>：</item>
      </candidateList>
      <explain/>
      <paraID>28FB4AFB</paraID>
      <start>4</start>
      <end>6</end>
      <status>ignored</status>
      <modifiedWord/>
      <trackRevisions>false</trackRevisions>
    </reviewItem>
    <reviewItem>
      <errorID>46b13ae8-427e-4cdd-8e99-1ec67c91ea5c</errorID>
      <errorWord>：/</errorWord>
      <group>L1_Punc</group>
      <groupName>标点问题</groupName>
      <ability>L2_Punc</ability>
      <abilityName>标点符号检查</abilityName>
      <candidateList>
        <item>：</item>
      </candidateList>
      <explain/>
      <paraID>2D92DD02</paraID>
      <start>9</start>
      <end>11</end>
      <status>ignored</status>
      <modifiedWord/>
      <trackRevisions>false</trackRevisions>
    </reviewItem>
    <reviewItem>
      <errorID>ce540b83-3470-4170-8daf-c88602d4a34f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14B47A16</paraID>
      <start>24</start>
      <end>25</end>
      <status>modified</status>
      <modifiedWord>—</modifiedWord>
      <trackRevisions>false</trackRevisions>
    </reviewItem>
    <reviewItem>
      <errorID>eb7927e9-9cb4-493e-9da9-7188584f9278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33FEE63D</paraID>
      <start>41</start>
      <end>42</end>
      <status>modified</status>
      <modifiedWord>—</modifiedWord>
      <trackRevisions>false</trackRevisions>
    </reviewItem>
    <reviewItem>
      <errorID>1a68bd95-1c00-430f-885d-9ead837036dc</errorID>
      <errorWord>[2022]18号</errorWord>
      <group>L1_Knowledge</group>
      <groupName>知识性问题</groupName>
      <ability>L2_Knowledge</ability>
      <abilityName>其他知识</abilityName>
      <candidateList>
        <item>〔2022〕18号</item>
      </candidateList>
      <explain>发文字号格式错误。</explain>
      <paraID>33FEE63D</paraID>
      <start>73</start>
      <end>82</end>
      <status>modified</status>
      <modifiedWord>〔2022〕18号</modifiedWord>
      <trackRevisions>false</trackRevisions>
    </reviewItem>
    <reviewItem>
      <errorID>9e990061-b879-4441-b68e-616b758d97f5</errorID>
      <errorWord>(</errorWord>
      <group>L1_Format</group>
      <groupName>格式问题</groupName>
      <ability>L2_HalfPunc</ability>
      <abilityName>全半角检查</abilityName>
      <candidateList>
        <item>（</item>
      </candidateList>
      <explain>文本全半角错误。</explain>
      <paraID>14A27867</paraID>
      <start>16</start>
      <end>17</end>
      <status>modified</status>
      <modifiedWord>（</modifiedWord>
      <trackRevisions>false</trackRevisions>
    </reviewItem>
    <reviewItem>
      <errorID>2e159b18-f77a-4744-be29-4a92a257c2fb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14A27867</paraID>
      <start>21</start>
      <end>22</end>
      <status>modified</status>
      <modifiedWord>—</modifiedWord>
      <trackRevisions>false</trackRevisions>
    </reviewItem>
    <reviewItem>
      <errorID>9e2d0196-5177-45fd-8c37-1bc461fbc24b</errorID>
      <errorWord>)</errorWord>
      <group>L1_Format</group>
      <groupName>格式问题</groupName>
      <ability>L2_HalfPunc</ability>
      <abilityName>全半角检查</abilityName>
      <candidateList>
        <item>）</item>
      </candidateList>
      <explain>文本全半角错误。</explain>
      <paraID>14A27867</paraID>
      <start>27</start>
      <end>28</end>
      <status>modified</status>
      <modifiedWord>）</modifiedWord>
      <trackRevisions>false</trackRevisions>
    </reviewItem>
    <reviewItem>
      <errorID>a94d0906-2d2e-4cfe-8c6c-47c33a1a9eb9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464D7FA2</paraID>
      <start>21</start>
      <end>22</end>
      <status>modified</status>
      <modifiedWord>—</modifiedWord>
      <trackRevisions>false</trackRevisions>
    </reviewItem>
    <reviewItem>
      <errorID>e4168a9d-c18a-4648-8fab-72cebf5aacd4</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464D7FA2</paraID>
      <start>152</start>
      <end>153</end>
      <status>modified</status>
      <modifiedWord>‘</modifiedWord>
      <trackRevisions>false</trackRevisions>
    </reviewItem>
    <reviewItem>
      <errorID>6921206f-c356-44f4-9b07-4a7f8448b749</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464D7FA2</paraID>
      <start>155</start>
      <end>156</end>
      <status>modified</status>
      <modifiedWord>’</modifiedWord>
      <trackRevisions>false</trackRevisions>
    </reviewItem>
    <reviewItem>
      <errorID>11d9b7d0-5fde-4ab0-a2ca-234227b23c7c</errorID>
      <errorWord>，</errorWord>
      <group>L1_Word</group>
      <groupName>字词问题</groupName>
      <ability>L2_Typo</ability>
      <abilityName>字词错误</abilityName>
      <candidateList>
        <item>，在</item>
      </candidateList>
      <explain/>
      <paraID>464D7FA2</paraID>
      <start>362</start>
      <end>363</end>
      <status>ignored</status>
      <modifiedWord/>
      <trackRevisions>false</trackRevisions>
    </reviewItem>
    <reviewItem>
      <errorID>d1075759-3c9b-443e-a1e8-c57a146b1127</errorID>
      <errorWord>程</errorWord>
      <group>L1_Word</group>
      <groupName>字词问题</groupName>
      <ability>L2_Typo</ability>
      <abilityName>字词错误</abilityName>
      <candidateList>
        <item>程中</item>
      </candidateList>
      <explain/>
      <paraID> A9DE310</paraID>
      <start>37</start>
      <end>39</end>
      <status>modified</status>
      <modifiedWord>程中</modifiedWord>
      <trackRevisions>false</trackRevisions>
    </reviewItem>
    <reviewItem>
      <errorID>1b42236a-c373-42af-b18d-f3cd14da667c</errorID>
      <errorWord>程</errorWord>
      <group>L1_Word</group>
      <groupName>字词问题</groupName>
      <ability>L2_Typo</ability>
      <abilityName>字词错误</abilityName>
      <candidateList>
        <item>程中</item>
      </candidateList>
      <explain/>
      <paraID> A9DE310</paraID>
      <start>123</start>
      <end>125</end>
      <status>modified</status>
      <modifiedWord>程中</modifiedWord>
      <trackRevisions>false</trackRevisions>
    </reviewItem>
    <reviewItem>
      <errorID>4ecf23d6-5cf1-4a1c-b4c9-a0705e90cfd3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A9DE310</paraID>
      <start>195</start>
      <end>196</end>
      <status>modified</status>
      <modifiedWord>—</modifiedWord>
      <trackRevisions>false</trackRevisions>
    </reviewItem>
    <reviewItem>
      <errorID>2356b88d-d4c7-4b6b-aef8-192e531243a4</errorID>
      <errorWord>..</errorWord>
      <group>L1_Punc</group>
      <groupName>标点问题</groupName>
      <ability>L2_Punc</ability>
      <abilityName>标点符号检查</abilityName>
      <candidateList>
        <item>.</item>
      </candidateList>
      <explain/>
      <paraID>7C7B89CC</paraID>
      <start>1</start>
      <end>2</end>
      <status>modified</status>
      <modifiedWord>.</modifiedWord>
      <trackRevisions>false</trackRevisions>
    </reviewItem>
    <reviewItem>
      <errorID>b5f31d30-8bcb-4f42-9a9d-cb3566cf79ca</errorID>
      <errorWord>污水厂</errorWord>
      <group>L1_Word</group>
      <groupName>字词问题</groupName>
      <ability>L2_Typo</ability>
      <abilityName>字词错误</abilityName>
      <candidateList>
        <item>污水处理厂</item>
      </candidateList>
      <explain/>
      <paraID>7AC8B712</paraID>
      <start>43</start>
      <end>46</end>
      <status>ignored</status>
      <modifiedWord/>
      <trackRevisions>false</trackRevisions>
    </reviewItem>
    <reviewItem>
      <errorID>b7aee5a9-7b40-427a-8d6c-0eecc01d45cc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767206EE</paraID>
      <start>0</start>
      <end>2</end>
      <status>modified</status>
      <modifiedWord>4.</modifiedWord>
      <trackRevisions>false</trackRevisions>
    </reviewItem>
    <reviewItem>
      <errorID>50ff5aa2-98dd-41c5-b120-08f414cc0884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34DFD77B</paraID>
      <start>0</start>
      <end>2</end>
      <status>modified</status>
      <modifiedWord>5.</modifiedWord>
      <trackRevisions>false</trackRevisions>
    </reviewItem>
    <reviewItem>
      <errorID>46c5f7b8-c952-4338-b11b-5908b08ae682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70C82236</paraID>
      <start>0</start>
      <end>2</end>
      <status>modified</status>
      <modifiedWord>6.</modifiedWord>
      <trackRevisions>false</trackRevisions>
    </reviewItem>
    <reviewItem>
      <errorID>26556b76-b9e2-4807-9e61-17cb39e90474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2362426B</paraID>
      <start>0</start>
      <end>2</end>
      <status>modified</status>
      <modifiedWord>7.</modifiedWord>
      <trackRevisions>false</trackRevisions>
    </reviewItem>
    <reviewItem>
      <errorID>ef910e88-370d-4a4d-a82f-8f689411a1cd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5C61F2B9</paraID>
      <start>0</start>
      <end>2</end>
      <status>modified</status>
      <modifiedWord>1.</modifiedWord>
      <trackRevisions>false</trackRevisions>
    </reviewItem>
    <reviewItem>
      <errorID>6602d0fe-de53-4751-b0af-9525c8603d66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7D68DCE4</paraID>
      <start>0</start>
      <end>2</end>
      <status>modified</status>
      <modifiedWord>2.</modifiedWord>
      <trackRevisions>false</trackRevisions>
    </reviewItem>
    <reviewItem>
      <errorID>b66688b4-0d70-4c63-9e74-dbde7a1abe72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1A7E2117</paraID>
      <start>0</start>
      <end>2</end>
      <status>modified</status>
      <modifiedWord>1.</modifiedWord>
      <trackRevisions>false</trackRevisions>
    </reviewItem>
    <reviewItem>
      <errorID>01aa5f11-7dec-4526-a113-0bfa0f853183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10985D49</paraID>
      <start>0</start>
      <end>2</end>
      <status>modified</status>
      <modifiedWord>2.</modifiedWord>
      <trackRevisions>false</trackRevisions>
    </reviewItem>
    <reviewItem>
      <errorID>6758d391-f891-4918-8b32-fe05720b6f1a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24116925</paraID>
      <start>0</start>
      <end>2</end>
      <status>modified</status>
      <modifiedWord>3.</modifiedWord>
      <trackRevisions>false</trackRevisions>
    </reviewItem>
    <reviewItem>
      <errorID>8efba839-d4c1-4541-9cac-913ec7c875bf</errorID>
      <errorWord>..</errorWord>
      <group>L1_Punc</group>
      <groupName>标点问题</groupName>
      <ability>L2_Punc</ability>
      <abilityName>标点符号检查</abilityName>
      <candidateList>
        <item>.</item>
      </candidateList>
      <explain/>
      <paraID> 508F223</paraID>
      <start>1</start>
      <end>2</end>
      <status>modified</status>
      <modifiedWord>.</modifiedWord>
      <trackRevisions>false</trackRevisions>
    </reviewItem>
    <reviewItem>
      <errorID>c91d3c26-e8dd-43da-896a-ffd71218013b</errorID>
      <errorWord>海藻酸盐</errorWord>
      <group>L1_Knowledge</group>
      <groupName>知识性问题</groupName>
      <ability>L2_Term</ability>
      <abilityName>专业术语</abilityName>
      <candidateList>
        <item>海藻酸钠</item>
      </candidateList>
      <explain/>
      <paraID>17B87105</paraID>
      <start>33</start>
      <end>37</end>
      <status>ignored</status>
      <modifiedWord/>
      <trackRevisions>false</trackRevisions>
    </reviewItem>
    <reviewItem>
      <errorID>4dc1d8b6-26c2-4192-b00f-664e95e03ba2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604F19FA</paraID>
      <start>0</start>
      <end>2</end>
      <status>modified</status>
      <modifiedWord>1.</modifiedWord>
      <trackRevisions>false</trackRevisions>
    </reviewItem>
    <reviewItem>
      <errorID>b48a1df0-a048-4da8-b39b-be4cb59336d6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1239DCB3</paraID>
      <start>0</start>
      <end>2</end>
      <status>modified</status>
      <modifiedWord>2.</modifiedWord>
      <trackRevisions>false</trackRevisions>
    </reviewItem>
    <reviewItem>
      <errorID>1e603c74-6afa-41b7-b5d3-8b1d5ab826f3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BC61310</paraID>
      <start>0</start>
      <end>2</end>
      <status>unmodified</status>
      <modifiedWord/>
      <trackRevisions>false</trackRevisions>
    </reviewItem>
    <reviewItem>
      <errorID>ac61e32f-566d-4957-b6a8-120a1cedd478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1F95378A</paraID>
      <start>0</start>
      <end>2</end>
      <status>unmodified</status>
      <modifiedWord/>
      <trackRevisions>false</trackRevisions>
    </reviewItem>
    <reviewItem>
      <errorID>5a449b02-77ac-48bf-994e-6a2750639f78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461E6F51</paraID>
      <start>0</start>
      <end>2</end>
      <status>unmodified</status>
      <modifiedWord/>
      <trackRevisions>false</trackRevisions>
    </reviewItem>
    <reviewItem>
      <errorID>59bbbb5d-1719-4b8b-afde-9739edf3deb2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461E6F51</paraID>
      <start>56</start>
      <end>59</end>
      <status>unmodified</status>
      <modifiedWord/>
      <trackRevisions>false</trackRevisions>
    </reviewItem>
    <reviewItem>
      <errorID>070da499-92fc-4455-b612-1fae54526cf4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5EC80563</paraID>
      <start>0</start>
      <end>2</end>
      <status>unmodified</status>
      <modifiedWord/>
      <trackRevisions>false</trackRevisions>
    </reviewItem>
    <reviewItem>
      <errorID>789315bf-55cf-45cf-81ca-dc7f48288651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7D8B1D3B</paraID>
      <start>0</start>
      <end>2</end>
      <status>unmodified</status>
      <modifiedWord/>
      <trackRevisions>false</trackRevisions>
    </reviewItem>
    <reviewItem>
      <errorID>3d278d53-aa48-447e-af2f-48ed6b60d58f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7D108D3F</paraID>
      <start>0</start>
      <end>2</end>
      <status>unmodified</status>
      <modifiedWord/>
      <trackRevisions>false</trackRevisions>
    </reviewItem>
    <reviewItem>
      <errorID>67844d68-550e-424a-93b1-a7cca8ac34b1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12E4D9CE</paraID>
      <start>0</start>
      <end>2</end>
      <status>unmodified</status>
      <modifiedWord/>
      <trackRevisions>false</trackRevisions>
    </reviewItem>
    <reviewItem>
      <errorID>864191cb-82e6-4a58-9947-d93b935a6f92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54F46D87</paraID>
      <start>0</start>
      <end>2</end>
      <status>unmodified</status>
      <modifiedWord/>
      <trackRevisions>false</trackRevisions>
    </reviewItem>
    <reviewItem>
      <errorID>9015435d-9977-44d7-9d75-4895bbcedb70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9F7B8B2</paraID>
      <start>0</start>
      <end>2</end>
      <status>unmodified</status>
      <modifiedWord/>
      <trackRevisions>false</trackRevisions>
    </reviewItem>
    <reviewItem>
      <errorID>eb7d6e65-4e12-421f-bfa7-ba044c2aa9ef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281B4AAE</paraID>
      <start>0</start>
      <end>2</end>
      <status>unmodified</status>
      <modifiedWord/>
      <trackRevisions>false</trackRevisions>
    </reviewItem>
    <reviewItem>
      <errorID>67ea029b-512e-4c32-9840-6f012e0823bf</errorID>
      <errorWord>签定</errorWord>
      <group>L1_Word</group>
      <groupName>字词问题</groupName>
      <ability>L2_Typo</ability>
      <abilityName>字词错误</abilityName>
      <candidateList>
        <item>签订</item>
      </candidateList>
      <explain>〈动〉订立条约或合同并签字：两国～了贸易议定书和支付协定。</explain>
      <paraID>6BD6525E</paraID>
      <start>15</start>
      <end>17</end>
      <status>unmodified</status>
      <modifiedWord/>
      <trackRevisions>false</trackRevisions>
    </reviewItem>
    <reviewItem>
      <errorID>48da6b22-314f-48ec-a985-115e5365d3cc</errorID>
      <errorWord>属</errorWord>
      <group>L1_Word</group>
      <groupName>字词问题</groupName>
      <ability>L2_Typo</ability>
      <abilityName>字词错误</abilityName>
      <candidateList>
        <item>属于</item>
      </candidateList>
      <explain/>
      <paraID>4FB96FBD</paraID>
      <start>171</start>
      <end>172</end>
      <status>unmodified</status>
      <modifiedWord/>
      <trackRevisions>false</trackRevisions>
    </reviewItem>
    <reviewItem>
      <errorID>d5f483c7-a511-4415-9877-dcca79459966</errorID>
      <errorWord>(</errorWord>
      <group>L1_Format</group>
      <groupName>格式问题</groupName>
      <ability>L2_HalfPunc</ability>
      <abilityName>全半角检查</abilityName>
      <candidateList>
        <item>（</item>
      </candidateList>
      <explain>文本全半角错误。</explain>
      <paraID>75C0A5C1</paraID>
      <start>34</start>
      <end>35</end>
      <status>unmodified</status>
      <modifiedWord/>
      <trackRevisions>false</trackRevisions>
    </reviewItem>
    <reviewItem>
      <errorID>9002e3b5-a78d-42d2-8970-0faffbbe14f7</errorID>
      <errorWord>)</errorWord>
      <group>L1_Format</group>
      <groupName>格式问题</groupName>
      <ability>L2_HalfPunc</ability>
      <abilityName>全半角检查</abilityName>
      <candidateList>
        <item>）</item>
      </candidateList>
      <explain>文本全半角错误。</explain>
      <paraID>75C0A5C1</paraID>
      <start>46</start>
      <end>47</end>
      <status>unmodified</status>
      <modifiedWord/>
      <trackRevisions>false</trackRevisions>
    </reviewItem>
    <reviewItem>
      <errorID>9b602454-c3d5-4de1-a682-7c4fa7a8033d</errorID>
      <errorWord>(</errorWord>
      <group>L1_Format</group>
      <groupName>格式问题</groupName>
      <ability>L2_HalfPunc</ability>
      <abilityName>全半角检查</abilityName>
      <candidateList>
        <item>（</item>
      </candidateList>
      <explain>文本全半角错误。</explain>
      <paraID>75C0A5C1</paraID>
      <start>77</start>
      <end>78</end>
      <status>unmodified</status>
      <modifiedWord/>
      <trackRevisions>false</trackRevisions>
    </reviewItem>
    <reviewItem>
      <errorID>149f6fd5-2a79-414e-b4ee-f308b644c250</errorID>
      <errorWord>(</errorWord>
      <group>L1_Format</group>
      <groupName>格式问题</groupName>
      <ability>L2_HalfPunc</ability>
      <abilityName>全半角检查</abilityName>
      <candidateList>
        <item>（</item>
      </candidateList>
      <explain>文本全半角错误。</explain>
      <paraID>75C0A5C1</paraID>
      <start>112</start>
      <end>113</end>
      <status>unmodified</status>
      <modifiedWord/>
      <trackRevisions>false</trackRevisions>
    </reviewItem>
    <reviewItem>
      <errorID>4f5d5668-660f-40b0-b35b-c74cb82ba49e</errorID>
      <errorWord>(</errorWord>
      <group>L1_Format</group>
      <groupName>格式问题</groupName>
      <ability>L2_HalfPunc</ability>
      <abilityName>全半角检查</abilityName>
      <candidateList>
        <item>（</item>
      </candidateList>
      <explain>文本全半角错误。</explain>
      <paraID> 1F7F29F</paraID>
      <start>24</start>
      <end>25</end>
      <status>unmodified</status>
      <modifiedWord/>
      <trackRevisions>false</trackRevisions>
    </reviewItem>
    <reviewItem>
      <errorID>847da000-aabf-4b68-b7c5-26d076c115a3</errorID>
      <errorWord>)</errorWord>
      <group>L1_Format</group>
      <groupName>格式问题</groupName>
      <ability>L2_HalfPunc</ability>
      <abilityName>全半角检查</abilityName>
      <candidateList>
        <item>）</item>
      </candidateList>
      <explain>文本全半角错误。</explain>
      <paraID> 1F7F29F</paraID>
      <start>31</start>
      <end>32</end>
      <status>unmodified</status>
      <modifiedWord/>
      <trackRevisions>false</trackRevisions>
    </reviewItem>
    <reviewItem>
      <errorID>fb14a05c-28db-42d3-a528-a64d0bb6722c</errorID>
      <errorWord>程</errorWord>
      <group>L1_Word</group>
      <groupName>字词问题</groupName>
      <ability>L2_Typo</ability>
      <abilityName>字词错误</abilityName>
      <candidateList>
        <item>程中</item>
      </candidateList>
      <explain/>
      <paraID>747000A0</paraID>
      <start>32</start>
      <end>33</end>
      <status>unmodified</status>
      <modifiedWord/>
      <trackRevisions>false</trackRevisions>
    </reviewItem>
    <reviewItem>
      <errorID>db642f54-6837-4b6c-a115-d34e7f309dc9</errorID>
      <errorWord>其它</errorWord>
      <group>L1_Word</group>
      <groupName>字词问题</groupName>
      <ability>L2_Alias</ability>
      <abilityName>也作/曾用词</abilityName>
      <candidateList>
        <item>其他</item>
      </candidateList>
      <explain>词汇[其它]为不规范表述或旧称，其规范书面表述为[其他]。</explain>
      <paraID>57553F99</paraID>
      <start>138</start>
      <end>140</end>
      <status>unmodified</status>
      <modifiedWord/>
      <trackRevisions>false</trackRevisions>
    </reviewItem>
    <reviewItem>
      <errorID>9630bb1a-e368-4ced-ac48-73423e952138</errorID>
      <errorWord>修筑</errorWord>
      <group>L1_Word</group>
      <groupName>字词问题</groupName>
      <ability>L2_Typo</ability>
      <abilityName>字词错误</abilityName>
      <candidateList>
        <item>修缮</item>
      </candidateList>
      <explain>〈动〉修理（建筑物）：～厂房。</explain>
      <paraID>57553F99</paraID>
      <start>286</start>
      <end>288</end>
      <status>unmodified</status>
      <modifiedWord/>
      <trackRevisions>false</trackRevisions>
    </reviewItem>
    <reviewItem>
      <errorID>5ece1e64-dee7-433d-9456-988db0dc0375</errorID>
      <errorWord>原住居民</errorWord>
      <group>L1_Sensitive</group>
      <groupName>敏感问题</groupName>
      <ability>L2_Violent</ability>
      <abilityName>暴恐词条</abilityName>
      <candidateList/>
      <explain>【暴恐词条】句中包含暴恐类敏感词条，请注意甄别。</explain>
      <paraID>57553F99</paraID>
      <start>292</start>
      <end>296</end>
      <status>unmodified</status>
      <modifiedWord/>
      <trackRevisions>false</trackRevisions>
    </reviewItem>
    <reviewItem>
      <errorID>7c72fedb-01d5-48d4-a202-b5eaf95eb040</errorID>
      <errorWord>，</errorWord>
      <group>L1_Word</group>
      <groupName>字词问题</groupName>
      <ability>L2_Typo</ability>
      <abilityName>字词错误</abilityName>
      <candidateList>
        <item>，由</item>
      </candidateList>
      <explain/>
      <paraID>57553F99</paraID>
      <start>1357</start>
      <end>1358</end>
      <status>unmodified</status>
      <modifiedWord/>
      <trackRevisions>false</trackRevisions>
    </reviewItem>
    <reviewItem>
      <errorID>e70b1a2c-7cab-4b95-ac3e-1eb8e2113678</errorID>
      <errorWord>其它</errorWord>
      <group>L1_Word</group>
      <groupName>字词问题</groupName>
      <ability>L2_Alias</ability>
      <abilityName>也作/曾用词</abilityName>
      <candidateList>
        <item>其他</item>
      </candidateList>
      <explain>词汇[其它]为不规范表述或旧称，其规范书面表述为[其他]。</explain>
      <paraID>57553F99</paraID>
      <start>1674</start>
      <end>1676</end>
      <status>unmodified</status>
      <modifiedWord/>
      <trackRevisions>false</trackRevisions>
    </reviewItem>
    <reviewItem>
      <errorID>7bfd0428-eb57-4ac8-9737-ccf10aa9421f</errorID>
      <errorWord>其它可能</errorWord>
      <group>L1_Word</group>
      <groupName>字词问题</groupName>
      <ability>L2_Alias</ability>
      <abilityName>也作/曾用词</abilityName>
      <candidateList>
        <item>其他可能</item>
      </candidateList>
      <explain>词汇[其它可能]为不规范表述或旧称，其规范书面表述为[其他可能]。</explain>
      <paraID>57553F99</paraID>
      <start>2183</start>
      <end>2187</end>
      <status>unmodified</status>
      <modifiedWord/>
      <trackRevisions>false</trackRevisions>
    </reviewItem>
    <reviewItem>
      <errorID>b8d6700b-ab1e-4fab-93fc-b6e70b178edb</errorID>
      <errorWord>共本农田</errorWord>
      <group>L1_Word</group>
      <groupName>字词问题</groupName>
      <ability>L2_Typo</ability>
      <abilityName>字词错误</abilityName>
      <candidateList>
        <item>基本农田</item>
      </candidateList>
      <explain/>
      <paraID>57553F99</paraID>
      <start>2359</start>
      <end>2363</end>
      <status>modified</status>
      <modifiedWord>基本农田</modifiedWord>
      <trackRevisions>false</trackRevisions>
    </reviewItem>
    <reviewItem>
      <errorID>e69acd7c-38df-4885-9d1d-2dabaecd2f2b</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57553F99</paraID>
      <start>2387</start>
      <end>2394</end>
      <status>unmodified</status>
      <modifiedWord/>
      <trackRevisions>false</trackRevisions>
    </reviewItem>
    <reviewItem>
      <errorID>2e6bfae5-6927-4984-b9e7-2b1986632594</errorID>
      <errorWord>行</errorWord>
      <group>L1_Word</group>
      <groupName>字词问题</groupName>
      <ability>L2_Typo</ability>
      <abilityName>字词错误</abilityName>
      <candidateList>
        <item>行严</item>
      </candidateList>
      <explain/>
      <paraID>57553F99</paraID>
      <start>2432</start>
      <end>2433</end>
      <status>unmodified</status>
      <modifiedWord/>
      <trackRevisions>false</trackRevisions>
    </reviewItem>
    <reviewItem>
      <errorID>65c463a7-23ac-47ef-8905-746c09423923</errorID>
      <errorWord>应</errorWord>
      <group>L1_Word</group>
      <groupName>字词问题</groupName>
      <ability>L2_Typo</ability>
      <abilityName>字词错误</abilityName>
      <candidateList>
        <item>应当</item>
      </candidateList>
      <explain/>
      <paraID>13FD32B3</paraID>
      <start>267</start>
      <end>268</end>
      <status>unmodified</status>
      <modifiedWord/>
      <trackRevisions>false</trackRevisions>
    </reviewItem>
    <reviewItem>
      <errorID>af17d141-034a-422c-b109-0a0dbffb985e</errorID>
      <errorWord>原用</errorWord>
      <group>L1_Word</group>
      <groupName>字词问题</groupName>
      <ability>L2_Typo</ability>
      <abilityName>字词错误</abilityName>
      <candidateList>
        <item>原有</item>
      </candidateList>
      <explain/>
      <paraID> 81811C9</paraID>
      <start>50</start>
      <end>52</end>
      <status>unmodified</status>
      <modifiedWord/>
      <trackRevisions>false</trackRevisions>
    </reviewItem>
    <reviewItem>
      <errorID>d474ee0b-109b-4ecc-9ece-61752d960139</errorID>
      <errorWord>[2020]45号</errorWord>
      <group>L1_Knowledge</group>
      <groupName>知识性问题</groupName>
      <ability>L2_Knowledge</ability>
      <abilityName>其他知识</abilityName>
      <candidateList>
        <item>〔2020〕45号</item>
      </candidateList>
      <explain>发文字号格式错误。</explain>
      <paraID> D3F8793</paraID>
      <start>110</start>
      <end>119</end>
      <status>unmodified</status>
      <modifiedWord/>
      <trackRevisions>false</trackRevisions>
    </reviewItem>
    <reviewItem>
      <errorID>8651adf7-f06b-44a7-a934-82857c7a0f00</errorID>
      <errorWord>[2020]46号</errorWord>
      <group>L1_Knowledge</group>
      <groupName>知识性问题</groupName>
      <ability>L2_Knowledge</ability>
      <abilityName>其他知识</abilityName>
      <candidateList>
        <item>〔2020〕46号</item>
      </candidateList>
      <explain>发文字号格式错误。</explain>
      <paraID> D3F8793</paraID>
      <start>203</start>
      <end>212</end>
      <status>unmodified</status>
      <modifiedWord/>
      <trackRevisions>false</trackRevisions>
    </reviewItem>
    <reviewItem>
      <errorID>503af69e-127d-4f82-8119-3cefb96e943e</errorID>
      <errorWord>[2020]44号</errorWord>
      <group>L1_Knowledge</group>
      <groupName>知识性问题</groupName>
      <ability>L2_Knowledge</ability>
      <abilityName>其他知识</abilityName>
      <candidateList>
        <item>〔2020〕44号</item>
      </candidateList>
      <explain>发文字号格式错误。</explain>
      <paraID> D3F8793</paraID>
      <start>335</start>
      <end>344</end>
      <status>unmodified</status>
      <modifiedWord/>
      <trackRevisions>false</trackRevisions>
    </reviewItem>
    <reviewItem>
      <errorID>dc3cd913-22bb-4ceb-beb9-d029df31d1d5</errorID>
      <errorWord>[2024]34号</errorWord>
      <group>L1_Knowledge</group>
      <groupName>知识性问题</groupName>
      <ability>L2_Knowledge</ability>
      <abilityName>其他知识</abilityName>
      <candidateList>
        <item>〔2024〕34号</item>
      </candidateList>
      <explain>发文字号格式错误。</explain>
      <paraID> D3F8793</paraID>
      <start>456</start>
      <end>465</end>
      <status>unmodified</status>
      <modifiedWord/>
      <trackRevisions>false</trackRevisions>
    </reviewItem>
    <reviewItem>
      <errorID>5c604371-8d3c-4935-ac1c-4eaf1dedcb61</errorID>
      <errorWord>[2025]25号</errorWord>
      <group>L1_Knowledge</group>
      <groupName>知识性问题</groupName>
      <ability>L2_Knowledge</ability>
      <abilityName>其他知识</abilityName>
      <candidateList>
        <item>〔2025〕25号</item>
      </candidateList>
      <explain>发文字号格式错误。</explain>
      <paraID> D3F8793</paraID>
      <start>480</start>
      <end>489</end>
      <status>unmodified</status>
      <modifiedWord/>
      <trackRevisions>false</trackRevisions>
    </reviewItem>
    <reviewItem>
      <errorID>ad4d47db-1858-43a3-89e1-cce22f922195</errorID>
      <errorWord>而到</errorWord>
      <group>L1_Word</group>
      <groupName>字词问题</groupName>
      <ability>L2_Typo</ability>
      <abilityName>字词错误</abilityName>
      <candidateList>
        <item>而</item>
      </candidateList>
      <explain>❶〈连〉连接动词、形容词或词组、分句等。a）连接语意相承的成分：伟大～艰巨的任务｜战～胜之｜取～代之｜我们正从事一个伟大的事业，～伟大的事业必须有最广泛的群众的参加和支持。b）连接肯定和否定互相补充的成分：栀子花的香，浓～不烈，清～不淡｜马克思主义叫我们看问题不要从抽象的定义出发，～要从客观存在的事实出发。</explain>
      <paraID>380F08A1</paraID>
      <start>46</start>
      <end>48</end>
      <status>unmodified</status>
      <modifiedWord/>
      <trackRevisions>false</trackRevisions>
    </reviewItem>
    <reviewItem>
      <errorID>2e8a1237-f3c7-4572-b263-5ec746c57394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192DB2C0</paraID>
      <start>108</start>
      <end>111</end>
      <status>unmodified</status>
      <modifiedWord/>
      <trackRevisions>false</trackRevisions>
    </reviewItem>
    <reviewItem>
      <errorID>39bccca1-0b91-4582-8be3-81ef81d69b6f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192DB2C0</paraID>
      <start>125</start>
      <end>128</end>
      <status>unmodified</status>
      <modifiedWord/>
      <trackRevisions>false</trackRevisions>
    </reviewItem>
    <reviewItem>
      <errorID>2b6b44b1-d9dc-43ff-ad06-e4e335f776ae</errorID>
      <errorWord>法律、法规</errorWord>
      <group>L1_Word</group>
      <groupName>字词问题</groupName>
      <ability>L2_Typo</ability>
      <abilityName>字词错误</abilityName>
      <candidateList>
        <item>法律法规</item>
      </candidateList>
      <explain/>
      <paraID>192DB2C0</paraID>
      <start>142</start>
      <end>147</end>
      <status>unmodified</status>
      <modifiedWord/>
      <trackRevisions>false</trackRevisions>
    </reviewItem>
    <reviewItem>
      <errorID>e0c73faa-bd3a-4ec5-a782-6f4041f8306d</errorID>
      <errorWord>电子原件</errorWord>
      <group>L1_Word</group>
      <groupName>字词问题</groupName>
      <ability>L2_Typo</ability>
      <abilityName>字词错误</abilityName>
      <candidateList>
        <item>电子元件</item>
      </candidateList>
      <explain/>
      <paraID>192DB2C0</paraID>
      <start>206</start>
      <end>210</end>
      <status>modified</status>
      <modifiedWord>电子元件</modifiedWord>
      <trackRevisions>false</trackRevisions>
    </reviewItem>
    <reviewItem>
      <errorID>e2f79c66-f554-4036-8f35-8b06e6118a00</errorID>
      <errorWord>”</errorWord>
      <group>L1_Punc</group>
      <groupName>标点问题</groupName>
      <ability>L2_Punc</ability>
      <abilityName>标点符号检查</abilityName>
      <candidateList/>
      <explain/>
      <paraID>4B3E599F</paraID>
      <start>72</start>
      <end>73</end>
      <status>unmodified</status>
      <modifiedWord/>
      <trackRevisions>false</trackRevisions>
    </reviewItem>
    <reviewItem>
      <errorID>ff4b637e-f0bb-497b-a13b-aae1594d3fac</errorID>
      <errorWord>(</errorWord>
      <group>L1_Format</group>
      <groupName>格式问题</groupName>
      <ability>L2_HalfPunc</ability>
      <abilityName>全半角检查</abilityName>
      <candidateList>
        <item>（</item>
      </candidateList>
      <explain>文本全半角错误。</explain>
      <paraID>4B3E599F</paraID>
      <start>178</start>
      <end>179</end>
      <status>unmodified</status>
      <modifiedWord/>
      <trackRevisions>false</trackRevisions>
    </reviewItem>
    <reviewItem>
      <errorID>454fcfd6-956b-4423-ab80-f40e6ce7d95f</errorID>
      <errorWord>)</errorWord>
      <group>L1_Format</group>
      <groupName>格式问题</groupName>
      <ability>L2_HalfPunc</ability>
      <abilityName>全半角检查</abilityName>
      <candidateList>
        <item>）</item>
      </candidateList>
      <explain>文本全半角错误。</explain>
      <paraID>4B3E599F</paraID>
      <start>184</start>
      <end>185</end>
      <status>unmodified</status>
      <modifiedWord/>
      <trackRevisions>false</trackRevisions>
    </reviewItem>
    <reviewItem>
      <errorID>0309e5e0-e8a6-47a5-afaa-40e318b34312</errorID>
      <errorWord>(</errorWord>
      <group>L1_Format</group>
      <groupName>格式问题</groupName>
      <ability>L2_HalfPunc</ability>
      <abilityName>全半角检查</abilityName>
      <candidateList>
        <item>（</item>
      </candidateList>
      <explain>文本全半角错误。</explain>
      <paraID>4B3E599F</paraID>
      <start>186</start>
      <end>187</end>
      <status>unmodified</status>
      <modifiedWord/>
      <trackRevisions>false</trackRevisions>
    </reviewItem>
    <reviewItem>
      <errorID>982a39a4-fef1-4008-b505-6a75f516a0d3</errorID>
      <errorWord>)</errorWord>
      <group>L1_Format</group>
      <groupName>格式问题</groupName>
      <ability>L2_HalfPunc</ability>
      <abilityName>全半角检查</abilityName>
      <candidateList>
        <item>）</item>
      </candidateList>
      <explain>文本全半角错误。</explain>
      <paraID>4B3E599F</paraID>
      <start>189</start>
      <end>190</end>
      <status>unmodified</status>
      <modifiedWord/>
      <trackRevisions>false</trackRevisions>
    </reviewItem>
    <reviewItem>
      <errorID>9bce0bad-f657-4145-9a99-7851df19369c</errorID>
      <errorWord>采用采用</errorWord>
      <group>L1_Word</group>
      <groupName>字词问题</groupName>
      <ability>L2_Typo</ability>
      <abilityName>字词错误</abilityName>
      <candidateList>
        <item>采用</item>
      </candidateList>
      <explain>〈动〉认为合适而使用：～新工艺｜～举手表决方式｜那篇稿子已被编辑部～。</explain>
      <paraID>1048A3BC</paraID>
      <start>3</start>
      <end>5</end>
      <status>modified</status>
      <modifiedWord>采用</modifiedWord>
      <trackRevisions>false</trackRevisions>
    </reviewItem>
    <reviewItem>
      <errorID>cd4f242d-e59b-44dc-bab5-7b93e0aea5c2</errorID>
      <errorWord>仓库</errorWord>
      <group>L1_Word</group>
      <groupName>字词问题</groupName>
      <ability>L2_Typo</ability>
      <abilityName>字词错误</abilityName>
      <candidateList>
        <item>仓</item>
      </candidateList>
      <explain/>
      <paraID>2FF7B549</paraID>
      <start>2</start>
      <end>4</end>
      <status>unmodified</status>
      <modifiedWord/>
      <trackRevisions>false</trackRevisions>
    </reviewItem>
    <reviewItem>
      <errorID>57741d40-77e0-43f6-b85b-322c27d6dcf4</errorID>
      <errorWord>36%-40%</errorWord>
      <group>L1_Knowledge</group>
      <groupName>知识性问题</groupName>
      <ability>L2_Knowledge</ability>
      <abilityName>其他知识</abilityName>
      <candidateList>
        <item>36%—40%</item>
      </candidateList>
      <explain>1. “36%-40%”中的单位“%”仅出现在后一个数字上，容易引起歧义；根据《现代汉语标点符号数字用法规范手册》，数字表示范围两边需要使用统一的格式。2. 根据标点国标 4.13 中的规则，数字、时间或地域连接符应使用（视觉上更长的）“—”或“～”。</explain>
      <paraID>2477C72E</paraID>
      <start>10</start>
      <end>17</end>
      <status>unmodified</status>
      <modifiedWord/>
      <trackRevisions>false</trackRevisions>
    </reviewItem>
    <reviewItem>
      <errorID>42b3b0bc-e06c-44c7-8798-04618c5fa57b</errorID>
      <errorWord>20%-24%</errorWord>
      <group>L1_Knowledge</group>
      <groupName>知识性问题</groupName>
      <ability>L2_Knowledge</ability>
      <abilityName>其他知识</abilityName>
      <candidateList>
        <item>20%—24%</item>
      </candidateList>
      <explain>1. “20%-24%”中的单位“%”仅出现在后一个数字上，容易引起歧义；根据《现代汉语标点符号数字用法规范手册》，数字表示范围两边需要使用统一的格式。2. 根据标点国标 4.13 中的规则，数字、时间或地域连接符应使用（视觉上更长的）“—”或“～”。</explain>
      <paraID>2477C72E</paraID>
      <start>25</start>
      <end>32</end>
      <status>unmodified</status>
      <modifiedWord/>
      <trackRevisions>false</trackRevisions>
    </reviewItem>
    <reviewItem>
      <errorID>eb7c9e02-6071-490d-be3f-26fd000ac982</errorID>
      <errorWord>22%-24%</errorWord>
      <group>L1_Knowledge</group>
      <groupName>知识性问题</groupName>
      <ability>L2_Knowledge</ability>
      <abilityName>其他知识</abilityName>
      <candidateList>
        <item>22%—24%</item>
      </candidateList>
      <explain>1. “22%-24%”中的单位“%”仅出现在后一个数字上，容易引起歧义；根据《现代汉语标点符号数字用法规范手册》，数字表示范围两边需要使用统一的格式。2. 根据标点国标 4.13 中的规则，数字、时间或地域连接符应使用（视觉上更长的）“—”或“～”。</explain>
      <paraID>2477C72E</paraID>
      <start>38</start>
      <end>45</end>
      <status>unmodified</status>
      <modifiedWord/>
      <trackRevisions>false</trackRevisions>
    </reviewItem>
    <reviewItem>
      <errorID>2641f9aa-9d3c-421b-a053-999efc519962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3F13E962</paraID>
      <start>18</start>
      <end>24</end>
      <status>unmodified</status>
      <modifiedWord/>
      <trackRevisions>false</trackRevisions>
    </reviewItem>
    <reviewItem>
      <errorID>63b59b61-aba5-41b6-9b80-7da687986226</errorID>
      <errorWord>15~20%</errorWord>
      <group>L1_Knowledge</group>
      <groupName>知识性问题</groupName>
      <ability>L2_Knowledge</ability>
      <abilityName>其他知识</abilityName>
      <candidateList>
        <item>15%～20%</item>
      </candidateList>
      <explain>1. “15~20%”中的单位“%”仅出现在后一个数字上，容易引起歧义；根据《现代汉语标点符号数字用法规范手册》，数字表示范围两边需要使用统一的格式。2. 根据标点国标 4.13 中的规则，数字、时间或地域连接符应使用（视觉上更长的）“—”或“～”。</explain>
      <paraID>3F13E962</paraID>
      <start>29</start>
      <end>35</end>
      <status>unmodified</status>
      <modifiedWord/>
      <trackRevisions>false</trackRevisions>
    </reviewItem>
    <reviewItem>
      <errorID>0d599057-5cfc-41a8-b5b8-8e1bac71e8be</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3F13E962</paraID>
      <start>44</start>
      <end>49</end>
      <status>unmodified</status>
      <modifiedWord/>
      <trackRevisions>false</trackRevisions>
    </reviewItem>
    <reviewItem>
      <errorID>8cfc014d-91a6-4462-a993-58267c9248d1</errorID>
      <errorWord>(</errorWord>
      <group>L1_Format</group>
      <groupName>格式问题</groupName>
      <ability>L2_HalfPunc</ability>
      <abilityName>全半角检查</abilityName>
      <candidateList>
        <item>（</item>
      </candidateList>
      <explain>文本全半角错误。</explain>
      <paraID>67EFF297</paraID>
      <start>1</start>
      <end>2</end>
      <status>unmodified</status>
      <modifiedWord/>
      <trackRevisions>false</trackRevisions>
    </reviewItem>
    <reviewItem>
      <errorID>d8c61a54-7a46-44c4-9543-f76fb76ed363</errorID>
      <errorWord>)</errorWord>
      <group>L1_Format</group>
      <groupName>格式问题</groupName>
      <ability>L2_HalfPunc</ability>
      <abilityName>全半角检查</abilityName>
      <candidateList>
        <item>）</item>
      </candidateList>
      <explain>文本全半角错误。</explain>
      <paraID>67EFF297</paraID>
      <start>8</start>
      <end>9</end>
      <status>unmodified</status>
      <modifiedWord/>
      <trackRevisions>false</trackRevisions>
    </reviewItem>
    <reviewItem>
      <errorID>edb2b1e5-cf3f-43cc-8fa1-3c913a77ead4</errorID>
      <errorWord>(</errorWord>
      <group>L1_Format</group>
      <groupName>格式问题</groupName>
      <ability>L2_HalfPunc</ability>
      <abilityName>全半角检查</abilityName>
      <candidateList>
        <item>（</item>
      </candidateList>
      <explain>文本全半角错误。</explain>
      <paraID>486D1F92</paraID>
      <start>1</start>
      <end>2</end>
      <status>unmodified</status>
      <modifiedWord/>
      <trackRevisions>false</trackRevisions>
    </reviewItem>
    <reviewItem>
      <errorID>7026bdd2-b04a-4e24-a8ab-4ad1c42399fe</errorID>
      <errorWord>)</errorWord>
      <group>L1_Format</group>
      <groupName>格式问题</groupName>
      <ability>L2_HalfPunc</ability>
      <abilityName>全半角检查</abilityName>
      <candidateList>
        <item>）</item>
      </candidateList>
      <explain>文本全半角错误。</explain>
      <paraID>486D1F92</paraID>
      <start>8</start>
      <end>9</end>
      <status>unmodified</status>
      <modifiedWord/>
      <trackRevisions>false</trackRevisions>
    </reviewItem>
    <reviewItem>
      <errorID>7a964f6c-8ec5-40e5-813f-505ec2ca9a89</errorID>
      <errorWord>、以及</errorWord>
      <group>L1_Punc</group>
      <groupName>标点问题</groupName>
      <ability>L2_Punc</ability>
      <abilityName>标点符号检查</abilityName>
      <candidateList>
        <item>，以及</item>
      </candidateList>
      <explain>连接词前后不宜使用顿号，建议使用逗号。</explain>
      <paraID> 1DB6582</paraID>
      <start>46</start>
      <end>49</end>
      <status>unmodified</status>
      <modifiedWord/>
      <trackRevisions>false</trackRevisions>
    </reviewItem>
    <reviewItem>
      <errorID>bd40450a-13af-443e-8980-250a5197db65</errorID>
      <errorWord>)</errorWord>
      <group>L1_Format</group>
      <groupName>格式问题</groupName>
      <ability>L2_HalfPunc</ability>
      <abilityName>全半角检查</abilityName>
      <candidateList>
        <item>）</item>
      </candidateList>
      <explain>文本全半角错误。</explain>
      <paraID>7D99045D</paraID>
      <start>79</start>
      <end>80</end>
      <status>unmodified</status>
      <modifiedWord/>
      <trackRevisions>false</trackRevisions>
    </reviewItem>
    <reviewItem>
      <errorID>36a316ce-4654-457d-84a1-66312e03f633</errorID>
      <errorWord>-</errorWord>
      <group>L1_Format</group>
      <groupName>格式问题</groupName>
      <ability>L2_HalfPunc</ability>
      <abilityName>全半角检查</abilityName>
      <candidateList>
        <item>－</item>
      </candidateList>
      <explain>文本全半角错误。</explain>
      <paraID>4ACB873F</paraID>
      <start>64</start>
      <end>65</end>
      <status>unmodified</status>
      <modifiedWord/>
      <trackRevisions>false</trackRevisions>
    </reviewItem>
    <reviewItem>
      <errorID>6dfd6bc1-d037-4a65-9d96-1abd776cec35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E18580</paraID>
      <start>44</start>
      <end>45</end>
      <status>modified</status>
      <modifiedWord>地</modifiedWord>
      <trackRevisions>false</trackRevisions>
    </reviewItem>
    <reviewItem>
      <errorID>299f9fa9-6992-4b67-bba1-37561658fafa</errorID>
      <errorWord>作</errorWord>
      <group>L1_Word</group>
      <groupName>字词问题</groupName>
      <ability>L2_Typo</ability>
      <abilityName>字词错误</abilityName>
      <candidateList>
        <item>做</item>
      </candidateList>
      <explain>存在发音相同字词的误用。</explain>
      <paraID> 33B3426</paraID>
      <start>130</start>
      <end>131</end>
      <status>modified</status>
      <modifiedWord>做</modifiedWord>
      <trackRevisions>false</trackRevisions>
    </reviewItem>
    <reviewItem>
      <errorID>e280514f-5b41-42dd-9fc0-1029a4cace96</errorID>
      <errorWord>目的是为了</errorWord>
      <group>L1_Knowledge</group>
      <groupName>知识性问题</groupName>
      <ability>L2_Knowledge</ability>
      <abilityName>其他知识</abilityName>
      <candidateList>
        <item>目的是</item>
      </candidateList>
      <explain/>
      <paraID>1B546E4C</paraID>
      <start>37</start>
      <end>42</end>
      <status>unmodified</status>
      <modifiedWord/>
      <trackRevisions>false</trackRevisions>
    </reviewItem>
    <reviewItem>
      <errorID>50c9f471-f71f-47f3-b665-673f676b8e7c</errorID>
      <errorWord>采用采用</errorWord>
      <group>L1_Word</group>
      <groupName>字词问题</groupName>
      <ability>L2_Typo</ability>
      <abilityName>字词错误</abilityName>
      <candidateList>
        <item>采用</item>
      </candidateList>
      <explain>〈动〉认为合适而使用：～新工艺｜～举手表决方式｜那篇稿子已被编辑部～。</explain>
      <paraID>1B546E4C</paraID>
      <start>56</start>
      <end>58</end>
      <status>modified</status>
      <modifiedWord>采用</modifiedWord>
      <trackRevisions>false</trackRevisions>
    </reviewItem>
    <reviewItem>
      <errorID>496cb1f5-ec5d-40a8-8287-9f4ca8c07a15</errorID>
      <errorWord>程</errorWord>
      <group>L1_Word</group>
      <groupName>字词问题</groupName>
      <ability>L2_Typo</ability>
      <abilityName>字词错误</abilityName>
      <candidateList>
        <item>程中</item>
      </candidateList>
      <explain/>
      <paraID>32D75352</paraID>
      <start>120</start>
      <end>121</end>
      <status>unmodified</status>
      <modifiedWord/>
      <trackRevisions>false</trackRevisions>
    </reviewItem>
    <reviewItem>
      <errorID>eb328a02-8980-430b-b24d-c817eb34ddb7</errorID>
      <errorWord>程</errorWord>
      <group>L1_Word</group>
      <groupName>字词问题</groupName>
      <ability>L2_Typo</ability>
      <abilityName>字词错误</abilityName>
      <candidateList>
        <item>程中</item>
      </candidateList>
      <explain/>
      <paraID>29D98C83</paraID>
      <start>18</start>
      <end>19</end>
      <status>unmodified</status>
      <modifiedWord/>
      <trackRevisions>false</trackRevisions>
    </reviewItem>
    <reviewItem>
      <errorID>8521ec6b-aa12-498e-88cb-c3c7a1a0928d</errorID>
      <errorWord>粉尘中</errorWord>
      <group>L1_Word</group>
      <groupName>字词问题</groupName>
      <ability>L2_Typo</ability>
      <abilityName>字词错误</abilityName>
      <candidateList>
        <item>粉尘</item>
      </candidateList>
      <explain/>
      <paraID> E039079</paraID>
      <start>114</start>
      <end>117</end>
      <status>unmodified</status>
      <modifiedWord/>
      <trackRevisions>false</trackRevisions>
    </reviewItem>
    <reviewItem>
      <errorID>61090a5b-89ca-440e-ada6-f2cae95f64c2</errorID>
      <errorWord>程</errorWord>
      <group>L1_Word</group>
      <groupName>字词问题</groupName>
      <ability>L2_Typo</ability>
      <abilityName>字词错误</abilityName>
      <candidateList>
        <item>程中</item>
      </candidateList>
      <explain/>
      <paraID>6BDE1EA4</paraID>
      <start>11</start>
      <end>12</end>
      <status>unmodified</status>
      <modifiedWord/>
      <trackRevisions>false</trackRevisions>
    </reviewItem>
    <reviewItem>
      <errorID>dcf1d56b-40e0-46d2-9f57-470a848d7a6d</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36FCD0AF</paraID>
      <start>22</start>
      <end>23</end>
      <status>modified</status>
      <modifiedWord>以</modifiedWord>
      <trackRevisions>false</trackRevisions>
    </reviewItem>
    <reviewItem>
      <errorID>f0917bbe-bd7f-425a-b201-f3aef2002459</errorID>
      <errorWord>擦试</errorWord>
      <group>L1_Word</group>
      <groupName>字词问题</groupName>
      <ability>L2_Typo</ability>
      <abilityName>字词错误</abilityName>
      <candidateList>
        <item>擦拭</item>
      </candidateList>
      <explain>〈动〉擦▲：～武器。</explain>
      <paraID>3226FEC6</paraID>
      <start>54</start>
      <end>56</end>
      <status>modified</status>
      <modifiedWord>擦拭</modifiedWord>
      <trackRevisions>false</trackRevisions>
    </reviewItem>
    <reviewItem>
      <errorID>c438ceca-e067-4f08-abe7-a874c47b4065</errorID>
      <errorWord>,</errorWord>
      <group>L1_Format</group>
      <groupName>格式问题</groupName>
      <ability>L2_HalfPunc</ability>
      <abilityName>全半角检查</abilityName>
      <candidateList>
        <item>，</item>
      </candidateList>
      <explain>文本全半角错误。</explain>
      <paraID>2FE71B83</paraID>
      <start>21</start>
      <end>22</end>
      <status>modified</status>
      <modifiedWord>，</modifiedWord>
      <trackRevisions>false</trackRevisions>
    </reviewItem>
    <reviewItem>
      <errorID>715fd2e4-7dee-4163-be5f-4faad7e38812</errorID>
      <errorWord>[2020]45号</errorWord>
      <group>L1_Knowledge</group>
      <groupName>知识性问题</groupName>
      <ability>L2_Knowledge</ability>
      <abilityName>其他知识</abilityName>
      <candidateList>
        <item>〔2020〕45号</item>
      </candidateList>
      <explain>发文字号格式错误。</explain>
      <paraID>2FE71B83</paraID>
      <start>25</start>
      <end>34</end>
      <status>modified</status>
      <modifiedWord>〔2020〕45号</modifiedWord>
      <trackRevisions>false</trackRevisions>
    </reviewItem>
    <reviewItem>
      <errorID>b3729b04-531c-40cf-a29b-cff5142e0853</errorID>
      <errorWord>[2020]44号</errorWord>
      <group>L1_Knowledge</group>
      <groupName>知识性问题</groupName>
      <ability>L2_Knowledge</ability>
      <abilityName>其他知识</abilityName>
      <candidateList>
        <item>〔2020〕44号</item>
      </candidateList>
      <explain>发文字号格式错误。</explain>
      <paraID>44D306C5</paraID>
      <start>25</start>
      <end>34</end>
      <status>modified</status>
      <modifiedWord>〔2020〕44号</modifiedWord>
      <trackRevisions>false</trackRevisions>
    </reviewItem>
    <reviewItem>
      <errorID>ddc6d981-082b-4559-897b-d6b7c183ee9b</errorID>
      <errorWord>(2024)34号</errorWord>
      <group>L1_Knowledge</group>
      <groupName>知识性问题</groupName>
      <ability>L2_Knowledge</ability>
      <abilityName>其他知识</abilityName>
      <candidateList>
        <item>〔2024〕34号</item>
      </candidateList>
      <explain>发文字号格式错误。</explain>
      <paraID>2DE01AB0</paraID>
      <start>27</start>
      <end>36</end>
      <status>modified</status>
      <modifiedWord>〔2024〕34号</modifiedWord>
      <trackRevisions>false</trackRevisions>
    </reviewItem>
    <reviewItem>
      <errorID>1c6ac917-7502-426a-840c-b9488c16516c</errorID>
      <errorWord>本</errorWord>
      <group>L1_Word</group>
      <groupName>字词问题</groupName>
      <ability>L2_Typo</ability>
      <abilityName>字词错误</abilityName>
      <candidateList>
        <item>本次</item>
      </candidateList>
      <explain/>
      <paraID>7694CCFB</paraID>
      <start>0</start>
      <end>2</end>
      <status>modified</status>
      <modifiedWord>本次</modifiedWord>
      <trackRevisions>false</trackRevisions>
    </reviewItem>
    <reviewItem>
      <errorID>22901172-eeb8-4c8b-89eb-6098ac9b90c0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6A233F5A</paraID>
      <start>0</start>
      <end>2</end>
      <status>unmodified</status>
      <modifiedWord/>
      <trackRevisions>false</trackRevisions>
    </reviewItem>
    <reviewItem>
      <errorID>e7d6fb31-dce0-423f-8f40-1d08c5f5893e</errorID>
      <errorWord>88%~90%</errorWord>
      <group>L1_Knowledge</group>
      <groupName>知识性问题</groupName>
      <ability>L2_Knowledge</ability>
      <abilityName>其他知识</abilityName>
      <candidateList>
        <item>88%～90%</item>
      </candidateList>
      <explain>1. “88%~90%”中的单位“%”仅出现在后一个数字上，容易引起歧义；根据《现代汉语标点符号数字用法规范手册》，数字表示范围两边需要使用统一的格式。2. 根据标点国标 4.13 中的规则，数字、时间或地域连接符应使用（视觉上更长的）“—”或“～”。</explain>
      <paraID> 73AE11B</paraID>
      <start>56</start>
      <end>63</end>
      <status>unmodified</status>
      <modifiedWord/>
      <trackRevisions>false</trackRevisions>
    </reviewItem>
    <reviewItem>
      <errorID>1a528bfc-1096-4cea-b46d-7f0ce553407e</errorID>
      <errorWord>81.5%~84.6%</errorWord>
      <group>L1_Knowledge</group>
      <groupName>知识性问题</groupName>
      <ability>L2_Knowledge</ability>
      <abilityName>其他知识</abilityName>
      <candidateList>
        <item>81.5%～84.6%</item>
      </candidateList>
      <explain>1. “81.5%~84.6%”中的单位“%”仅出现在后一个数字上，容易引起歧义；根据《现代汉语标点符号数字用法规范手册》，数字表示范围两边需要使用统一的格式。2. 根据标点国标 4.13 中的规则，数字、时间或地域连接符应使用（视觉上更长的）“—”或“～”。</explain>
      <paraID>309BA259</paraID>
      <start>41</start>
      <end>52</end>
      <status>unmodified</status>
      <modifiedWord/>
      <trackRevisions>false</trackRevisions>
    </reviewItem>
    <reviewItem>
      <errorID>c9833c67-ee0e-4690-bf91-8c15fb98216e</errorID>
      <errorWord>对对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309BA259</paraID>
      <start>59</start>
      <end>60</end>
      <status>modified</status>
      <modifiedWord>对</modifiedWord>
      <trackRevisions>false</trackRevisions>
    </reviewItem>
    <reviewItem>
      <errorID>d2b28845-2cb5-44eb-a787-0baec792529d</errorID>
      <errorWord>92.5%~92.7%</errorWord>
      <group>L1_Knowledge</group>
      <groupName>知识性问题</groupName>
      <ability>L2_Knowledge</ability>
      <abilityName>其他知识</abilityName>
      <candidateList>
        <item>92.5%～92.7%</item>
      </candidateList>
      <explain>1. “92.5%~92.7%”中的单位“%”仅出现在后一个数字上，容易引起歧义；根据《现代汉语标点符号数字用法规范手册》，数字表示范围两边需要使用统一的格式。2. 根据标点国标 4.13 中的规则，数字、时间或地域连接符应使用（视觉上更长的）“—”或“～”。</explain>
      <paraID>309BA259</paraID>
      <start>69</start>
      <end>80</end>
      <status>unmodified</status>
      <modifiedWord/>
      <trackRevisions>false</trackRevisions>
    </reviewItem>
    <reviewItem>
      <errorID>c06134fa-2053-4330-8f83-27a621a10bd4</errorID>
      <errorWord>47.4%~62.4%</errorWord>
      <group>L1_Knowledge</group>
      <groupName>知识性问题</groupName>
      <ability>L2_Knowledge</ability>
      <abilityName>其他知识</abilityName>
      <candidateList>
        <item>47.4%～62.4%</item>
      </candidateList>
      <explain>1. “47.4%~62.4%”中的单位“%”仅出现在后一个数字上，容易引起歧义；根据《现代汉语标点符号数字用法规范手册》，数字表示范围两边需要使用统一的格式。2. 根据标点国标 4.13 中的规则，数字、时间或地域连接符应使用（视觉上更长的）“—”或“～”。</explain>
      <paraID>20B2FF69</paraID>
      <start>67</start>
      <end>78</end>
      <status>unmodified</status>
      <modifiedWord/>
      <trackRevisions>false</trackRevisions>
    </reviewItem>
    <reviewItem>
      <errorID>9044a920-4bc2-4e97-8a69-0d17749a81d0</errorID>
      <errorWord>(</errorWord>
      <group>L1_Format</group>
      <groupName>格式问题</groupName>
      <ability>L2_HalfPunc</ability>
      <abilityName>全半角检查</abilityName>
      <candidateList>
        <item>（</item>
      </candidateList>
      <explain>文本全半角错误。</explain>
      <paraID> F9F1B06</paraID>
      <start>105</start>
      <end>106</end>
      <status>modified</status>
      <modifiedWord>（</modifiedWord>
      <trackRevisions>false</trackRevisions>
    </reviewItem>
    <reviewItem>
      <errorID>294cf4ad-40cd-471d-b157-6041278df42c</errorID>
      <errorWord>)</errorWord>
      <group>L1_Format</group>
      <groupName>格式问题</groupName>
      <ability>L2_HalfPunc</ability>
      <abilityName>全半角检查</abilityName>
      <candidateList>
        <item>）</item>
      </candidateList>
      <explain>文本全半角错误。</explain>
      <paraID> F9F1B06</paraID>
      <start>117</start>
      <end>118</end>
      <status>modified</status>
      <modifiedWord>）</modifiedWord>
      <trackRevisions>false</trackRevisions>
    </reviewItem>
    <reviewItem>
      <errorID>f661a7ec-77fc-4126-9971-cfd77941d7be</errorID>
      <errorWord>（</errorWord>
      <group>L1_Punc</group>
      <groupName>标点问题</groupName>
      <ability>L2_Punc</ability>
      <abilityName>标点符号检查</abilityName>
      <candidateList/>
      <explain>同一形式括号套用。</explain>
      <paraID> F9F1B06</paraID>
      <start>151</start>
      <end>152</end>
      <status>unmodified</status>
      <modifiedWord/>
      <trackRevisions>false</trackRevisions>
    </reviewItem>
    <reviewItem>
      <errorID>de5c72c1-fbd1-48db-a980-6f298e686e47</errorID>
      <errorWord>）</errorWord>
      <group>L1_Punc</group>
      <groupName>标点问题</groupName>
      <ability>L2_Punc</ability>
      <abilityName>标点符号检查</abilityName>
      <candidateList/>
      <explain>同一形式括号套用。</explain>
      <paraID> F9F1B06</paraID>
      <start>166</start>
      <end>167</end>
      <status>unmodified</status>
      <modifiedWord/>
      <trackRevisions>false</trackRevisions>
    </reviewItem>
    <reviewItem>
      <errorID>0d0f9365-ade7-41f9-be86-539847fc4baf</errorID>
      <errorWord>(</errorWord>
      <group>L1_Format</group>
      <groupName>格式问题</groupName>
      <ability>L2_HalfPunc</ability>
      <abilityName>全半角检查</abilityName>
      <candidateList>
        <item>（</item>
      </candidateList>
      <explain>文本全半角错误。</explain>
      <paraID>2401FD03</paraID>
      <start>80</start>
      <end>81</end>
      <status>modified</status>
      <modifiedWord>（</modifiedWord>
      <trackRevisions>false</trackRevisions>
    </reviewItem>
    <reviewItem>
      <errorID>75b6eceb-d780-44c1-9098-4c9c245ad422</errorID>
      <errorWord>)</errorWord>
      <group>L1_Format</group>
      <groupName>格式问题</groupName>
      <ability>L2_HalfPunc</ability>
      <abilityName>全半角检查</abilityName>
      <candidateList>
        <item>）</item>
      </candidateList>
      <explain>文本全半角错误。</explain>
      <paraID>2401FD03</paraID>
      <start>92</start>
      <end>93</end>
      <status>modified</status>
      <modifiedWord>）</modifiedWord>
      <trackRevisions>false</trackRevisions>
    </reviewItem>
    <reviewItem>
      <errorID>7a3f62c0-11d7-469e-9862-24a78743a3aa</errorID>
      <errorWord>(</errorWord>
      <group>L1_Format</group>
      <groupName>格式问题</groupName>
      <ability>L2_HalfPunc</ability>
      <abilityName>全半角检查</abilityName>
      <candidateList>
        <item>（</item>
      </candidateList>
      <explain>文本全半角错误。</explain>
      <paraID>760B9C3B</paraID>
      <start>105</start>
      <end>106</end>
      <status>modified</status>
      <modifiedWord>（</modifiedWord>
      <trackRevisions>false</trackRevisions>
    </reviewItem>
    <reviewItem>
      <errorID>c0e5070b-596d-403b-9cd0-b3959bd11b10</errorID>
      <errorWord>)</errorWord>
      <group>L1_Format</group>
      <groupName>格式问题</groupName>
      <ability>L2_HalfPunc</ability>
      <abilityName>全半角检查</abilityName>
      <candidateList>
        <item>）</item>
      </candidateList>
      <explain>文本全半角错误。</explain>
      <paraID>760B9C3B</paraID>
      <start>118</start>
      <end>119</end>
      <status>modified</status>
      <modifiedWord>）</modifiedWord>
      <trackRevisions>false</trackRevisions>
    </reviewItem>
    <reviewItem>
      <errorID>9a051bec-e8c7-46f7-b7be-7e5106f3647d</errorID>
      <errorWord>(</errorWord>
      <group>L1_Format</group>
      <groupName>格式问题</groupName>
      <ability>L2_HalfPunc</ability>
      <abilityName>全半角检查</abilityName>
      <candidateList>
        <item>（</item>
      </candidateList>
      <explain>文本全半角错误。</explain>
      <paraID>4DA9F043</paraID>
      <start>87</start>
      <end>88</end>
      <status>modified</status>
      <modifiedWord>（</modifiedWord>
      <trackRevisions>false</trackRevisions>
    </reviewItem>
    <reviewItem>
      <errorID>2daf65c1-7ca6-4fae-b6bd-8afe717f80ea</errorID>
      <errorWord>)</errorWord>
      <group>L1_Format</group>
      <groupName>格式问题</groupName>
      <ability>L2_HalfPunc</ability>
      <abilityName>全半角检查</abilityName>
      <candidateList>
        <item>）</item>
      </candidateList>
      <explain>文本全半角错误。</explain>
      <paraID>4DA9F043</paraID>
      <start>100</start>
      <end>101</end>
      <status>modified</status>
      <modifiedWord>）</modifiedWord>
      <trackRevisions>false</trackRevisions>
    </reviewItem>
    <reviewItem>
      <errorID>803f3fed-8157-4907-9142-31b05828a594</errorID>
      <errorWord>)</errorWord>
      <group>L1_Format</group>
      <groupName>格式问题</groupName>
      <ability>L2_HalfPunc</ability>
      <abilityName>全半角检查</abilityName>
      <candidateList>
        <item>）</item>
      </candidateList>
      <explain>文本全半角错误。</explain>
      <paraID>71F4F7A3</paraID>
      <start>35</start>
      <end>36</end>
      <status>modified</status>
      <modifiedWord>）</modifiedWord>
      <trackRevisions>false</trackRevisions>
    </reviewItem>
    <reviewItem>
      <errorID>87235bf4-8a4e-46a8-aa37-65f7358ea6dd</errorID>
      <errorWord>)</errorWord>
      <group>L1_Format</group>
      <groupName>格式问题</groupName>
      <ability>L2_HalfPunc</ability>
      <abilityName>全半角检查</abilityName>
      <candidateList>
        <item>）</item>
      </candidateList>
      <explain>文本全半角错误。</explain>
      <paraID>71F4F7A3</paraID>
      <start>61</start>
      <end>62</end>
      <status>modified</status>
      <modifiedWord>）</modifiedWord>
      <trackRevisions>false</trackRevisions>
    </reviewItem>
    <reviewItem>
      <errorID>16ac926e-8683-4d7a-80c0-94212780d0fe</errorID>
      <errorWord>)</errorWord>
      <group>L1_Format</group>
      <groupName>格式问题</groupName>
      <ability>L2_HalfPunc</ability>
      <abilityName>全半角检查</abilityName>
      <candidateList>
        <item>）</item>
      </candidateList>
      <explain>文本全半角错误。</explain>
      <paraID>71F4F7A3</paraID>
      <start>131</start>
      <end>132</end>
      <status>modified</status>
      <modifiedWord>）</modifiedWord>
      <trackRevisions>false</trackRevisions>
    </reviewItem>
    <reviewItem>
      <errorID>67e0b896-a67c-4df6-8809-82b92f2200e8</errorID>
      <errorWord>)</errorWord>
      <group>L1_Format</group>
      <groupName>格式问题</groupName>
      <ability>L2_HalfPunc</ability>
      <abilityName>全半角检查</abilityName>
      <candidateList>
        <item>）</item>
      </candidateList>
      <explain>文本全半角错误。</explain>
      <paraID>71F4F7A3</paraID>
      <start>159</start>
      <end>160</end>
      <status>modified</status>
      <modifiedWord>）</modifiedWord>
      <trackRevisions>false</trackRevisions>
    </reviewItem>
    <reviewItem>
      <errorID>832d419c-2265-4405-9679-65e2da7b9b46</errorID>
      <errorWord>下角料</errorWord>
      <group>L1_Word</group>
      <groupName>字词问题</groupName>
      <ability>L2_Typo</ability>
      <abilityName>字词错误</abilityName>
      <candidateList>
        <item>下脚料</item>
      </candidateList>
      <explain>存在发音相同字词的误用。</explain>
      <paraID>621ECE5E</paraID>
      <start>27</start>
      <end>30</end>
      <status>modified</status>
      <modifiedWord>下脚料</modifiedWord>
      <trackRevisions>false</trackRevisions>
    </reviewItem>
    <reviewItem>
      <errorID>6b120769-55e9-4568-9011-d961ed483a6f</errorID>
      <errorWord>(</errorWord>
      <group>L1_Format</group>
      <groupName>格式问题</groupName>
      <ability>L2_HalfPunc</ability>
      <abilityName>全半角检查</abilityName>
      <candidateList>
        <item>（</item>
      </candidateList>
      <explain>文本全半角错误。</explain>
      <paraID>621ECE5E</paraID>
      <start>199</start>
      <end>200</end>
      <status>modified</status>
      <modifiedWord>（</modifiedWord>
      <trackRevisions>false</trackRevisions>
    </reviewItem>
    <reviewItem>
      <errorID>ab416a8e-c346-4b90-955a-0a801a39294a</errorID>
      <errorWord>)</errorWord>
      <group>L1_Format</group>
      <groupName>格式问题</groupName>
      <ability>L2_HalfPunc</ability>
      <abilityName>全半角检查</abilityName>
      <candidateList>
        <item>）</item>
      </candidateList>
      <explain>文本全半角错误。</explain>
      <paraID>621ECE5E</paraID>
      <start>212</start>
      <end>213</end>
      <status>modified</status>
      <modifiedWord>）</modifiedWord>
      <trackRevisions>false</trackRevisions>
    </reviewItem>
    <reviewItem>
      <errorID>fe48cab8-0595-4fe1-8633-8372c871c1e2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1B1FCD21</paraID>
      <start>0</start>
      <end>2</end>
      <status>unmodified</status>
      <modifiedWord/>
      <trackRevisions>false</trackRevisions>
    </reviewItem>
    <reviewItem>
      <errorID>d0ef9c83-360c-420e-a554-9aeb292d75ea</errorID>
      <errorWord>情</errorWord>
      <group>L1_Word</group>
      <groupName>字词问题</groupName>
      <ability>L2_Typo</ability>
      <abilityName>字词错误</abilityName>
      <candidateList>
        <item>情况</item>
      </candidateList>
      <explain>〈名〉❶情形：思想～｜工作～｜～特殊。❷指军事上的变化，泛指事情的变化、动向：这两天前线没有什么～｜他俩的关系最近又有了新的～。</explain>
      <paraID>1B1FCD21</paraID>
      <start>20</start>
      <end>22</end>
      <status>modified</status>
      <modifiedWord>情况</modifiedWord>
      <trackRevisions>false</trackRevisions>
    </reviewItem>
    <reviewItem>
      <errorID>0df1cc0f-65ff-4451-bf16-f9d2548d6edc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1957690C</paraID>
      <start>17</start>
      <end>18</end>
      <status>unmodified</status>
      <modifiedWord/>
      <trackRevisions>false</trackRevisions>
    </reviewItem>
    <reviewItem>
      <errorID>6dd29fe2-e0da-4c6a-ab69-bcf08b963bfc</errorID>
      <errorWord>均为</errorWord>
      <group>L1_Word</group>
      <groupName>字词问题</groupName>
      <ability>L2_Typo</ability>
      <abilityName>字词错误</abilityName>
      <candidateList>
        <item>均</item>
      </candidateList>
      <explain/>
      <paraID>7358E785</paraID>
      <start>143</start>
      <end>144</end>
      <status>modified</status>
      <modifiedWord>均</modifiedWord>
      <trackRevisions>false</trackRevisions>
    </reviewItem>
    <reviewItem>
      <errorID>ee86a014-d28a-4841-8b9f-8b6c275afd2c</errorID>
      <errorWord>(</errorWord>
      <group>L1_Format</group>
      <groupName>格式问题</groupName>
      <ability>L2_HalfPunc</ability>
      <abilityName>全半角检查</abilityName>
      <candidateList>
        <item>（</item>
      </candidateList>
      <explain>文本全半角错误。</explain>
      <paraID>59962253</paraID>
      <start>159</start>
      <end>160</end>
      <status>unmodified</status>
      <modifiedWord/>
      <trackRevisions>false</trackRevisions>
    </reviewItem>
    <reviewItem>
      <errorID>78ad954d-c1b5-4d00-b7f4-10088435c65d</errorID>
      <errorWord>)</errorWord>
      <group>L1_Format</group>
      <groupName>格式问题</groupName>
      <ability>L2_HalfPunc</ability>
      <abilityName>全半角检查</abilityName>
      <candidateList>
        <item>）</item>
      </candidateList>
      <explain>文本全半角错误。</explain>
      <paraID>59962253</paraID>
      <start>171</start>
      <end>172</end>
      <status>unmodified</status>
      <modifiedWord/>
      <trackRevisions>false</trackRevisions>
    </reviewItem>
    <reviewItem>
      <errorID>4028e901-7187-49bb-b62d-90449ad26106</errorID>
      <errorWord>(</errorWord>
      <group>L1_Format</group>
      <groupName>格式问题</groupName>
      <ability>L2_HalfPunc</ability>
      <abilityName>全半角检查</abilityName>
      <candidateList>
        <item>（</item>
      </candidateList>
      <explain>文本全半角错误。</explain>
      <paraID>59962253</paraID>
      <start>196</start>
      <end>197</end>
      <status>unmodified</status>
      <modifiedWord/>
      <trackRevisions>false</trackRevisions>
    </reviewItem>
    <reviewItem>
      <errorID>b67d9612-9b9b-4559-ae4d-bf400196badd</errorID>
      <errorWord>)</errorWord>
      <group>L1_Format</group>
      <groupName>格式问题</groupName>
      <ability>L2_HalfPunc</ability>
      <abilityName>全半角检查</abilityName>
      <candidateList>
        <item>）</item>
      </candidateList>
      <explain>文本全半角错误。</explain>
      <paraID>59962253</paraID>
      <start>211</start>
      <end>212</end>
      <status>unmodified</status>
      <modifiedWord/>
      <trackRevisions>false</trackRevisions>
    </reviewItem>
    <reviewItem>
      <errorID>3e50a067-89be-4ccd-8b73-fc9d0041f9d1</errorID>
      <errorWord>97~98%</errorWord>
      <group>L1_Knowledge</group>
      <groupName>知识性问题</groupName>
      <ability>L2_Knowledge</ability>
      <abilityName>其他知识</abilityName>
      <candidateList>
        <item>97%～98%</item>
      </candidateList>
      <explain>1. “97~98%”中的单位“%”仅出现在后一个数字上，容易引起歧义；根据《现代汉语标点符号数字用法规范手册》，数字表示范围两边需要使用统一的格式。2. 根据标点国标 4.13 中的规则，数字、时间或地域连接符应使用（视觉上更长的）“—”或“～”。</explain>
      <paraID> 146C2AC</paraID>
      <start>24</start>
      <end>30</end>
      <status>unmodified</status>
      <modifiedWord/>
      <trackRevisions>false</trackRevisions>
    </reviewItem>
    <reviewItem>
      <errorID>2bfb172e-d2c4-452e-a78c-102dceb05b75</errorID>
      <errorWord>~</errorWord>
      <group>L1_Format</group>
      <groupName>格式问题</groupName>
      <ability>L2_HalfPunc</ability>
      <abilityName>全半角检查</abilityName>
      <candidateList>
        <item>～</item>
      </candidateList>
      <explain>文本全半角错误。</explain>
      <paraID>75B1C0FB</paraID>
      <start>23</start>
      <end>24</end>
      <status>unmodified</status>
      <modifiedWord/>
      <trackRevisions>false</trackRevisions>
    </reviewItem>
    <reviewItem>
      <errorID>0860a3bd-52ab-4764-af1a-8886872f6058</errorID>
      <errorWord>~</errorWord>
      <group>L1_Format</group>
      <groupName>格式问题</groupName>
      <ability>L2_HalfPunc</ability>
      <abilityName>全半角检查</abilityName>
      <candidateList>
        <item>～</item>
      </candidateList>
      <explain>文本全半角错误。</explain>
      <paraID>75B1C0FB</paraID>
      <start>42</start>
      <end>43</end>
      <status>unmodified</status>
      <modifiedWord/>
      <trackRevisions>false</trackRevisions>
    </reviewItem>
    <reviewItem>
      <errorID>9b6202c4-aff7-4691-8964-f0937daec3d1</errorID>
      <errorWord>~</errorWord>
      <group>L1_Format</group>
      <groupName>格式问题</groupName>
      <ability>L2_HalfPunc</ability>
      <abilityName>全半角检查</abilityName>
      <candidateList>
        <item>～</item>
      </candidateList>
      <explain>文本全半角错误。</explain>
      <paraID>4D66351F</paraID>
      <start>19</start>
      <end>20</end>
      <status>unmodified</status>
      <modifiedWord/>
      <trackRevisions>false</trackRevisions>
    </reviewItem>
    <reviewItem>
      <errorID>f1d10cc9-5365-4cbc-898e-4b2eae1a083d</errorID>
      <errorWord>)</errorWord>
      <group>L1_Format</group>
      <groupName>格式问题</groupName>
      <ability>L2_HalfPunc</ability>
      <abilityName>全半角检查</abilityName>
      <candidateList>
        <item>）</item>
      </candidateList>
      <explain>文本全半角错误。</explain>
      <paraID>53108AC2</paraID>
      <start>36</start>
      <end>37</end>
      <status>modified</status>
      <modifiedWord>）</modifiedWord>
      <trackRevisions>false</trackRevisions>
    </reviewItem>
    <reviewItem>
      <errorID>023e829d-fcd9-405a-9181-60b15a2c708b</errorID>
      <errorWord>)</errorWord>
      <group>L1_Format</group>
      <groupName>格式问题</groupName>
      <ability>L2_HalfPunc</ability>
      <abilityName>全半角检查</abilityName>
      <candidateList>
        <item>）</item>
      </candidateList>
      <explain>文本全半角错误。</explain>
      <paraID>53108AC2</paraID>
      <start>64</start>
      <end>65</end>
      <status>modified</status>
      <modifiedWord>）</modifiedWord>
      <trackRevisions>false</trackRevisions>
    </reviewItem>
    <reviewItem>
      <errorID>fc31986e-e767-43d7-8653-9f1dfdac42f7</errorID>
      <errorWord>回至</errorWord>
      <group>L1_Word</group>
      <groupName>字词问题</groupName>
      <ability>L2_Typo</ability>
      <abilityName>字词错误</abilityName>
      <candidateList>
        <item>回收</item>
      </candidateList>
      <explain/>
      <paraID>331DB5C0</paraID>
      <start>25</start>
      <end>27</end>
      <status>modified</status>
      <modifiedWord>回收</modifiedWord>
      <trackRevisions>false</trackRevisions>
    </reviewItem>
    <reviewItem>
      <errorID>6f20da94-2770-45a0-a504-0f6552cc3e83</errorID>
      <errorWord>，。</errorWord>
      <group>L1_Punc</group>
      <groupName>标点问题</groupName>
      <ability>L2_Punc</ability>
      <abilityName>标点符号检查</abilityName>
      <candidateList>
        <item>，</item>
      </candidateList>
      <explain/>
      <paraID>331DB5C0</paraID>
      <start>83</start>
      <end>84</end>
      <status>modified</status>
      <modifiedWord>，</modifiedWord>
      <trackRevisions>false</trackRevisions>
    </reviewItem>
    <reviewItem>
      <errorID>f8297517-edaf-4328-b93c-64353fee9256</errorID>
      <errorWord>的的</errorWord>
      <group>L1_Word</group>
      <groupName>字词问题</groupName>
      <ability>L2_Typo</ability>
      <abilityName>字词错误</abilityName>
      <candidateList>
        <item>的</item>
      </candidateList>
      <explain>“的”常用于连接修饰语与名词性中心语，表示属性、所属或描述。</explain>
      <paraID>5ADE7852</paraID>
      <start>58</start>
      <end>59</end>
      <status>modified</status>
      <modifiedWord>的</modifiedWord>
      <trackRevisions>false</trackRevisions>
    </reviewItem>
    <reviewItem>
      <errorID>afe24a6e-3f22-44f1-a976-ce2967a99100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36C74C6F</paraID>
      <start>0</start>
      <end>2</end>
      <status>modified</status>
      <modifiedWord>3.</modifiedWord>
      <trackRevisions>false</trackRevisions>
    </reviewItem>
    <reviewItem>
      <errorID>63ae937a-6c20-4bdc-9677-edc694bf3d3c</errorID>
      <errorWord>~</errorWord>
      <group>L1_Format</group>
      <groupName>格式问题</groupName>
      <ability>L2_HalfPunc</ability>
      <abilityName>全半角检查</abilityName>
      <candidateList>
        <item>～</item>
      </candidateList>
      <explain>文本全半角错误。</explain>
      <paraID>16E00F8B</paraID>
      <start>168</start>
      <end>169</end>
      <status>unmodified</status>
      <modifiedWord/>
      <trackRevisions>false</trackRevisions>
    </reviewItem>
    <reviewItem>
      <errorID>917a6ad2-0b5a-449b-ae37-9ed6c8c88dd5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4768F7E2</paraID>
      <start>0</start>
      <end>2</end>
      <status>unmodified</status>
      <modifiedWord/>
      <trackRevisions>false</trackRevisions>
    </reviewItem>
    <reviewItem>
      <errorID>65f23154-e2ec-43ef-8af7-5ad661565d33</errorID>
      <errorWord>（</errorWord>
      <group>L1_Punc</group>
      <groupName>标点问题</groupName>
      <ability>L2_Punc</ability>
      <abilityName>标点符号检查</abilityName>
      <candidateList/>
      <explain/>
      <paraID> 426BA40</paraID>
      <start>140</start>
      <end>141</end>
      <status>unmodified</status>
      <modifiedWord/>
      <trackRevisions>false</trackRevisions>
    </reviewItem>
    <reviewItem>
      <errorID>a53108ae-3a57-48ab-83a7-d2fe5e578e3c</errorID>
      <errorWord>均能</errorWord>
      <group>L1_Word</group>
      <groupName>字词问题</groupName>
      <ability>L2_Typo</ability>
      <abilityName>字词错误</abilityName>
      <candidateList>
        <item>均</item>
      </candidateList>
      <explain/>
      <paraID>3F6898E5</paraID>
      <start>186</start>
      <end>187</end>
      <status>modified</status>
      <modifiedWord>均</modifiedWord>
      <trackRevisions>false</trackRevisions>
    </reviewItem>
    <reviewItem>
      <errorID>712c9f98-63a0-40e3-9c01-0a467c7d0a3f</errorID>
      <errorWord>)</errorWord>
      <group>L1_Format</group>
      <groupName>格式问题</groupName>
      <ability>L2_HalfPunc</ability>
      <abilityName>全半角检查</abilityName>
      <candidateList>
        <item>）</item>
      </candidateList>
      <explain>文本全半角错误。</explain>
      <paraID>5F62A30B</paraID>
      <start>79</start>
      <end>80</end>
      <status>modified</status>
      <modifiedWord>）</modifiedWord>
      <trackRevisions>false</trackRevisions>
    </reviewItem>
    <reviewItem>
      <errorID>98735fd9-c799-4ea5-8003-554ba86e0146</errorID>
      <errorWord>)</errorWord>
      <group>L1_Format</group>
      <groupName>格式问题</groupName>
      <ability>L2_HalfPunc</ability>
      <abilityName>全半角检查</abilityName>
      <candidateList>
        <item>）</item>
      </candidateList>
      <explain>文本全半角错误。</explain>
      <paraID>5F62A30B</paraID>
      <start>149</start>
      <end>150</end>
      <status>modified</status>
      <modifiedWord>）</modifiedWord>
      <trackRevisions>false</trackRevisions>
    </reviewItem>
    <reviewItem>
      <errorID>10483896-3b4d-4c65-a048-531507284869</errorID>
      <errorWord>属</errorWord>
      <group>L1_Word</group>
      <groupName>字词问题</groupName>
      <ability>L2_Typo</ability>
      <abilityName>字词错误</abilityName>
      <candidateList>
        <item>属于</item>
      </candidateList>
      <explain/>
      <paraID>2AFC6223</paraID>
      <start>70</start>
      <end>72</end>
      <status>modified</status>
      <modifiedWord>属于</modifiedWord>
      <trackRevisions>false</trackRevisions>
    </reviewItem>
    <reviewItem>
      <errorID>87d57d95-6fdc-4348-9943-a383c18cb9cf</errorID>
      <errorWord>(</errorWord>
      <group>L1_Format</group>
      <groupName>格式问题</groupName>
      <ability>L2_HalfPunc</ability>
      <abilityName>全半角检查</abilityName>
      <candidateList>
        <item>（</item>
      </candidateList>
      <explain>文本全半角错误。</explain>
      <paraID>359B5AF6</paraID>
      <start>130</start>
      <end>131</end>
      <status>unmodified</status>
      <modifiedWord/>
      <trackRevisions>false</trackRevisions>
    </reviewItem>
    <reviewItem>
      <errorID>a7939f72-8970-4b8d-b47c-f96094d6698c</errorID>
      <errorWord>)</errorWord>
      <group>L1_Format</group>
      <groupName>格式问题</groupName>
      <ability>L2_HalfPunc</ability>
      <abilityName>全半角检查</abilityName>
      <candidateList>
        <item>）</item>
      </candidateList>
      <explain>文本全半角错误。</explain>
      <paraID>359B5AF6</paraID>
      <start>142</start>
      <end>143</end>
      <status>unmodified</status>
      <modifiedWord/>
      <trackRevisions>false</trackRevisions>
    </reviewItem>
    <reviewItem>
      <errorID>eb82dcb7-d73e-411c-8cae-86b84355d942</errorID>
      <errorWord>(</errorWord>
      <group>L1_Format</group>
      <groupName>格式问题</groupName>
      <ability>L2_HalfPunc</ability>
      <abilityName>全半角检查</abilityName>
      <candidateList>
        <item>（</item>
      </candidateList>
      <explain>文本全半角错误。</explain>
      <paraID>359B5AF6</paraID>
      <start>151</start>
      <end>152</end>
      <status>unmodified</status>
      <modifiedWord/>
      <trackRevisions>false</trackRevisions>
    </reviewItem>
    <reviewItem>
      <errorID>ce599df1-1572-47eb-9558-f69f72a35646</errorID>
      <errorWord>(</errorWord>
      <group>L1_Punc</group>
      <groupName>标点问题</groupName>
      <ability>L2_Punc</ability>
      <abilityName>标点符号检查</abilityName>
      <candidateList/>
      <explain>同一形式括号套用。</explain>
      <paraID>359B5AF6</paraID>
      <start>171</start>
      <end>172</end>
      <status>unmodified</status>
      <modifiedWord/>
      <trackRevisions>false</trackRevisions>
    </reviewItem>
    <reviewItem>
      <errorID>42ec3266-692a-4036-9671-164c1b4da8ab</errorID>
      <errorWord>)</errorWord>
      <group>L1_Punc</group>
      <groupName>标点问题</groupName>
      <ability>L2_Punc</ability>
      <abilityName>标点符号检查</abilityName>
      <candidateList/>
      <explain>同一形式括号套用。</explain>
      <paraID>359B5AF6</paraID>
      <start>187</start>
      <end>188</end>
      <status>unmodified</status>
      <modifiedWord/>
      <trackRevisions>false</trackRevisions>
    </reviewItem>
    <reviewItem>
      <errorID>dad33566-5180-4ecb-b83b-6dcb3a6be6d8</errorID>
      <errorWord>)</errorWord>
      <group>L1_Format</group>
      <groupName>格式问题</groupName>
      <ability>L2_HalfPunc</ability>
      <abilityName>全半角检查</abilityName>
      <candidateList>
        <item>）</item>
      </candidateList>
      <explain>文本全半角错误。</explain>
      <paraID>359B5AF6</paraID>
      <start>197</start>
      <end>198</end>
      <status>unmodified</status>
      <modifiedWord/>
      <trackRevisions>false</trackRevisions>
    </reviewItem>
    <reviewItem>
      <errorID>416f540a-82ec-490f-829f-8233733dff71</errorID>
      <errorWord>(</errorWord>
      <group>L1_Format</group>
      <groupName>格式问题</groupName>
      <ability>L2_HalfPunc</ability>
      <abilityName>全半角检查</abilityName>
      <candidateList>
        <item>（</item>
      </candidateList>
      <explain>文本全半角错误。</explain>
      <paraID> 2EC3D06</paraID>
      <start>111</start>
      <end>112</end>
      <status>unmodified</status>
      <modifiedWord/>
      <trackRevisions>false</trackRevisions>
    </reviewItem>
    <reviewItem>
      <errorID>190a7728-f31f-4bc1-8b85-b7445d72e296</errorID>
      <errorWord>)</errorWord>
      <group>L1_Format</group>
      <groupName>格式问题</groupName>
      <ability>L2_HalfPunc</ability>
      <abilityName>全半角检查</abilityName>
      <candidateList>
        <item>）</item>
      </candidateList>
      <explain>文本全半角错误。</explain>
      <paraID> 2EC3D06</paraID>
      <start>124</start>
      <end>125</end>
      <status>unmodified</status>
      <modifiedWord/>
      <trackRevisions>false</trackRevisions>
    </reviewItem>
    <reviewItem>
      <errorID>b42286db-42b1-448f-850f-7229a7c92cae</errorID>
      <errorWord>)</errorWord>
      <group>L1_Format</group>
      <groupName>格式问题</groupName>
      <ability>L2_HalfPunc</ability>
      <abilityName>全半角检查</abilityName>
      <candidateList>
        <item>）</item>
      </candidateList>
      <explain>文本全半角错误。</explain>
      <paraID>  8D7D80</paraID>
      <start>67</start>
      <end>68</end>
      <status>unmodified</status>
      <modifiedWord/>
      <trackRevisions>false</trackRevisions>
    </reviewItem>
    <reviewItem>
      <errorID>aed21949-2027-4b2d-a720-9f02ec840b93</errorID>
      <errorWord>)</errorWord>
      <group>L1_Format</group>
      <groupName>格式问题</groupName>
      <ability>L2_HalfPunc</ability>
      <abilityName>全半角检查</abilityName>
      <candidateList>
        <item>）</item>
      </candidateList>
      <explain>文本全半角错误。</explain>
      <paraID>  8D7D80</paraID>
      <start>87</start>
      <end>88</end>
      <status>unmodified</status>
      <modifiedWord/>
      <trackRevisions>false</trackRevisions>
    </reviewItem>
    <reviewItem>
      <errorID>b1c3c80d-2ad1-457a-a872-920827456236</errorID>
      <errorWord>属</errorWord>
      <group>L1_Word</group>
      <groupName>字词问题</groupName>
      <ability>L2_Typo</ability>
      <abilityName>字词错误</abilityName>
      <candidateList>
        <item>属于</item>
      </candidateList>
      <explain/>
      <paraID>79AD5AFB</paraID>
      <start>79</start>
      <end>80</end>
      <status>unmodified</status>
      <modifiedWord/>
      <trackRevisions>false</trackRevisions>
    </reviewItem>
    <reviewItem>
      <errorID>6ed009ef-6134-4f9a-a662-e8cbd27c053a</errorID>
      <errorWord>(</errorWord>
      <group>L1_Format</group>
      <groupName>格式问题</groupName>
      <ability>L2_HalfPunc</ability>
      <abilityName>全半角检查</abilityName>
      <candidateList>
        <item>（</item>
      </candidateList>
      <explain>文本全半角错误。</explain>
      <paraID>7AE12CEB</paraID>
      <start>23</start>
      <end>24</end>
      <status>unmodified</status>
      <modifiedWord/>
      <trackRevisions>false</trackRevisions>
    </reviewItem>
    <reviewItem>
      <errorID>c8148382-536d-4ebc-8359-ad65beadcf3b</errorID>
      <errorWord>)</errorWord>
      <group>L1_Format</group>
      <groupName>格式问题</groupName>
      <ability>L2_HalfPunc</ability>
      <abilityName>全半角检查</abilityName>
      <candidateList>
        <item>）</item>
      </candidateList>
      <explain>文本全半角错误。</explain>
      <paraID>7AE12CEB</paraID>
      <start>35</start>
      <end>36</end>
      <status>unmodified</status>
      <modifiedWord/>
      <trackRevisions>false</trackRevisions>
    </reviewItem>
    <reviewItem>
      <errorID>72979a85-bb82-4d3d-a5f2-aad2b100515a</errorID>
      <errorWord>(</errorWord>
      <group>L1_Format</group>
      <groupName>格式问题</groupName>
      <ability>L2_HalfPunc</ability>
      <abilityName>全半角检查</abilityName>
      <candidateList>
        <item>（</item>
      </candidateList>
      <explain>文本全半角错误。</explain>
      <paraID>7AE12CEB</paraID>
      <start>64</start>
      <end>65</end>
      <status>unmodified</status>
      <modifiedWord/>
      <trackRevisions>false</trackRevisions>
    </reviewItem>
    <reviewItem>
      <errorID>a7013bba-a298-4710-bd2f-1b4e1258d606</errorID>
      <errorWord>)</errorWord>
      <group>L1_Format</group>
      <groupName>格式问题</groupName>
      <ability>L2_HalfPunc</ability>
      <abilityName>全半角检查</abilityName>
      <candidateList>
        <item>）</item>
      </candidateList>
      <explain>文本全半角错误。</explain>
      <paraID>7AE12CEB</paraID>
      <start>79</start>
      <end>80</end>
      <status>unmodified</status>
      <modifiedWord/>
      <trackRevisions>false</trackRevisions>
    </reviewItem>
    <reviewItem>
      <errorID>165850fd-76dd-4de7-a51f-55dd6ff9bd9d</errorID>
      <errorWord>(</errorWord>
      <group>L1_Format</group>
      <groupName>格式问题</groupName>
      <ability>L2_HalfPunc</ability>
      <abilityName>全半角检查</abilityName>
      <candidateList>
        <item>（</item>
      </candidateList>
      <explain>文本全半角错误。</explain>
      <paraID>7AE12CEB</paraID>
      <start>110</start>
      <end>111</end>
      <status>unmodified</status>
      <modifiedWord/>
      <trackRevisions>false</trackRevisions>
    </reviewItem>
    <reviewItem>
      <errorID>42b0dd3d-1b92-44e6-891f-b7d5bdaa95be</errorID>
      <errorWord>)</errorWord>
      <group>L1_Format</group>
      <groupName>格式问题</groupName>
      <ability>L2_HalfPunc</ability>
      <abilityName>全半角检查</abilityName>
      <candidateList>
        <item>）</item>
      </candidateList>
      <explain>文本全半角错误。</explain>
      <paraID>7AE12CEB</paraID>
      <start>123</start>
      <end>124</end>
      <status>unmodified</status>
      <modifiedWord/>
      <trackRevisions>false</trackRevisions>
    </reviewItem>
    <reviewItem>
      <errorID>b44230eb-5074-44a4-a4a3-8d2e34df7eb1</errorID>
      <errorWord>(</errorWord>
      <group>L1_Format</group>
      <groupName>格式问题</groupName>
      <ability>L2_HalfPunc</ability>
      <abilityName>全半角检查</abilityName>
      <candidateList>
        <item>（</item>
      </candidateList>
      <explain>文本全半角错误。</explain>
      <paraID>7AE12CEB</paraID>
      <start>166</start>
      <end>167</end>
      <status>unmodified</status>
      <modifiedWord/>
      <trackRevisions>false</trackRevisions>
    </reviewItem>
    <reviewItem>
      <errorID>1daa880d-514d-4c62-9d30-fb01dc9cac13</errorID>
      <errorWord>)</errorWord>
      <group>L1_Format</group>
      <groupName>格式问题</groupName>
      <ability>L2_HalfPunc</ability>
      <abilityName>全半角检查</abilityName>
      <candidateList>
        <item>）</item>
      </candidateList>
      <explain>文本全半角错误。</explain>
      <paraID>7AE12CEB</paraID>
      <start>179</start>
      <end>180</end>
      <status>unmodified</status>
      <modifiedWord/>
      <trackRevisions>false</trackRevisions>
    </reviewItem>
    <reviewItem>
      <errorID>ad7b9638-288a-4545-8a7b-61af9c97acbd</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 8EAACD8</paraID>
      <start>8</start>
      <end>12</end>
      <status>modified</status>
      <modifiedWord>管理台账</modifiedWord>
      <trackRevisions>false</trackRevisions>
    </reviewItem>
    <reviewItem>
      <errorID>91601cb6-da8b-493a-b2b3-31c6c4de03ae</errorID>
      <errorWord>工程污染物</errorWord>
      <group>L1_Knowledge</group>
      <groupName>知识性问题</groupName>
      <ability>L2_Term</ability>
      <abilityName>专业术语</abilityName>
      <candidateList>
        <item>工业污染物</item>
      </candidateList>
      <explain/>
      <paraID>65508E38</paraID>
      <start>5</start>
      <end>10</end>
      <status>unmodified</status>
      <modifiedWord/>
      <trackRevisions>false</trackRevisions>
    </reviewItem>
    <reviewItem>
      <errorID>aa66b282-b319-48c8-8374-c7d839032c3d</errorID>
      <errorWord>(</errorWord>
      <group>L1_Format</group>
      <groupName>格式问题</groupName>
      <ability>L2_HalfPunc</ability>
      <abilityName>全半角检查</abilityName>
      <candidateList>
        <item>（</item>
      </candidateList>
      <explain>文本全半角错误。</explain>
      <paraID>61758223</paraID>
      <start>303</start>
      <end>304</end>
      <status>unmodified</status>
      <modifiedWord/>
      <trackRevisions>false</trackRevisions>
    </reviewItem>
    <reviewItem>
      <errorID>776eff9a-4dae-476a-829a-49eccba25e39</errorID>
      <errorWord>)</errorWord>
      <group>L1_Format</group>
      <groupName>格式问题</groupName>
      <ability>L2_HalfPunc</ability>
      <abilityName>全半角检查</abilityName>
      <candidateList>
        <item>）</item>
      </candidateList>
      <explain>文本全半角错误。</explain>
      <paraID>61758223</paraID>
      <start>315</start>
      <end>316</end>
      <status>unmodified</status>
      <modifiedWord/>
      <trackRevisions>false</trackRevisions>
    </reviewItem>
    <reviewItem>
      <errorID>7d0b3075-8b87-4032-aeca-b0d3eaa85c2b</errorID>
      <errorWord>(</errorWord>
      <group>L1_Format</group>
      <groupName>格式问题</groupName>
      <ability>L2_HalfPunc</ability>
      <abilityName>全半角检查</abilityName>
      <candidateList>
        <item>（</item>
      </candidateList>
      <explain>文本全半角错误。</explain>
      <paraID>61758223</paraID>
      <start>340</start>
      <end>341</end>
      <status>unmodified</status>
      <modifiedWord/>
      <trackRevisions>false</trackRevisions>
    </reviewItem>
    <reviewItem>
      <errorID>2d67df70-beb8-4872-bac7-a15eee5e6610</errorID>
      <errorWord>)</errorWord>
      <group>L1_Format</group>
      <groupName>格式问题</groupName>
      <ability>L2_HalfPunc</ability>
      <abilityName>全半角检查</abilityName>
      <candidateList>
        <item>）</item>
      </candidateList>
      <explain>文本全半角错误。</explain>
      <paraID>61758223</paraID>
      <start>356</start>
      <end>357</end>
      <status>unmodified</status>
      <modifiedWord/>
      <trackRevisions>false</trackRevisions>
    </reviewItem>
    <reviewItem>
      <errorID>a74e70e4-5df7-4334-ba9e-4c9a8d3a86b8</errorID>
      <errorWord>生活废水</errorWord>
      <group>L1_Knowledge</group>
      <groupName>知识性问题</groupName>
      <ability>L2_Term</ability>
      <abilityName>专业术语</abilityName>
      <candidateList>
        <item>生活污水</item>
      </candidateList>
      <explain/>
      <paraID>6B68A6BE</paraID>
      <start>4</start>
      <end>8</end>
      <status>modified</status>
      <modifiedWord>生活污水</modifiedWord>
      <trackRevisions>false</trackRevisions>
    </reviewItem>
    <reviewItem>
      <errorID>9aed1971-0abf-45bc-9c9c-8a1e9b95b3a7</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 5B46B67</paraID>
      <start>10</start>
      <end>14</end>
      <status>modified</status>
      <modifiedWord>管理台账</modifiedWord>
      <trackRevisions>false</trackRevisions>
    </reviewItem>
    <reviewItem>
      <errorID>7634b08d-5308-4618-ad05-392b144c928d</errorID>
      <errorWord>（</errorWord>
      <group>L1_Format</group>
      <groupName>格式问题</groupName>
      <ability>L2_HalfPunc</ability>
      <abilityName>全半角检查</abilityName>
      <candidateList>
        <item>(</item>
      </candidateList>
      <explain>文本全半角错误。</explain>
      <paraID>4EF4E0B7</paraID>
      <start>3</start>
      <end>4</end>
      <status>modified</status>
      <modifiedWord>(</modifiedWord>
      <trackRevisions>false</trackRevisions>
    </reviewItem>
    <reviewItem>
      <errorID>620c150e-11f6-41d3-abb2-fe7e9979fdd1</errorID>
      <errorWord>）</errorWord>
      <group>L1_Format</group>
      <groupName>格式问题</groupName>
      <ability>L2_HalfPunc</ability>
      <abilityName>全半角检查</abilityName>
      <candidateList>
        <item>)</item>
      </candidateList>
      <explain>文本全半角错误。</explain>
      <paraID>4EF4E0B7</paraID>
      <start>7</start>
      <end>8</end>
      <status>modified</status>
      <modifiedWord>)</modifiedWord>
      <trackRevisions>false</trackRevisions>
    </reviewItem>
    <reviewItem>
      <errorID>4d967adb-cd0b-455b-afb6-c3d0fe82fccb</errorID>
      <errorWord>（</errorWord>
      <group>L1_Format</group>
      <groupName>格式问题</groupName>
      <ability>L2_HalfPunc</ability>
      <abilityName>全半角检查</abilityName>
      <candidateList>
        <item>(</item>
      </candidateList>
      <explain>文本全半角错误。</explain>
      <paraID>2E37A66D</paraID>
      <start>4</start>
      <end>5</end>
      <status>modified</status>
      <modifiedWord>(</modifiedWord>
      <trackRevisions>false</trackRevisions>
    </reviewItem>
    <reviewItem>
      <errorID>e7a70e02-fe34-4cec-87b3-c30811c79d63</errorID>
      <errorWord>）</errorWord>
      <group>L1_Format</group>
      <groupName>格式问题</groupName>
      <ability>L2_HalfPunc</ability>
      <abilityName>全半角检查</abilityName>
      <candidateList>
        <item>)</item>
      </candidateList>
      <explain>文本全半角错误。</explain>
      <paraID>2E37A66D</paraID>
      <start>8</start>
      <end>9</end>
      <status>modified</status>
      <modifiedWord>)</modifiedWord>
      <trackRevisions>false</trackRevisions>
    </reviewItem>
    <reviewItem>
      <errorID>e54e50e9-6b87-4160-8581-0099a627263a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878AAF</paraID>
      <start>31</start>
      <end>32</end>
      <status>modified</status>
      <modifiedWord>—</modifiedWord>
      <trackRevisions>false</trackRevisions>
    </reviewItem>
    <reviewItem>
      <errorID>87972d59-b1f9-46d2-8fc8-6ba97209c543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878AAF</paraID>
      <start>63</start>
      <end>64</end>
      <status>modified</status>
      <modifiedWord>—</modifiedWord>
      <trackRevisions>false</trackRevisions>
    </reviewItem>
    <reviewItem>
      <errorID>79a0b2e0-2ef1-4867-8fb6-1774197056b9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41DCEA42</paraID>
      <start>48</start>
      <end>49</end>
      <status>modified</status>
      <modifiedWord>—</modifiedWord>
      <trackRevisions>false</trackRevisions>
    </reviewItem>
    <reviewItem>
      <errorID>a0088522-e025-4cea-9c19-38315376d77d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7CDF03D2</paraID>
      <start>10</start>
      <end>11</end>
      <status>modified</status>
      <modifiedWord>—</modifiedWord>
      <trackRevisions>false</trackRevisions>
    </reviewItem>
    <reviewItem>
      <errorID>67a10857-6d61-4d6e-997a-7c3323bd55ed</errorID>
      <errorWord>2024年09月18日</errorWord>
      <group>L1_Knowledge</group>
      <groupName>知识性问题</groupName>
      <ability>L2_Time</ability>
      <abilityName>日期时间</abilityName>
      <candidateList>
        <item>2024年9月18日</item>
      </candidateList>
      <explain>根据日常书写习惯，月份一般会省略前导零。</explain>
      <paraID>6FA0E924</paraID>
      <start>0</start>
      <end>10</end>
      <status>modified</status>
      <modifiedWord>2024年9月18日</modifiedWord>
      <trackRevisions>false</trackRevisions>
    </reviewItem>
    <reviewItem>
      <errorID>e92df206-09bc-48d7-a456-8cea43159760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6FA0E924</paraID>
      <start>10</start>
      <end>11</end>
      <status>modified</status>
      <modifiedWord>—</modifiedWord>
      <trackRevisions>false</trackRevisions>
    </reviewItem>
    <reviewItem>
      <errorID>29603303-4526-4d94-96eb-c52cbaf71475</errorID>
      <errorWord>2024年09月19日</errorWord>
      <group>L1_Knowledge</group>
      <groupName>知识性问题</groupName>
      <ability>L2_Time</ability>
      <abilityName>日期时间</abilityName>
      <candidateList>
        <item>2024年9月19日</item>
      </candidateList>
      <explain>根据日常书写习惯，月份一般会省略前导零。</explain>
      <paraID>62403B58</paraID>
      <start>0</start>
      <end>10</end>
      <status>modified</status>
      <modifiedWord>2024年9月19日</modifiedWord>
      <trackRevisions>false</trackRevisions>
    </reviewItem>
    <reviewItem>
      <errorID>c7acb9b3-b2a4-496d-94d3-0a7b3bdeccc5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62403B58</paraID>
      <start>10</start>
      <end>11</end>
      <status>modified</status>
      <modifiedWord>—</modifiedWord>
      <trackRevisions>false</trackRevisions>
    </reviewItem>
    <reviewItem>
      <errorID>6e952cab-9295-4a3f-b62e-a34c1d032c08</errorID>
      <errorWord>2024年09月20日</errorWord>
      <group>L1_Knowledge</group>
      <groupName>知识性问题</groupName>
      <ability>L2_Time</ability>
      <abilityName>日期时间</abilityName>
      <candidateList>
        <item>2024年9月20日</item>
      </candidateList>
      <explain>根据日常书写习惯，月份一般会省略前导零。</explain>
      <paraID>7D883035</paraID>
      <start>0</start>
      <end>10</end>
      <status>modified</status>
      <modifiedWord>2024年9月20日</modifiedWord>
      <trackRevisions>false</trackRevisions>
    </reviewItem>
    <reviewItem>
      <errorID>7ab9b7b6-c04c-412f-91fd-b0b1d10cca8a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7D883035</paraID>
      <start>10</start>
      <end>11</end>
      <status>modified</status>
      <modifiedWord>—</modifiedWord>
      <trackRevisions>false</trackRevisions>
    </reviewItem>
    <reviewItem>
      <errorID>dd62022e-9e82-43d6-8713-3de6e86cbcad</errorID>
      <errorWord>(</errorWord>
      <group>L1_Format</group>
      <groupName>格式问题</groupName>
      <ability>L2_HalfPunc</ability>
      <abilityName>全半角检查</abilityName>
      <candidateList>
        <item>（</item>
      </candidateList>
      <explain>文本全半角错误。</explain>
      <paraID>1D20D772</paraID>
      <start>7</start>
      <end>8</end>
      <status>unmodified</status>
      <modifiedWord/>
      <trackRevisions>false</trackRevisions>
    </reviewItem>
    <reviewItem>
      <errorID>939428ea-0334-484c-834f-3c06cb90a6ff</errorID>
      <errorWord>)</errorWord>
      <group>L1_Format</group>
      <groupName>格式问题</groupName>
      <ability>L2_HalfPunc</ability>
      <abilityName>全半角检查</abilityName>
      <candidateList>
        <item>）</item>
      </candidateList>
      <explain>文本全半角错误。</explain>
      <paraID>1D20D772</paraID>
      <start>9</start>
      <end>10</end>
      <status>unmodified</status>
      <modifiedWord/>
      <trackRevisions>false</trackRevisions>
    </reviewItem>
    <reviewItem>
      <errorID>d525d935-10bc-4b41-a8cd-1f26e871035d</errorID>
      <errorWord>&lt;</errorWord>
      <group>L1_Format</group>
      <groupName>格式问题</groupName>
      <ability>L2_HalfPunc</ability>
      <abilityName>全半角检查</abilityName>
      <candidateList>
        <item>〈</item>
      </candidateList>
      <explain>文本全半角错误。</explain>
      <paraID>5BD6CBE5</paraID>
      <start>5</start>
      <end>6</end>
      <status>modified</status>
      <modifiedWord>〈</modifiedWord>
      <trackRevisions>false</trackRevisions>
    </reviewItem>
    <reviewItem>
      <errorID>fa0ff036-3bea-46aa-907e-32f8be32b722</errorID>
      <errorWord>&gt;</errorWord>
      <group>L1_Format</group>
      <groupName>格式问题</groupName>
      <ability>L2_HalfPunc</ability>
      <abilityName>全半角检查</abilityName>
      <candidateList>
        <item>〉</item>
      </candidateList>
      <explain>文本全半角错误。</explain>
      <paraID>5BD6CBE5</paraID>
      <start>17</start>
      <end>18</end>
      <status>modified</status>
      <modifiedWord>〉</modifiedWord>
      <trackRevisions>false</trackRevisions>
    </reviewItem>
    <reviewItem>
      <errorID>977f752e-c4e2-4a90-b981-238f8cf61806</errorID>
      <errorWord>地方的</errorWord>
      <group>L1_Word</group>
      <groupName>字词问题</groupName>
      <ability>L2_Typo</ability>
      <abilityName>字词错误</abilityName>
      <candidateList>
        <item>地方</item>
      </candidateList>
      <explain/>
      <paraID>5BD6CBE5</paraID>
      <start>355</start>
      <end>357</end>
      <status>modified</status>
      <modifiedWord>地方</modifiedWord>
      <trackRevisions>false</trackRevisions>
    </reviewItem>
    <reviewItem>
      <errorID>528cece4-c26a-4aea-b625-3dd9e7beac5b</errorID>
      <errorWord>（</errorWord>
      <group>L1_Format</group>
      <groupName>格式问题</groupName>
      <ability>L2_HalfPunc</ability>
      <abilityName>全半角检查</abilityName>
      <candidateList>
        <item>(</item>
      </candidateList>
      <explain>文本全半角错误。</explain>
      <paraID>22B49D4D</paraID>
      <start>4</start>
      <end>5</end>
      <status>modified</status>
      <modifiedWord>(</modifiedWord>
      <trackRevisions>false</trackRevisions>
    </reviewItem>
    <reviewItem>
      <errorID>ab2a82e9-6818-413c-ac7a-73e9835e1091</errorID>
      <errorWord>）</errorWord>
      <group>L1_Format</group>
      <groupName>格式问题</groupName>
      <ability>L2_HalfPunc</ability>
      <abilityName>全半角检查</abilityName>
      <candidateList>
        <item>)</item>
      </candidateList>
      <explain>文本全半角错误。</explain>
      <paraID>22B49D4D</paraID>
      <start>9</start>
      <end>10</end>
      <status>modified</status>
      <modifiedWord>)</modifiedWord>
      <trackRevisions>false</trackRevisions>
    </reviewItem>
    <reviewItem>
      <errorID>937f1acb-d297-4979-b6e3-3347acde8a43</errorID>
      <errorWord>（</errorWord>
      <group>L1_Format</group>
      <groupName>格式问题</groupName>
      <ability>L2_HalfPunc</ability>
      <abilityName>全半角检查</abilityName>
      <candidateList>
        <item>(</item>
      </candidateList>
      <explain>文本全半角错误。</explain>
      <paraID>3BCB45EF</paraID>
      <start>5</start>
      <end>6</end>
      <status>modified</status>
      <modifiedWord>(</modifiedWord>
      <trackRevisions>false</trackRevisions>
    </reviewItem>
    <reviewItem>
      <errorID>00f609f6-9d85-4549-8fe3-62f50f567349</errorID>
      <errorWord>）</errorWord>
      <group>L1_Format</group>
      <groupName>格式问题</groupName>
      <ability>L2_HalfPunc</ability>
      <abilityName>全半角检查</abilityName>
      <candidateList>
        <item>)</item>
      </candidateList>
      <explain>文本全半角错误。</explain>
      <paraID>3BCB45EF</paraID>
      <start>10</start>
      <end>11</end>
      <status>modified</status>
      <modifiedWord>)</modifiedWord>
      <trackRevisions>false</trackRevisions>
    </reviewItem>
    <reviewItem>
      <errorID>a4785723-0859-4b2a-9b71-01fd3c05bb8d</errorID>
      <errorWord>达</errorWord>
      <group>L1_Word</group>
      <groupName>字词问题</groupName>
      <ability>L2_Typo</ability>
      <abilityName>字词错误</abilityName>
      <candidateList>
        <item>达到</item>
      </candidateList>
      <explain>〈动〉到（多指抽象事物或程度）：达得到｜达不到｜目的没有～｜～国际水平。</explain>
      <paraID>1C3DFC92</paraID>
      <start>8</start>
      <end>10</end>
      <status>modified</status>
      <modifiedWord>达到</modifiedWord>
      <trackRevisions>false</trackRevisions>
    </reviewItem>
    <reviewItem>
      <errorID>719997bf-ba07-43d9-9526-f756c261c626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74D32CBA</paraID>
      <start>47</start>
      <end>48</end>
      <status>modified</status>
      <modifiedWord>—</modifiedWord>
      <trackRevisions>false</trackRevisions>
    </reviewItem>
    <reviewItem>
      <errorID>d2e5715a-7e56-46a7-b317-bba929b1a9c2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74D32CBA</paraID>
      <start>61</start>
      <end>62</end>
      <status>modified</status>
      <modifiedWord>—</modifiedWord>
      <trackRevisions>false</trackRevisions>
    </reviewItem>
    <reviewItem>
      <errorID>98baa722-7cae-4001-b81e-64a2f66433d3</errorID>
      <errorWord>检测</errorWord>
      <group>L1_Word</group>
      <groupName>字词问题</groupName>
      <ability>L2_Typo</ability>
      <abilityName>字词错误</abilityName>
      <candidateList>
        <item>监测</item>
      </candidateList>
      <explain/>
      <paraID>22D478C0</paraID>
      <start>15</start>
      <end>17</end>
      <status>modified</status>
      <modifiedWord>监测</modifiedWord>
      <trackRevisions>false</trackRevisions>
    </reviewItem>
    <reviewItem>
      <errorID>7a07f1f7-9589-4570-879b-6f0d4282288d</errorID>
      <errorWord>制标</errorWord>
      <group>L1_Word</group>
      <groupName>字词问题</groupName>
      <ability>L2_Typo</ability>
      <abilityName>字词错误</abilityName>
      <candidateList>
        <item>指标</item>
      </candidateList>
      <explain>存在发音相同字词的误用。</explain>
      <paraID>5E0BE72B</paraID>
      <start>0</start>
      <end>2</end>
      <status>ignored</status>
      <modifiedWord/>
      <trackRevisions>false</trackRevisions>
    </reviewItem>
    <reviewItem>
      <errorID>1c3057d7-533a-4848-9646-720adf974bb8</errorID>
      <errorWord>排气简</errorWord>
      <group>L1_Word</group>
      <groupName>字词问题</groupName>
      <ability>L2_Typo</ability>
      <abilityName>字词错误</abilityName>
      <candidateList>
        <item>排气筒</item>
      </candidateList>
      <explain/>
      <paraID>2AB63E13</paraID>
      <start>3</start>
      <end>6</end>
      <status>modified</status>
      <modifiedWord>排气筒</modifiedWord>
      <trackRevisions>false</trackRevisions>
    </reviewItem>
    <reviewItem>
      <errorID>4215d15b-9348-4382-96ab-a966d6068768</errorID>
      <errorWord>排气简</errorWord>
      <group>L1_Word</group>
      <groupName>字词问题</groupName>
      <ability>L2_Typo</ability>
      <abilityName>字词错误</abilityName>
      <candidateList>
        <item>排气筒</item>
      </candidateList>
      <explain/>
      <paraID>2AB63E13</paraID>
      <start>53</start>
      <end>56</end>
      <status>modified</status>
      <modifiedWord>排气筒</modifiedWord>
      <trackRevisions>false</trackRevisions>
    </reviewItem>
    <reviewItem>
      <errorID>5738165b-3f1f-4843-8954-a57e140d0969</errorID>
      <errorWord>,</errorWord>
      <group>L1_Format</group>
      <groupName>格式问题</groupName>
      <ability>L2_HalfPunc</ability>
      <abilityName>全半角检查</abilityName>
      <candidateList>
        <item>，</item>
      </candidateList>
      <explain>文本全半角错误。</explain>
      <paraID>2AB63E13</paraID>
      <start>56</start>
      <end>57</end>
      <status>modified</status>
      <modifiedWord>，</modifiedWord>
      <trackRevisions>false</trackRevisions>
    </reviewItem>
    <reviewItem>
      <errorID>3f664b6c-ebcf-4c3d-bbce-788b975708b8</errorID>
      <errorWord>（</errorWord>
      <group>L1_Format</group>
      <groupName>格式问题</groupName>
      <ability>L2_HalfPunc</ability>
      <abilityName>全半角检查</abilityName>
      <candidateList>
        <item>(</item>
      </candidateList>
      <explain>文本全半角错误。</explain>
      <paraID>50A00A4E</paraID>
      <start>3</start>
      <end>4</end>
      <status>modified</status>
      <modifiedWord>(</modifiedWord>
      <trackRevisions>false</trackRevisions>
    </reviewItem>
    <reviewItem>
      <errorID>79798091-878d-4db0-bbc9-e1cb588ea26a</errorID>
      <errorWord>）</errorWord>
      <group>L1_Format</group>
      <groupName>格式问题</groupName>
      <ability>L2_HalfPunc</ability>
      <abilityName>全半角检查</abilityName>
      <candidateList>
        <item>)</item>
      </candidateList>
      <explain>文本全半角错误。</explain>
      <paraID>50A00A4E</paraID>
      <start>8</start>
      <end>9</end>
      <status>modified</status>
      <modifiedWord>)</modifiedWord>
      <trackRevisions>false</trackRevisions>
    </reviewItem>
    <reviewItem>
      <errorID>692e1a06-899f-498f-b085-eb8c8f35560c</errorID>
      <errorWord>（</errorWord>
      <group>L1_Format</group>
      <groupName>格式问题</groupName>
      <ability>L2_HalfPunc</ability>
      <abilityName>全半角检查</abilityName>
      <candidateList>
        <item>(</item>
      </candidateList>
      <explain>文本全半角错误。</explain>
      <paraID>1659289E</paraID>
      <start>2</start>
      <end>3</end>
      <status>modified</status>
      <modifiedWord>(</modifiedWord>
      <trackRevisions>false</trackRevisions>
    </reviewItem>
    <reviewItem>
      <errorID>a9aff02c-e77d-4f7d-9962-7f4de31b4f1a</errorID>
      <errorWord>）</errorWord>
      <group>L1_Format</group>
      <groupName>格式问题</groupName>
      <ability>L2_HalfPunc</ability>
      <abilityName>全半角检查</abilityName>
      <candidateList>
        <item>)</item>
      </candidateList>
      <explain>文本全半角错误。</explain>
      <paraID>1659289E</paraID>
      <start>7</start>
      <end>8</end>
      <status>modified</status>
      <modifiedWord>)</modifiedWord>
      <trackRevisions>false</trackRevisions>
    </reviewItem>
    <reviewItem>
      <errorID>c320816c-20e7-4af0-88a1-cacbb94dc98a</errorID>
      <errorWord>（</errorWord>
      <group>L1_Format</group>
      <groupName>格式问题</groupName>
      <ability>L2_HalfPunc</ability>
      <abilityName>全半角检查</abilityName>
      <candidateList>
        <item>(</item>
      </candidateList>
      <explain>文本全半角错误。</explain>
      <paraID>6FA452D8</paraID>
      <start>1</start>
      <end>2</end>
      <status>modified</status>
      <modifiedWord>(</modifiedWord>
      <trackRevisions>false</trackRevisions>
    </reviewItem>
    <reviewItem>
      <errorID>70f3b24f-9149-43dc-82d5-fff86bc2d1d7</errorID>
      <errorWord>）</errorWord>
      <group>L1_Format</group>
      <groupName>格式问题</groupName>
      <ability>L2_HalfPunc</ability>
      <abilityName>全半角检查</abilityName>
      <candidateList>
        <item>)</item>
      </candidateList>
      <explain>文本全半角错误。</explain>
      <paraID>6FA452D8</paraID>
      <start>3</start>
      <end>4</end>
      <status>modified</status>
      <modifiedWord>)</modifiedWord>
      <trackRevisions>false</trackRevisions>
    </reviewItem>
    <reviewItem>
      <errorID>6feb308b-9bf0-41ad-bb9b-ad3f7057c62c</errorID>
      <errorWord>-</errorWord>
      <group>L1_Format</group>
      <groupName>格式问题</groupName>
      <ability>L2_HalfPunc</ability>
      <abilityName>全半角检查</abilityName>
      <candidateList>
        <item>－</item>
      </candidateList>
      <explain>文本全半角错误。</explain>
      <paraID>19D70D0A</paraID>
      <start>8</start>
      <end>9</end>
      <status>modified</status>
      <modifiedWord>－</modifiedWord>
      <trackRevisions>false</trackRevisions>
    </reviewItem>
    <reviewItem>
      <errorID>5e435656-6edf-4a74-b3a5-20e44eef330d</errorID>
      <errorWord>（</errorWord>
      <group>L1_Format</group>
      <groupName>格式问题</groupName>
      <ability>L2_HalfPunc</ability>
      <abilityName>全半角检查</abilityName>
      <candidateList>
        <item>(</item>
      </candidateList>
      <explain>文本全半角错误。</explain>
      <paraID>39E219DE</paraID>
      <start>3</start>
      <end>4</end>
      <status>modified</status>
      <modifiedWord>(</modifiedWord>
      <trackRevisions>false</trackRevisions>
    </reviewItem>
    <reviewItem>
      <errorID>4ac66818-940f-40d0-bf40-77c74d6b75f1</errorID>
      <errorWord>）</errorWord>
      <group>L1_Format</group>
      <groupName>格式问题</groupName>
      <ability>L2_HalfPunc</ability>
      <abilityName>全半角检查</abilityName>
      <candidateList>
        <item>)</item>
      </candidateList>
      <explain>文本全半角错误。</explain>
      <paraID>39E219DE</paraID>
      <start>8</start>
      <end>9</end>
      <status>modified</status>
      <modifiedWord>)</modifiedWord>
      <trackRevisions>false</trackRevisions>
    </reviewItem>
    <reviewItem>
      <errorID>adc89dd3-34fc-46fb-99e0-92dbf817108a</errorID>
      <errorWord>（</errorWord>
      <group>L1_Format</group>
      <groupName>格式问题</groupName>
      <ability>L2_HalfPunc</ability>
      <abilityName>全半角检查</abilityName>
      <candidateList>
        <item>(</item>
      </candidateList>
      <explain>文本全半角错误。</explain>
      <paraID>23C839C1</paraID>
      <start>4</start>
      <end>5</end>
      <status>modified</status>
      <modifiedWord>(</modifiedWord>
      <trackRevisions>false</trackRevisions>
    </reviewItem>
    <reviewItem>
      <errorID>277c1926-29f1-4b98-b19a-e4965d7528d8</errorID>
      <errorWord>）</errorWord>
      <group>L1_Format</group>
      <groupName>格式问题</groupName>
      <ability>L2_HalfPunc</ability>
      <abilityName>全半角检查</abilityName>
      <candidateList>
        <item>)</item>
      </candidateList>
      <explain>文本全半角错误。</explain>
      <paraID>23C839C1</paraID>
      <start>9</start>
      <end>10</end>
      <status>modified</status>
      <modifiedWord>)</modifiedWord>
      <trackRevisions>false</trackRevisions>
    </reviewItem>
    <reviewItem>
      <errorID>35f47b10-fc12-4a39-9246-5a47f9bd464e</errorID>
      <errorWord>（</errorWord>
      <group>L1_Format</group>
      <groupName>格式问题</groupName>
      <ability>L2_HalfPunc</ability>
      <abilityName>全半角检查</abilityName>
      <candidateList>
        <item>(</item>
      </candidateList>
      <explain>文本全半角错误。</explain>
      <paraID>795B1022</paraID>
      <start>2</start>
      <end>3</end>
      <status>modified</status>
      <modifiedWord>(</modifiedWord>
      <trackRevisions>false</trackRevisions>
    </reviewItem>
    <reviewItem>
      <errorID>7ac495f6-8bdb-4b21-ad65-45a0bd7e3b6d</errorID>
      <errorWord>）</errorWord>
      <group>L1_Format</group>
      <groupName>格式问题</groupName>
      <ability>L2_HalfPunc</ability>
      <abilityName>全半角检查</abilityName>
      <candidateList>
        <item>)</item>
      </candidateList>
      <explain>文本全半角错误。</explain>
      <paraID>795B1022</paraID>
      <start>7</start>
      <end>8</end>
      <status>modified</status>
      <modifiedWord>)</modifiedWord>
      <trackRevisions>false</trackRevisions>
    </reviewItem>
    <reviewItem>
      <errorID>3b844577-38f4-48ff-b309-51069f9e1d74</errorID>
      <errorWord>（</errorWord>
      <group>L1_Format</group>
      <groupName>格式问题</groupName>
      <ability>L2_HalfPunc</ability>
      <abilityName>全半角检查</abilityName>
      <candidateList>
        <item>(</item>
      </candidateList>
      <explain>文本全半角错误。</explain>
      <paraID>76F4C5E8</paraID>
      <start>1</start>
      <end>2</end>
      <status>modified</status>
      <modifiedWord>(</modifiedWord>
      <trackRevisions>false</trackRevisions>
    </reviewItem>
    <reviewItem>
      <errorID>52e1f07f-57e9-4e52-9481-e13a1a60279d</errorID>
      <errorWord>）</errorWord>
      <group>L1_Format</group>
      <groupName>格式问题</groupName>
      <ability>L2_HalfPunc</ability>
      <abilityName>全半角检查</abilityName>
      <candidateList>
        <item>)</item>
      </candidateList>
      <explain>文本全半角错误。</explain>
      <paraID>76F4C5E8</paraID>
      <start>3</start>
      <end>4</end>
      <status>modified</status>
      <modifiedWord>)</modifiedWord>
      <trackRevisions>false</trackRevisions>
    </reviewItem>
    <reviewItem>
      <errorID>ba4ff0bc-6c1a-4a73-ab29-5080c9fc5392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63D77DA0</paraID>
      <start>20</start>
      <end>22</end>
      <status>modified</status>
      <modifiedWord>》《</modifiedWord>
      <trackRevisions>false</trackRevisions>
    </reviewItem>
    <reviewItem>
      <errorID>560e9471-df76-4c72-8789-98b7d4dc37ba</errorID>
      <errorWord>[2014]24号</errorWord>
      <group>L1_Knowledge</group>
      <groupName>知识性问题</groupName>
      <ability>L2_Knowledge</ability>
      <abilityName>其他知识</abilityName>
      <candidateList>
        <item>〔2014〕24号</item>
      </candidateList>
      <explain>发文字号格式错误。</explain>
      <paraID>63D77DA0</paraID>
      <start>56</start>
      <end>65</end>
      <status>modified</status>
      <modifiedWord>〔2014〕24号</modifiedWord>
      <trackRevisions>false</trackRevisions>
    </reviewItem>
    <reviewItem>
      <errorID>1f038c27-2e2c-453c-aa18-3a9f316dcaa8</errorID>
      <errorWord>&lt;</errorWord>
      <group>L1_Format</group>
      <groupName>格式问题</groupName>
      <ability>L2_HalfPunc</ability>
      <abilityName>全半角检查</abilityName>
      <candidateList>
        <item>〈</item>
      </candidateList>
      <explain>文本全半角错误。</explain>
      <paraID>63D77DA0</paraID>
      <start>80</start>
      <end>81</end>
      <status>modified</status>
      <modifiedWord>〈</modifiedWord>
      <trackRevisions>false</trackRevisions>
    </reviewItem>
    <reviewItem>
      <errorID>182f2adf-b58e-49c5-8ee2-8aa430cc6bd5</errorID>
      <errorWord>&gt;的通知》</errorWord>
      <group>L1_Punc</group>
      <groupName>标点问题</groupName>
      <ability>L2_Punc</ability>
      <abilityName>标点符号检查</abilityName>
      <candidateList>
        <item>〉的通知》</item>
      </candidateList>
      <explain/>
      <paraID>63D77DA0</paraID>
      <start>102</start>
      <end>107</end>
      <status>modified</status>
      <modifiedWord>〉的通知》</modifiedWord>
      <trackRevisions>false</trackRevisions>
    </reviewItem>
    <reviewItem>
      <errorID>f4b1893f-312d-40a9-8770-5e7fa32bce46</errorID>
      <errorWord>[2014]9号</errorWord>
      <group>L1_Knowledge</group>
      <groupName>知识性问题</groupName>
      <ability>L2_Knowledge</ability>
      <abilityName>其他知识</abilityName>
      <candidateList>
        <item>〔2014〕9号</item>
      </candidateList>
      <explain>发文字号格式错误。</explain>
      <paraID>63D77DA0</paraID>
      <start>111</start>
      <end>119</end>
      <status>modified</status>
      <modifiedWord>〔2014〕9号</modifiedWord>
      <trackRevisions>false</trackRevisions>
    </reviewItem>
    <reviewItem>
      <errorID>6b3d17af-2821-4742-ac38-b691f15c7678</errorID>
      <errorWord>[2014]43号</errorWord>
      <group>L1_Knowledge</group>
      <groupName>知识性问题</groupName>
      <ability>L2_Knowledge</ability>
      <abilityName>其他知识</abilityName>
      <candidateList>
        <item>〔2014〕43号</item>
      </candidateList>
      <explain>发文字号格式错误。</explain>
      <paraID>63D77DA0</paraID>
      <start>155</start>
      <end>164</end>
      <status>modified</status>
      <modifiedWord>〔2014〕43号</modifiedWord>
      <trackRevisions>false</trackRevisions>
    </reviewItem>
    <reviewItem>
      <errorID>c8ee9f93-45f7-4fc8-ab9f-ee6358135ed8</errorID>
      <errorWord>[2024]2号</errorWord>
      <group>L1_Knowledge</group>
      <groupName>知识性问题</groupName>
      <ability>L2_Knowledge</ability>
      <abilityName>其他知识</abilityName>
      <candidateList>
        <item>〔2024〕2号</item>
      </candidateList>
      <explain>发文字号格式错误。</explain>
      <paraID>63D77DA0</paraID>
      <start>216</start>
      <end>224</end>
      <status>modified</status>
      <modifiedWord>〔2024〕2号</modifiedWord>
      <trackRevisions>false</trackRevisions>
    </reviewItem>
    <reviewItem>
      <errorID>b0840c02-f677-477e-9e55-03952aa6e18e</errorID>
      <errorWord>[2015]6号</errorWord>
      <group>L1_Knowledge</group>
      <groupName>知识性问题</groupName>
      <ability>L2_Knowledge</ability>
      <abilityName>其他知识</abilityName>
      <candidateList>
        <item>〔2015〕6号</item>
      </candidateList>
      <explain>发文字号格式错误。</explain>
      <paraID>1D3D32A3</paraID>
      <start>94</start>
      <end>102</end>
      <status>modified</status>
      <modifiedWord>〔2015〕6号</modifiedWord>
      <trackRevisions>false</trackRevisions>
    </reviewItem>
    <reviewItem>
      <errorID>b7f8f5c5-c314-40c0-8ee5-3590e358cabe</errorID>
      <errorWord>:</errorWord>
      <group>L1_Format</group>
      <groupName>格式问题</groupName>
      <ability>L2_HalfPunc</ability>
      <abilityName>全半角检查</abilityName>
      <candidateList>
        <item>：</item>
      </candidateList>
      <explain>文本全半角错误。</explain>
      <paraID>48C6EA76</paraID>
      <start>251</start>
      <end>252</end>
      <status>modified</status>
      <modifiedWord>：</modifiedWord>
      <trackRevisions>false</trackRevisions>
    </reviewItem>
    <reviewItem>
      <errorID>7a8445f5-43cf-4130-aaae-cf7119087dc3</errorID>
      <errorWord>护措</errorWord>
      <group>L1_Word</group>
      <groupName>字词问题</groupName>
      <ability>L2_Typo</ability>
      <abilityName>字词错误</abilityName>
      <candidateList>
        <item>举措</item>
      </candidateList>
      <explain>存在发音相近字词的误用。</explain>
      <paraID>4B6ADF13</paraID>
      <start>0</start>
      <end>2</end>
      <status>ignored</status>
      <modifiedWord/>
      <trackRevisions>false</trackRevisions>
    </reviewItem>
    <reviewItem>
      <errorID>10dc5d03-2447-4bb8-a34e-7a4982d5baec</errorID>
      <errorWord>~</errorWord>
      <group>L1_Format</group>
      <groupName>格式问题</groupName>
      <ability>L2_HalfPunc</ability>
      <abilityName>全半角检查</abilityName>
      <candidateList>
        <item>～</item>
      </candidateList>
      <explain>文本全半角错误。</explain>
      <paraID>39EF979A</paraID>
      <start>105</start>
      <end>106</end>
      <status>modified</status>
      <modifiedWord>～</modifiedWord>
      <trackRevisions>false</trackRevisions>
    </reviewItem>
    <reviewItem>
      <errorID>5a13ddda-ccd8-4d28-a091-e0859bb59337</errorID>
      <errorWord>风扬</errorWord>
      <group>L1_Word</group>
      <groupName>字词问题</groupName>
      <ability>L2_Typo</ability>
      <abilityName>字词错误</abilityName>
      <candidateList>
        <item>扬</item>
      </candidateList>
      <explain/>
      <paraID>39EF979A</paraID>
      <start>168</start>
      <end>169</end>
      <status>modified</status>
      <modifiedWord>扬</modifiedWord>
      <trackRevisions>false</trackRevisions>
    </reviewItem>
    <reviewItem>
      <errorID>e31d1290-b86f-40d8-ac2b-2d92a3a0679b</errorID>
      <errorWord>(</errorWord>
      <group>L1_Format</group>
      <groupName>格式问题</groupName>
      <ability>L2_HalfPunc</ability>
      <abilityName>全半角检查</abilityName>
      <candidateList>
        <item>（</item>
      </candidateList>
      <explain>文本全半角错误。</explain>
      <paraID>65752DA8</paraID>
      <start>32</start>
      <end>33</end>
      <status>modified</status>
      <modifiedWord>（</modifiedWord>
      <trackRevisions>false</trackRevisions>
    </reviewItem>
    <reviewItem>
      <errorID>384c49d0-ad61-4acc-9cb5-57a913902790</errorID>
      <errorWord>)</errorWord>
      <group>L1_Format</group>
      <groupName>格式问题</groupName>
      <ability>L2_HalfPunc</ability>
      <abilityName>全半角检查</abilityName>
      <candidateList>
        <item>）</item>
      </candidateList>
      <explain>文本全半角错误。</explain>
      <paraID>65752DA8</paraID>
      <start>45</start>
      <end>46</end>
      <status>modified</status>
      <modifiedWord>）</modifiedWord>
      <trackRevisions>false</trackRevisions>
    </reviewItem>
    <reviewItem>
      <errorID>ca319df5-2c01-43b1-a639-efbf8ce659d1</errorID>
      <errorWord>~</errorWord>
      <group>L1_Format</group>
      <groupName>格式问题</groupName>
      <ability>L2_HalfPunc</ability>
      <abilityName>全半角检查</abilityName>
      <candidateList>
        <item>～</item>
      </candidateList>
      <explain>文本全半角错误。</explain>
      <paraID>722EF9C4</paraID>
      <start>51</start>
      <end>52</end>
      <status>modified</status>
      <modifiedWord>～</modifiedWord>
      <trackRevisions>false</trackRevisions>
    </reviewItem>
    <reviewItem>
      <errorID>83ce2eef-627a-4e99-b014-2977e0cf3063</errorID>
      <errorWord>~</errorWord>
      <group>L1_Format</group>
      <groupName>格式问题</groupName>
      <ability>L2_HalfPunc</ability>
      <abilityName>全半角检查</abilityName>
      <candidateList>
        <item>～</item>
      </candidateList>
      <explain>文本全半角错误。</explain>
      <paraID>722EF9C4</paraID>
      <start>64</start>
      <end>65</end>
      <status>modified</status>
      <modifiedWord>～</modifiedWord>
      <trackRevisions>false</trackRevisions>
    </reviewItem>
    <reviewItem>
      <errorID>9362f668-67f7-44b2-a2f4-3f18d1e88d4b</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722EF9C4</paraID>
      <start>198</start>
      <end>199</end>
      <status>modified</status>
      <modifiedWord>对</modifiedWord>
      <trackRevisions>false</trackRevisions>
    </reviewItem>
    <reviewItem>
      <errorID>d78edf84-89cc-4a76-b1a9-c87853000768</errorID>
      <errorWord>施工厂</errorWord>
      <group>L1_Word</group>
      <groupName>字词问题</groupName>
      <ability>L2_Typo</ability>
      <abilityName>字词错误</abilityName>
      <candidateList>
        <item>施工场</item>
      </candidateList>
      <explain/>
      <paraID>722EF9C4</paraID>
      <start>239</start>
      <end>242</end>
      <status>modified</status>
      <modifiedWord>施工场</modifiedWord>
      <trackRevisions>false</trackRevisions>
    </reviewItem>
    <reviewItem>
      <errorID>58b6beca-cca4-4c37-bd94-0ea48622fa3c</errorID>
      <errorWord>有效的</errorWord>
      <group>L1_Word</group>
      <groupName>字词问题</groupName>
      <ability>L2_Typo</ability>
      <abilityName>字词错误</abilityName>
      <candidateList>
        <item>有效地</item>
      </candidateList>
      <explain/>
      <paraID>3B0FB97B</paraID>
      <start>104</start>
      <end>107</end>
      <status>modified</status>
      <modifiedWord>有效地</modifiedWord>
      <trackRevisions>false</trackRevisions>
    </reviewItem>
    <reviewItem>
      <errorID>7448fd36-8dc5-4302-9e0e-da67357e69e4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7A19A7E4</paraID>
      <start>2</start>
      <end>4</end>
      <status>unmodified</status>
      <modifiedWord/>
      <trackRevisions>false</trackRevisions>
    </reviewItem>
    <reviewItem>
      <errorID>7bd1352c-bfe9-46c8-8008-4d5f4dd2a883</errorID>
      <errorWord>生活废水</errorWord>
      <group>L1_Knowledge</group>
      <groupName>知识性问题</groupName>
      <ability>L2_Term</ability>
      <abilityName>专业术语</abilityName>
      <candidateList>
        <item>生活污水</item>
      </candidateList>
      <explain/>
      <paraID> 6D4BA61</paraID>
      <start>84</start>
      <end>88</end>
      <status>modified</status>
      <modifiedWord>生活污水</modifiedWord>
      <trackRevisions>false</trackRevisions>
    </reviewItem>
    <reviewItem>
      <errorID>ba008649-5f7d-44e3-89e7-85f3f00026da</errorID>
      <errorWord>清量</errorWord>
      <group>L1_Word</group>
      <groupName>字词问题</groupName>
      <ability>L2_Typo</ability>
      <abilityName>字词错误</abilityName>
      <candidateList>
        <item>清理</item>
      </candidateList>
      <explain>〈动〉彻底整理或处理：～仓库｜～账目｜～积案｜～古代文献。</explain>
      <paraID>30B3A22C</paraID>
      <start>24</start>
      <end>26</end>
      <status>modified</status>
      <modifiedWord>清理</modifiedWord>
      <trackRevisions>false</trackRevisions>
    </reviewItem>
    <reviewItem>
      <errorID>881d3108-5db6-40b0-9793-46e070c6777a</errorID>
      <errorWord>東</errorWord>
      <group>L1_Word</group>
      <groupName>字词问题</groupName>
      <ability>L2_Fanti</ability>
      <abilityName>繁转简</abilityName>
      <candidateList>
        <item>东</item>
      </candidateList>
      <explain/>
      <paraID>28447211</paraID>
      <start>59</start>
      <end>60</end>
      <status>modified</status>
      <modifiedWord>东</modifiedWord>
      <trackRevisions>false</trackRevisions>
    </reviewItem>
    <reviewItem>
      <errorID>110c2012-10bc-47a2-af43-1286c82a49fd</errorID>
      <errorWord>，</errorWord>
      <group>L1_Word</group>
      <groupName>字词问题</groupName>
      <ability>L2_Typo</ability>
      <abilityName>字词错误</abilityName>
      <candidateList>
        <item>，在</item>
      </candidateList>
      <explain/>
      <paraID> 82ED2E5</paraID>
      <start>171</start>
      <end>173</end>
      <status>modified</status>
      <modifiedWord>，在</modifiedWord>
      <trackRevisions>false</trackRevisions>
    </reviewItem>
    <reviewItem>
      <errorID>58f6884d-8a92-4601-a944-e97b16fe04ae</errorID>
      <errorWord>这</errorWord>
      <group>L1_Word</group>
      <groupName>字词问题</groupName>
      <ability>L2_Typo</ability>
      <abilityName>字词错误</abilityName>
      <candidateList>
        <item>这是</item>
      </candidateList>
      <explain/>
      <paraID>7F529A8F</paraID>
      <start>90</start>
      <end>92</end>
      <status>modified</status>
      <modifiedWord>这是</modifiedWord>
      <trackRevisions>false</trackRevisions>
    </reviewItem>
    <reviewItem>
      <errorID>e7b340ba-04d5-4340-b4ba-442f21cbb06b</errorID>
      <errorWord>~</errorWord>
      <group>L1_Format</group>
      <groupName>格式问题</groupName>
      <ability>L2_HalfPunc</ability>
      <abilityName>全半角检查</abilityName>
      <candidateList>
        <item>～</item>
      </candidateList>
      <explain>文本全半角错误。</explain>
      <paraID>7F529A8F</paraID>
      <start>162</start>
      <end>163</end>
      <status>modified</status>
      <modifiedWord>～</modifiedWord>
      <trackRevisions>false</trackRevisions>
    </reviewItem>
    <reviewItem>
      <errorID>d809eb16-37ac-4f59-907e-3911c9481d92</errorID>
      <errorWord>~</errorWord>
      <group>L1_Format</group>
      <groupName>格式问题</groupName>
      <ability>L2_HalfPunc</ability>
      <abilityName>全半角检查</abilityName>
      <candidateList>
        <item>～</item>
      </candidateList>
      <explain>文本全半角错误。</explain>
      <paraID>7F529A8F</paraID>
      <start>190</start>
      <end>191</end>
      <status>modified</status>
      <modifiedWord>～</modifiedWord>
      <trackRevisions>false</trackRevisions>
    </reviewItem>
    <reviewItem>
      <errorID>7548f38f-f013-405a-974e-c49efc698210</errorID>
      <errorWord>(</errorWord>
      <group>L1_Format</group>
      <groupName>格式问题</groupName>
      <ability>L2_HalfPunc</ability>
      <abilityName>全半角检查</abilityName>
      <candidateList>
        <item>（</item>
      </candidateList>
      <explain>文本全半角错误。</explain>
      <paraID>560BEBBD</paraID>
      <start>3</start>
      <end>4</end>
      <status>modified</status>
      <modifiedWord>（</modifiedWord>
      <trackRevisions>false</trackRevisions>
    </reviewItem>
    <reviewItem>
      <errorID>ce005137-a868-40e9-9914-04fc2a18fce5</errorID>
      <errorWord>)</errorWord>
      <group>L1_Format</group>
      <groupName>格式问题</groupName>
      <ability>L2_HalfPunc</ability>
      <abilityName>全半角检查</abilityName>
      <candidateList>
        <item>）</item>
      </candidateList>
      <explain>文本全半角错误。</explain>
      <paraID>560BEBBD</paraID>
      <start>7</start>
      <end>8</end>
      <status>modified</status>
      <modifiedWord>）</modifiedWord>
      <trackRevisions>false</trackRevisions>
    </reviewItem>
    <reviewItem>
      <errorID>a745c0ef-af41-416d-8991-14d392cb6078</errorID>
      <errorWord>(</errorWord>
      <group>L1_Format</group>
      <groupName>格式问题</groupName>
      <ability>L2_HalfPunc</ability>
      <abilityName>全半角检查</abilityName>
      <candidateList>
        <item>（</item>
      </candidateList>
      <explain>文本全半角错误。</explain>
      <paraID>120015A9</paraID>
      <start>4</start>
      <end>5</end>
      <status>modified</status>
      <modifiedWord>（</modifiedWord>
      <trackRevisions>false</trackRevisions>
    </reviewItem>
    <reviewItem>
      <errorID>a1eadde6-b8ea-4b0a-8dbd-f78108562763</errorID>
      <errorWord>)</errorWord>
      <group>L1_Format</group>
      <groupName>格式问题</groupName>
      <ability>L2_HalfPunc</ability>
      <abilityName>全半角检查</abilityName>
      <candidateList>
        <item>）</item>
      </candidateList>
      <explain>文本全半角错误。</explain>
      <paraID>120015A9</paraID>
      <start>9</start>
      <end>10</end>
      <status>modified</status>
      <modifiedWord>）</modifiedWord>
      <trackRevisions>false</trackRevisions>
    </reviewItem>
    <reviewItem>
      <errorID>b8789ae2-a58b-40b3-89bf-f1afaacc7a23</errorID>
      <errorWord>(</errorWord>
      <group>L1_Format</group>
      <groupName>格式问题</groupName>
      <ability>L2_HalfPunc</ability>
      <abilityName>全半角检查</abilityName>
      <candidateList>
        <item>（</item>
      </candidateList>
      <explain>文本全半角错误。</explain>
      <paraID>26296466</paraID>
      <start>3</start>
      <end>4</end>
      <status>modified</status>
      <modifiedWord>（</modifiedWord>
      <trackRevisions>false</trackRevisions>
    </reviewItem>
    <reviewItem>
      <errorID>b8e4f059-a64f-4316-9388-6a196285bc10</errorID>
      <errorWord>)</errorWord>
      <group>L1_Format</group>
      <groupName>格式问题</groupName>
      <ability>L2_HalfPunc</ability>
      <abilityName>全半角检查</abilityName>
      <candidateList>
        <item>）</item>
      </candidateList>
      <explain>文本全半角错误。</explain>
      <paraID>26296466</paraID>
      <start>7</start>
      <end>8</end>
      <status>modified</status>
      <modifiedWord>）</modifiedWord>
      <trackRevisions>false</trackRevisions>
    </reviewItem>
    <reviewItem>
      <errorID>169b2b29-e046-43c3-895f-eb9b26e58edd</errorID>
      <errorWord>80-90%</errorWord>
      <group>L1_Knowledge</group>
      <groupName>知识性问题</groupName>
      <ability>L2_Knowledge</ability>
      <abilityName>其他知识</abilityName>
      <candidateList>
        <item>80%—90%</item>
      </candidateList>
      <explain>1. “80-90%”中的单位“%”仅出现在后一个数字上，容易引起歧义；根据《现代汉语标点符号数字用法规范手册》，数字表示范围两边需要使用统一的格式。2. 根据标点国标 4.13 中的规则，数字、时间或地域连接符应使用（视觉上更长的）“—”或“～”。</explain>
      <paraID>6D2CC0EA</paraID>
      <start>150</start>
      <end>157</end>
      <status>modified</status>
      <modifiedWord>80%—90%</modifiedWord>
      <trackRevisions>false</trackRevisions>
    </reviewItem>
    <reviewItem>
      <errorID>15eb8834-8be4-48d5-8c39-5da8436eb9b2</errorID>
      <errorWord>三本帐</errorWord>
      <group>L1_Word</group>
      <groupName>字词问题</groupName>
      <ability>L2_Alias</ability>
      <abilityName>也作/曾用词</abilityName>
      <candidateList>
        <item>三本账</item>
      </candidateList>
      <explain>词汇[三本帐]为不规范表述或旧称，其规范书面表述为[三本账]。</explain>
      <paraID>738E9F0B</paraID>
      <start>9</start>
      <end>12</end>
      <status>modified</status>
      <modifiedWord>三本账</modifiedWord>
      <trackRevisions>false</trackRevisions>
    </reviewItem>
    <reviewItem>
      <errorID>11281dc0-98c2-4fcc-87d2-ccccb938fc95</errorID>
      <errorWord>三本帐</errorWord>
      <group>L1_Word</group>
      <groupName>字词问题</groupName>
      <ability>L2_Alias</ability>
      <abilityName>也作/曾用词</abilityName>
      <candidateList>
        <item>三本账</item>
      </candidateList>
      <explain>词汇[三本帐]为不规范表述或旧称，其规范书面表述为[三本账]。</explain>
      <paraID>78F94E7A</paraID>
      <start>17</start>
      <end>20</end>
      <status>modified</status>
      <modifiedWord>三本账</modifiedWord>
      <trackRevisions>false</trackRevisions>
    </reviewItem>
    <reviewItem>
      <errorID>62449882-2f36-449a-919f-457fe7aee971</errorID>
      <errorWord>（</errorWord>
      <group>L1_Format</group>
      <groupName>格式问题</groupName>
      <ability>L2_HalfPunc</ability>
      <abilityName>全半角检查</abilityName>
      <candidateList>
        <item>(</item>
      </candidateList>
      <explain>文本全半角错误。</explain>
      <paraID>7B188C16</paraID>
      <start>3</start>
      <end>4</end>
      <status>modified</status>
      <modifiedWord>(</modifiedWord>
      <trackRevisions>false</trackRevisions>
    </reviewItem>
    <reviewItem>
      <errorID>4f6e243c-8e19-4c1c-8914-8612ea261236</errorID>
      <errorWord>）</errorWord>
      <group>L1_Format</group>
      <groupName>格式问题</groupName>
      <ability>L2_HalfPunc</ability>
      <abilityName>全半角检查</abilityName>
      <candidateList>
        <item>)</item>
      </candidateList>
      <explain>文本全半角错误。</explain>
      <paraID>7B188C16</paraID>
      <start>7</start>
      <end>8</end>
      <status>modified</status>
      <modifiedWord>)</modifiedWord>
      <trackRevisions>false</trackRevisions>
    </reviewItem>
    <reviewItem>
      <errorID>2071ec70-0cc7-488d-8c52-72737f8487da</errorID>
      <errorWord>（</errorWord>
      <group>L1_Format</group>
      <groupName>格式问题</groupName>
      <ability>L2_HalfPunc</ability>
      <abilityName>全半角检查</abilityName>
      <candidateList>
        <item>(</item>
      </candidateList>
      <explain>文本全半角错误。</explain>
      <paraID>63F8CEE8</paraID>
      <start>5</start>
      <end>6</end>
      <status>modified</status>
      <modifiedWord>(</modifiedWord>
      <trackRevisions>false</trackRevisions>
    </reviewItem>
    <reviewItem>
      <errorID>eb0c1c3c-3a14-4a5e-83d4-105695856017</errorID>
      <errorWord>）</errorWord>
      <group>L1_Format</group>
      <groupName>格式问题</groupName>
      <ability>L2_HalfPunc</ability>
      <abilityName>全半角检查</abilityName>
      <candidateList>
        <item>)</item>
      </candidateList>
      <explain>文本全半角错误。</explain>
      <paraID>63F8CEE8</paraID>
      <start>9</start>
      <end>10</end>
      <status>modified</status>
      <modifiedWord>)</modifiedWord>
      <trackRevisions>false</trackRevisions>
    </reviewItem>
    <reviewItem>
      <errorID>e5f12de5-423b-4143-9962-f9a89ef09fb0</errorID>
      <errorWord>（</errorWord>
      <group>L1_Format</group>
      <groupName>格式问题</groupName>
      <ability>L2_HalfPunc</ability>
      <abilityName>全半角检查</abilityName>
      <candidateList>
        <item>(</item>
      </candidateList>
      <explain>文本全半角错误。</explain>
      <paraID>5A56BAB5</paraID>
      <start>3</start>
      <end>4</end>
      <status>modified</status>
      <modifiedWord>(</modifiedWord>
      <trackRevisions>false</trackRevisions>
    </reviewItem>
    <reviewItem>
      <errorID>0d39fc3d-3544-4aaa-8db5-ada07a9758e6</errorID>
      <errorWord>）</errorWord>
      <group>L1_Format</group>
      <groupName>格式问题</groupName>
      <ability>L2_HalfPunc</ability>
      <abilityName>全半角检查</abilityName>
      <candidateList>
        <item>)</item>
      </candidateList>
      <explain>文本全半角错误。</explain>
      <paraID>5A56BAB5</paraID>
      <start>7</start>
      <end>8</end>
      <status>modified</status>
      <modifiedWord>)</modifiedWord>
      <trackRevisions>false</trackRevisions>
    </reviewItem>
    <reviewItem>
      <errorID>613a9ca0-d142-41d4-a2a2-a150ad9e7cb5</errorID>
      <errorWord>（</errorWord>
      <group>L1_Format</group>
      <groupName>格式问题</groupName>
      <ability>L2_HalfPunc</ability>
      <abilityName>全半角检查</abilityName>
      <candidateList>
        <item>(</item>
      </candidateList>
      <explain>文本全半角错误。</explain>
      <paraID>73870B98</paraID>
      <start>5</start>
      <end>6</end>
      <status>modified</status>
      <modifiedWord>(</modifiedWord>
      <trackRevisions>false</trackRevisions>
    </reviewItem>
    <reviewItem>
      <errorID>09fee604-9953-43aa-9579-abb241087a0e</errorID>
      <errorWord>）</errorWord>
      <group>L1_Format</group>
      <groupName>格式问题</groupName>
      <ability>L2_HalfPunc</ability>
      <abilityName>全半角检查</abilityName>
      <candidateList>
        <item>)</item>
      </candidateList>
      <explain>文本全半角错误。</explain>
      <paraID>73870B98</paraID>
      <start>9</start>
      <end>10</end>
      <status>modified</status>
      <modifiedWord>)</modifiedWord>
      <trackRevisions>false</trackRevisions>
    </reviewItem>
    <reviewItem>
      <errorID>6c7c074d-5604-42db-93ac-6fb2f081e302</errorID>
      <errorWord>水污染排放</errorWord>
      <group>L1_Knowledge</group>
      <groupName>知识性问题</groupName>
      <ability>L2_Knowledge</ability>
      <abilityName>其他知识</abilityName>
      <candidateList>
        <item>水污染物排放</item>
      </candidateList>
      <explain/>
      <paraID>201DF031</paraID>
      <start>198</start>
      <end>204</end>
      <status>modified</status>
      <modifiedWord>水污染物排放</modifiedWord>
      <trackRevisions>false</trackRevisions>
    </reviewItem>
    <reviewItem>
      <errorID>14173019-40ea-41a8-b71d-8f910a42f971</errorID>
      <errorWord>效率也</errorWord>
      <group>L1_Word</group>
      <groupName>字词问题</groupName>
      <ability>L2_Typo</ability>
      <abilityName>字词错误</abilityName>
      <candidateList>
        <item>效率</item>
      </candidateList>
      <explain/>
      <paraID>201DF031</paraID>
      <start>293</start>
      <end>295</end>
      <status>modified</status>
      <modifiedWord>效率</modifiedWord>
      <trackRevisions>false</trackRevisions>
    </reviewItem>
    <reviewItem>
      <errorID>9cbd8748-706e-4007-8277-9c0b17fa7324</errorID>
      <errorWord>水污染排放</errorWord>
      <group>L1_Knowledge</group>
      <groupName>知识性问题</groupName>
      <ability>L2_Knowledge</ability>
      <abilityName>其他知识</abilityName>
      <candidateList>
        <item>水污染物排放</item>
      </candidateList>
      <explain/>
      <paraID>201DF031</paraID>
      <start>319</start>
      <end>325</end>
      <status>modified</status>
      <modifiedWord>水污染物排放</modifiedWord>
      <trackRevisions>false</trackRevisions>
    </reviewItem>
    <reviewItem>
      <errorID>e89a6430-929b-465a-b13d-923dd8591983</errorID>
      <errorWord>水污染排放</errorWord>
      <group>L1_Knowledge</group>
      <groupName>知识性问题</groupName>
      <ability>L2_Knowledge</ability>
      <abilityName>其他知识</abilityName>
      <candidateList>
        <item>水污染物排放</item>
      </candidateList>
      <explain/>
      <paraID>68C7226B</paraID>
      <start>280</start>
      <end>286</end>
      <status>modified</status>
      <modifiedWord>水污染物排放</modifiedWord>
      <trackRevisions>false</trackRevisions>
    </reviewItem>
    <reviewItem>
      <errorID>e76f8ed8-9570-45e0-add3-1c7e8102b050</errorID>
      <errorWord>《电子工业水污染防治可行技术（HJ1298-2023）》</errorWord>
      <group>L1_Knowledge</group>
      <groupName>知识性问题</groupName>
      <ability>L2_Knowledge</ability>
      <abilityName>其他知识</abilityName>
      <candidateList>
        <item>《电子工业水污染防治可行技术》（HJ1298-2023）</item>
      </candidateList>
      <explain>疑似政策文件、法律法规名称等书写不规范，请注意检查。</explain>
      <paraID>68C7226B</paraID>
      <start>318</start>
      <end>346</end>
      <status>modified</status>
      <modifiedWord>《电子工业水污染防治可行技术》（HJ1298-2023）</modifiedWord>
      <trackRevisions>false</trackRevisions>
    </reviewItem>
    <reviewItem>
      <errorID>36b3359d-53c7-49ad-a051-917aafc837f5</errorID>
      <errorWord>80-90%</errorWord>
      <group>L1_Knowledge</group>
      <groupName>知识性问题</groupName>
      <ability>L2_Knowledge</ability>
      <abilityName>其他知识</abilityName>
      <candidateList>
        <item>80%—90%</item>
      </candidateList>
      <explain>1. “80-90%”中的单位“%”仅出现在后一个数字上，容易引起歧义；根据《现代汉语标点符号数字用法规范手册》，数字表示范围两边需要使用统一的格式。2. 根据标点国标 4.13 中的规则，数字、时间或地域连接符应使用（视觉上更长的）“—”或“～”。</explain>
      <paraID>7805642E</paraID>
      <start>150</start>
      <end>157</end>
      <status>modified</status>
      <modifiedWord>80%—90%</modifiedWord>
      <trackRevisions>false</trackRevisions>
    </reviewItem>
    <reviewItem>
      <errorID>01da7769-52ad-4e48-a5ed-5feb41b5cb48</errorID>
      <errorWord>水污染排放</errorWord>
      <group>L1_Knowledge</group>
      <groupName>知识性问题</groupName>
      <ability>L2_Knowledge</ability>
      <abilityName>其他知识</abilityName>
      <candidateList>
        <item>水污染物排放</item>
      </candidateList>
      <explain/>
      <paraID>7805642E</paraID>
      <start>204</start>
      <end>210</end>
      <status>modified</status>
      <modifiedWord>水污染物排放</modifiedWord>
      <trackRevisions>false</trackRevisions>
    </reviewItem>
    <reviewItem>
      <errorID>ad41a766-8847-483d-8ab3-39994125e904</errorID>
      <errorWord>水污染排放</errorWord>
      <group>L1_Knowledge</group>
      <groupName>知识性问题</groupName>
      <ability>L2_Knowledge</ability>
      <abilityName>其他知识</abilityName>
      <candidateList>
        <item>水污染物排放</item>
      </candidateList>
      <explain/>
      <paraID>7805642E</paraID>
      <start>262</start>
      <end>268</end>
      <status>modified</status>
      <modifiedWord>水污染物排放</modifiedWord>
      <trackRevisions>false</trackRevisions>
    </reviewItem>
    <reviewItem>
      <errorID>5a32b11e-42ab-4f3a-b381-4d168a71689c</errorID>
      <errorWord>污水厂</errorWord>
      <group>L1_Word</group>
      <groupName>字词问题</groupName>
      <ability>L2_Typo</ability>
      <abilityName>字词错误</abilityName>
      <candidateList>
        <item>污水处理厂</item>
      </candidateList>
      <explain/>
      <paraID>1FA9B8D3</paraID>
      <start>111</start>
      <end>116</end>
      <status>modified</status>
      <modifiedWord>污水处理厂</modifiedWord>
      <trackRevisions>false</trackRevisions>
    </reviewItem>
    <reviewItem>
      <errorID>29dcf55f-ec0b-4f97-ac55-59a6ee1f68be</errorID>
      <errorWord>水污染排放</errorWord>
      <group>L1_Knowledge</group>
      <groupName>知识性问题</groupName>
      <ability>L2_Knowledge</ability>
      <abilityName>其他知识</abilityName>
      <candidateList>
        <item>水污染物排放</item>
      </candidateList>
      <explain/>
      <paraID>1FA9B8D3</paraID>
      <start>308</start>
      <end>314</end>
      <status>modified</status>
      <modifiedWord>水污染物排放</modifiedWord>
      <trackRevisions>false</trackRevisions>
    </reviewItem>
    <reviewItem>
      <errorID>c1563710-9396-4aee-8a92-e3461249486f</errorID>
      <errorWord>水污染排放</errorWord>
      <group>L1_Knowledge</group>
      <groupName>知识性问题</groupName>
      <ability>L2_Knowledge</ability>
      <abilityName>其他知识</abilityName>
      <candidateList>
        <item>水污染物排放</item>
      </candidateList>
      <explain/>
      <paraID>632B27E4</paraID>
      <start>5</start>
      <end>11</end>
      <status>modified</status>
      <modifiedWord>水污染物排放</modifiedWord>
      <trackRevisions>false</trackRevisions>
    </reviewItem>
    <reviewItem>
      <errorID>043c288b-9158-4eaa-8061-1145ac35f0c4</errorID>
      <errorWord>水污染排放</errorWord>
      <group>L1_Knowledge</group>
      <groupName>知识性问题</groupName>
      <ability>L2_Knowledge</ability>
      <abilityName>其他知识</abilityName>
      <candidateList>
        <item>水污染物排放</item>
      </candidateList>
      <explain/>
      <paraID>1E5CBDCC</paraID>
      <start>5</start>
      <end>11</end>
      <status>modified</status>
      <modifiedWord>水污染物排放</modifiedWord>
      <trackRevisions>false</trackRevisions>
    </reviewItem>
    <reviewItem>
      <errorID>2882a2db-bbfe-4a65-93a4-b5acf0f938f9</errorID>
      <errorWord>基本都</errorWord>
      <group>L1_Word</group>
      <groupName>字词问题</groupName>
      <ability>L2_Typo</ability>
      <abilityName>字词错误</abilityName>
      <candidateList>
        <item>基本</item>
      </candidateList>
      <explain>❶〈名〉根本：人民是国家的～。❷〈形〉属性词。根本的：～矛盾｜～原理。❸〈形〉属性词。主要的：～条件｜～群众。❹〈副〉大体上：质量～合格｜大坝工程已经～完成。</explain>
      <paraID>3AA7A2FB</paraID>
      <start>26</start>
      <end>28</end>
      <status>modified</status>
      <modifiedWord>基本</modifiedWord>
      <trackRevisions>false</trackRevisions>
    </reviewItem>
    <reviewItem>
      <errorID>02285a5e-f4d6-4a0b-a878-35696a888511</errorID>
      <errorWord>程</errorWord>
      <group>L1_Word</group>
      <groupName>字词问题</groupName>
      <ability>L2_Typo</ability>
      <abilityName>字词错误</abilityName>
      <candidateList>
        <item>程中</item>
      </candidateList>
      <explain/>
      <paraID>2C3D3FA0</paraID>
      <start>51</start>
      <end>52</end>
      <status>ignored</status>
      <modifiedWord/>
      <trackRevisions>false</trackRevisions>
    </reviewItem>
    <reviewItem>
      <errorID>9de5a0c5-2923-4dbd-b01e-da98a598d717</errorID>
      <errorWord>喷砂</errorWord>
      <group>L1_Word</group>
      <groupName>字词问题</groupName>
      <ability>L2_Typo</ability>
      <abilityName>字词错误</abilityName>
      <candidateList>
        <item>喷洒</item>
      </candidateList>
      <explain>〈动〉喷射散落（多用于液体）：～农药。</explain>
      <paraID>61B1F128</paraID>
      <start>1</start>
      <end>3</end>
      <status>ignored</status>
      <modifiedWord/>
      <trackRevisions>false</trackRevisions>
    </reviewItem>
    <reviewItem>
      <errorID>b0c05c35-c8bf-414a-b0c1-1fd9a96b6744</errorID>
      <errorWord>程</errorWord>
      <group>L1_Word</group>
      <groupName>字词问题</groupName>
      <ability>L2_Typo</ability>
      <abilityName>字词错误</abilityName>
      <candidateList>
        <item>程中</item>
      </candidateList>
      <explain/>
      <paraID> AC0E528</paraID>
      <start>171</start>
      <end>172</end>
      <status>ignored</status>
      <modifiedWord/>
      <trackRevisions>false</trackRevisions>
    </reviewItem>
    <reviewItem>
      <errorID>750b6a4f-9968-48aa-b366-c86283b18d76</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AC0E528</paraID>
      <start>241</start>
      <end>242</end>
      <status>modified</status>
      <modifiedWord>或</modifiedWord>
      <trackRevisions>false</trackRevisions>
    </reviewItem>
    <reviewItem>
      <errorID>d91c8b5e-7c84-4532-b786-1fb8057eae6c</errorID>
      <errorWord>、</errorWord>
      <group>L1_Punc</group>
      <groupName>标点问题</groupName>
      <ability>L2_Punc</ability>
      <abilityName>标点符号检查</abilityName>
      <candidateList>
        <item>.</item>
      </candidateList>
      <explain/>
      <paraID>715714B6</paraID>
      <start>1</start>
      <end>2</end>
      <status>modified</status>
      <modifiedWord>.</modifiedWord>
      <trackRevisions>false</trackRevisions>
    </reviewItem>
    <reviewItem>
      <errorID>5eec18e0-adb1-4afb-859f-7d6bc702d1d3</errorID>
      <errorWord>即颗粒物</errorWord>
      <group>L1_Knowledge</group>
      <groupName>知识性问题</groupName>
      <ability>L2_Term</ability>
      <abilityName>专业术语</abilityName>
      <candidateList>
        <item>细颗粒物</item>
      </candidateList>
      <explain/>
      <paraID>2A58CC5E</paraID>
      <start>145</start>
      <end>149</end>
      <status>ignored</status>
      <modifiedWord/>
      <trackRevisions>false</trackRevisions>
    </reviewItem>
    <reviewItem>
      <errorID>46892734-2218-42e0-83ae-f9c3609d18af</errorID>
      <errorWord>、</errorWord>
      <group>L1_Punc</group>
      <groupName>标点问题</groupName>
      <ability>L2_Punc</ability>
      <abilityName>标点符号检查</abilityName>
      <candidateList>
        <item>.</item>
      </candidateList>
      <explain/>
      <paraID> 55C0188</paraID>
      <start>1</start>
      <end>2</end>
      <status>modified</status>
      <modifiedWord>.</modifiedWord>
      <trackRevisions>false</trackRevisions>
    </reviewItem>
    <reviewItem>
      <errorID>8ff74ea1-b9b5-4e11-bb28-be13123fd4ca</errorID>
      <errorWord>酒清</errorWord>
      <group>L1_Word</group>
      <groupName>字词问题</groupName>
      <ability>L2_Typo</ability>
      <abilityName>字词错误</abilityName>
      <candidateList>
        <item>酒精</item>
      </candidateList>
      <explain/>
      <paraID>646F0390</paraID>
      <start>162</start>
      <end>164</end>
      <status>modified</status>
      <modifiedWord>酒精</modifiedWord>
      <trackRevisions>false</trackRevisions>
    </reviewItem>
    <reviewItem>
      <errorID>96067b0b-10ac-484d-ae1d-22510626e4ed</errorID>
      <errorWord>(</errorWord>
      <group>L1_Format</group>
      <groupName>格式问题</groupName>
      <ability>L2_HalfPunc</ability>
      <abilityName>全半角检查</abilityName>
      <candidateList>
        <item>（</item>
      </candidateList>
      <explain>文本全半角错误。</explain>
      <paraID> 5A8D161</paraID>
      <start>3</start>
      <end>4</end>
      <status>modified</status>
      <modifiedWord>（</modifiedWord>
      <trackRevisions>false</trackRevisions>
    </reviewItem>
    <reviewItem>
      <errorID>0db815b9-8efb-4638-b2b1-4b37d5378f1c</errorID>
      <errorWord>)</errorWord>
      <group>L1_Format</group>
      <groupName>格式问题</groupName>
      <ability>L2_HalfPunc</ability>
      <abilityName>全半角检查</abilityName>
      <candidateList>
        <item>）</item>
      </candidateList>
      <explain>文本全半角错误。</explain>
      <paraID> 5A8D161</paraID>
      <start>7</start>
      <end>8</end>
      <status>modified</status>
      <modifiedWord>）</modifiedWord>
      <trackRevisions>false</trackRevisions>
    </reviewItem>
    <reviewItem>
      <errorID>c02ff36f-feaa-4731-beed-c11c2ed0b6b3</errorID>
      <errorWord>(</errorWord>
      <group>L1_Format</group>
      <groupName>格式问题</groupName>
      <ability>L2_HalfPunc</ability>
      <abilityName>全半角检查</abilityName>
      <candidateList>
        <item>（</item>
      </candidateList>
      <explain>文本全半角错误。</explain>
      <paraID>6C916393</paraID>
      <start>3</start>
      <end>4</end>
      <status>modified</status>
      <modifiedWord>（</modifiedWord>
      <trackRevisions>false</trackRevisions>
    </reviewItem>
    <reviewItem>
      <errorID>cb2d9098-d74c-4d55-9a2a-670bd83ab8ff</errorID>
      <errorWord>)</errorWord>
      <group>L1_Format</group>
      <groupName>格式问题</groupName>
      <ability>L2_HalfPunc</ability>
      <abilityName>全半角检查</abilityName>
      <candidateList>
        <item>）</item>
      </candidateList>
      <explain>文本全半角错误。</explain>
      <paraID>6C916393</paraID>
      <start>5</start>
      <end>6</end>
      <status>modified</status>
      <modifiedWord>）</modifiedWord>
      <trackRevisions>false</trackRevisions>
    </reviewItem>
    <reviewItem>
      <errorID>74d93e72-355b-4af5-9ad7-4b944068d868</errorID>
      <errorWord>(</errorWord>
      <group>L1_Format</group>
      <groupName>格式问题</groupName>
      <ability>L2_HalfPunc</ability>
      <abilityName>全半角检查</abilityName>
      <candidateList>
        <item>（</item>
      </candidateList>
      <explain>文本全半角错误。</explain>
      <paraID>49E3ED86</paraID>
      <start>3</start>
      <end>4</end>
      <status>modified</status>
      <modifiedWord>（</modifiedWord>
      <trackRevisions>false</trackRevisions>
    </reviewItem>
    <reviewItem>
      <errorID>1da15698-0ca2-43d8-83bd-a92cb4e38ef0</errorID>
      <errorWord>)</errorWord>
      <group>L1_Format</group>
      <groupName>格式问题</groupName>
      <ability>L2_HalfPunc</ability>
      <abilityName>全半角检查</abilityName>
      <candidateList>
        <item>）</item>
      </candidateList>
      <explain>文本全半角错误。</explain>
      <paraID>49E3ED86</paraID>
      <start>7</start>
      <end>8</end>
      <status>modified</status>
      <modifiedWord>）</modifiedWord>
      <trackRevisions>false</trackRevisions>
    </reviewItem>
    <reviewItem>
      <errorID>89e62249-166b-44ae-bcc2-97ff504b1f44</errorID>
      <errorWord>(</errorWord>
      <group>L1_Format</group>
      <groupName>格式问题</groupName>
      <ability>L2_HalfPunc</ability>
      <abilityName>全半角检查</abilityName>
      <candidateList>
        <item>（</item>
      </candidateList>
      <explain>文本全半角错误。</explain>
      <paraID>6245C736</paraID>
      <start>4</start>
      <end>5</end>
      <status>modified</status>
      <modifiedWord>（</modifiedWord>
      <trackRevisions>false</trackRevisions>
    </reviewItem>
    <reviewItem>
      <errorID>a4ecaa16-7cbb-487f-8858-59df948fc83e</errorID>
      <errorWord>)</errorWord>
      <group>L1_Format</group>
      <groupName>格式问题</groupName>
      <ability>L2_HalfPunc</ability>
      <abilityName>全半角检查</abilityName>
      <candidateList>
        <item>）</item>
      </candidateList>
      <explain>文本全半角错误。</explain>
      <paraID>6245C736</paraID>
      <start>9</start>
      <end>10</end>
      <status>modified</status>
      <modifiedWord>）</modifiedWord>
      <trackRevisions>false</trackRevisions>
    </reviewItem>
    <reviewItem>
      <errorID>f55a3df8-4c34-4852-92cd-f7f15e980e93</errorID>
      <errorWord>(</errorWord>
      <group>L1_Format</group>
      <groupName>格式问题</groupName>
      <ability>L2_HalfPunc</ability>
      <abilityName>全半角检查</abilityName>
      <candidateList>
        <item>（</item>
      </candidateList>
      <explain>文本全半角错误。</explain>
      <paraID>1A7FF89B</paraID>
      <start>4</start>
      <end>5</end>
      <status>modified</status>
      <modifiedWord>（</modifiedWord>
      <trackRevisions>false</trackRevisions>
    </reviewItem>
    <reviewItem>
      <errorID>b78ca234-a22d-4d94-b582-804d56315fae</errorID>
      <errorWord>)</errorWord>
      <group>L1_Format</group>
      <groupName>格式问题</groupName>
      <ability>L2_HalfPunc</ability>
      <abilityName>全半角检查</abilityName>
      <candidateList>
        <item>）</item>
      </candidateList>
      <explain>文本全半角错误。</explain>
      <paraID>1A7FF89B</paraID>
      <start>8</start>
      <end>9</end>
      <status>modified</status>
      <modifiedWord>）</modifiedWord>
      <trackRevisions>false</trackRevisions>
    </reviewItem>
    <reviewItem>
      <errorID>0810df17-b9dc-4864-a163-8b10ed2edd41</errorID>
      <errorWord>(</errorWord>
      <group>L1_Format</group>
      <groupName>格式问题</groupName>
      <ability>L2_HalfPunc</ability>
      <abilityName>全半角检查</abilityName>
      <candidateList>
        <item>（</item>
      </candidateList>
      <explain>文本全半角错误。</explain>
      <paraID>54C7C602</paraID>
      <start>4</start>
      <end>5</end>
      <status>modified</status>
      <modifiedWord>（</modifiedWord>
      <trackRevisions>false</trackRevisions>
    </reviewItem>
    <reviewItem>
      <errorID>315843c5-172a-489a-bdba-fde7fd335c46</errorID>
      <errorWord>)</errorWord>
      <group>L1_Format</group>
      <groupName>格式问题</groupName>
      <ability>L2_HalfPunc</ability>
      <abilityName>全半角检查</abilityName>
      <candidateList>
        <item>）</item>
      </candidateList>
      <explain>文本全半角错误。</explain>
      <paraID>54C7C602</paraID>
      <start>10</start>
      <end>11</end>
      <status>modified</status>
      <modifiedWord>）</modifiedWord>
      <trackRevisions>false</trackRevisions>
    </reviewItem>
    <reviewItem>
      <errorID>bce1b3ec-5277-47b3-9600-1f37abe02227</errorID>
      <errorWord>(</errorWord>
      <group>L1_Format</group>
      <groupName>格式问题</groupName>
      <ability>L2_HalfPunc</ability>
      <abilityName>全半角检查</abilityName>
      <candidateList>
        <item>（</item>
      </candidateList>
      <explain>文本全半角错误。</explain>
      <paraID>5B8D72E6</paraID>
      <start>4</start>
      <end>5</end>
      <status>modified</status>
      <modifiedWord>（</modifiedWord>
      <trackRevisions>false</trackRevisions>
    </reviewItem>
    <reviewItem>
      <errorID>7937205b-c6ba-4853-85d2-b879275e6e91</errorID>
      <errorWord>)</errorWord>
      <group>L1_Format</group>
      <groupName>格式问题</groupName>
      <ability>L2_HalfPunc</ability>
      <abilityName>全半角检查</abilityName>
      <candidateList>
        <item>）</item>
      </candidateList>
      <explain>文本全半角错误。</explain>
      <paraID>5B8D72E6</paraID>
      <start>9</start>
      <end>10</end>
      <status>modified</status>
      <modifiedWord>）</modifiedWord>
      <trackRevisions>false</trackRevisions>
    </reviewItem>
    <reviewItem>
      <errorID>c8eb8cd5-582f-4d3e-a597-41aa3a398c40</errorID>
      <errorWord>(</errorWord>
      <group>L1_Format</group>
      <groupName>格式问题</groupName>
      <ability>L2_HalfPunc</ability>
      <abilityName>全半角检查</abilityName>
      <candidateList>
        <item>（</item>
      </candidateList>
      <explain>文本全半角错误。</explain>
      <paraID> 315A04F</paraID>
      <start>2</start>
      <end>3</end>
      <status>modified</status>
      <modifiedWord>（</modifiedWord>
      <trackRevisions>false</trackRevisions>
    </reviewItem>
    <reviewItem>
      <errorID>0b7621aa-08dc-47bd-8cda-4f0a4beb1766</errorID>
      <errorWord>)</errorWord>
      <group>L1_Format</group>
      <groupName>格式问题</groupName>
      <ability>L2_HalfPunc</ability>
      <abilityName>全半角检查</abilityName>
      <candidateList>
        <item>）</item>
      </candidateList>
      <explain>文本全半角错误。</explain>
      <paraID> 315A04F</paraID>
      <start>4</start>
      <end>5</end>
      <status>modified</status>
      <modifiedWord>）</modifiedWord>
      <trackRevisions>false</trackRevisions>
    </reviewItem>
    <reviewItem>
      <errorID>4f11ad67-4a3e-4126-b42e-c1add171cc0f</errorID>
      <errorWord>(</errorWord>
      <group>L1_Format</group>
      <groupName>格式问题</groupName>
      <ability>L2_HalfPunc</ability>
      <abilityName>全半角检查</abilityName>
      <candidateList>
        <item>（</item>
      </candidateList>
      <explain>文本全半角错误。</explain>
      <paraID>2C10440D</paraID>
      <start>4</start>
      <end>5</end>
      <status>modified</status>
      <modifiedWord>（</modifiedWord>
      <trackRevisions>false</trackRevisions>
    </reviewItem>
    <reviewItem>
      <errorID>8ff325cc-4fba-4dd9-9233-9d77274c3a84</errorID>
      <errorWord>)</errorWord>
      <group>L1_Format</group>
      <groupName>格式问题</groupName>
      <ability>L2_HalfPunc</ability>
      <abilityName>全半角检查</abilityName>
      <candidateList>
        <item>）</item>
      </candidateList>
      <explain>文本全半角错误。</explain>
      <paraID>2C10440D</paraID>
      <start>10</start>
      <end>11</end>
      <status>modified</status>
      <modifiedWord>）</modifiedWord>
      <trackRevisions>false</trackRevisions>
    </reviewItem>
    <reviewItem>
      <errorID>80da3f8e-401f-4ad0-a11b-bc91459472bb</errorID>
      <errorWord>点源</errorWord>
      <group>L1_Word</group>
      <groupName>字词问题</groupName>
      <ability>L2_Typo</ability>
      <abilityName>字词错误</abilityName>
      <candidateList>
        <item>电源</item>
      </candidateList>
      <explain/>
      <paraID>363B7B7C</paraID>
      <start>0</start>
      <end>2</end>
      <status>modified</status>
      <modifiedWord>电源</modifiedWord>
      <trackRevisions>false</trackRevisions>
    </reviewItem>
    <reviewItem>
      <errorID>b37f43c7-7310-49f3-b792-af86e6963bff</errorID>
      <errorWord>~</errorWord>
      <group>L1_Format</group>
      <groupName>格式问题</groupName>
      <ability>L2_HalfPunc</ability>
      <abilityName>全半角检查</abilityName>
      <candidateList>
        <item>～</item>
      </candidateList>
      <explain>文本全半角错误。</explain>
      <paraID>15C56B2E</paraID>
      <start>61</start>
      <end>62</end>
      <status>modified</status>
      <modifiedWord>～</modifiedWord>
      <trackRevisions>false</trackRevisions>
    </reviewItem>
    <reviewItem>
      <errorID>eae47256-f7d4-40c5-85f8-4b65b0362715</errorID>
      <errorWord>不利象条件</errorWord>
      <group>L1_Word</group>
      <groupName>字词问题</groupName>
      <ability>L2_Typo</ability>
      <abilityName>字词错误</abilityName>
      <candidateList>
        <item>不利气象条件</item>
      </candidateList>
      <explain/>
      <paraID>15C56B2E</paraID>
      <start>67</start>
      <end>73</end>
      <status>modified</status>
      <modifiedWord>不利气象条件</modifiedWord>
      <trackRevisions>false</trackRevisions>
    </reviewItem>
    <reviewItem>
      <errorID>98a1e15a-942d-4088-9f8d-8c8fdd39de5f</errorID>
      <errorWord>4.25~6.18%</errorWord>
      <group>L1_Knowledge</group>
      <groupName>知识性问题</groupName>
      <ability>L2_Knowledge</ability>
      <abilityName>其他知识</abilityName>
      <candidateList>
        <item>4.25%～6.18%</item>
      </candidateList>
      <explain>1. “4.25~6.18%”中的单位“%”仅出现在后一个数字上，容易引起歧义；根据《现代汉语标点符号数字用法规范手册》，数字表示范围两边需要使用统一的格式。2. 根据标点国标 4.13 中的规则，数字、时间或地域连接符应使用（视觉上更长的）“—”或“～”。</explain>
      <paraID>15C56B2E</paraID>
      <start>78</start>
      <end>89</end>
      <status>modified</status>
      <modifiedWord>4.25%～6.18%</modifiedWord>
      <trackRevisions>false</trackRevisions>
    </reviewItem>
    <reviewItem>
      <errorID>4ceaa6e0-1099-4c08-be42-76c67094408d</errorID>
      <errorWord>~</errorWord>
      <group>L1_Format</group>
      <groupName>格式问题</groupName>
      <ability>L2_HalfPunc</ability>
      <abilityName>全半角检查</abilityName>
      <candidateList>
        <item>～</item>
      </candidateList>
      <explain>文本全半角错误。</explain>
      <paraID>15C56B2E</paraID>
      <start>141</start>
      <end>142</end>
      <status>modified</status>
      <modifiedWord>～</modifiedWord>
      <trackRevisions>false</trackRevisions>
    </reviewItem>
    <reviewItem>
      <errorID>b6aa620c-bd2e-4ef8-9714-43d1f4bcd2c7</errorID>
      <errorWord>[2024]17号</errorWord>
      <group>L1_Knowledge</group>
      <groupName>知识性问题</groupName>
      <ability>L2_Knowledge</ability>
      <abilityName>其他知识</abilityName>
      <candidateList>
        <item>〔2024〕17号</item>
      </candidateList>
      <explain>发文字号格式错误。</explain>
      <paraID>75C44D2C</paraID>
      <start>94</start>
      <end>103</end>
      <status>modified</status>
      <modifiedWord>〔2024〕17号</modifiedWord>
      <trackRevisions>false</trackRevisions>
    </reviewItem>
    <reviewItem>
      <errorID>b28dce85-9ede-46a6-86f3-1bfa6eb9be87</errorID>
      <errorWord>(</errorWord>
      <group>L1_Format</group>
      <groupName>格式问题</groupName>
      <ability>L2_HalfPunc</ability>
      <abilityName>全半角检查</abilityName>
      <candidateList>
        <item>（</item>
      </candidateList>
      <explain>文本全半角错误。</explain>
      <paraID>49A27630</paraID>
      <start>4</start>
      <end>5</end>
      <status>unmodified</status>
      <modifiedWord/>
      <trackRevisions>false</trackRevisions>
    </reviewItem>
    <reviewItem>
      <errorID>67e42889-da73-467d-ae7a-e380889b232d</errorID>
      <errorWord>)</errorWord>
      <group>L1_Format</group>
      <groupName>格式问题</groupName>
      <ability>L2_HalfPunc</ability>
      <abilityName>全半角检查</abilityName>
      <candidateList>
        <item>）</item>
      </candidateList>
      <explain>文本全半角错误。</explain>
      <paraID>49A27630</paraID>
      <start>10</start>
      <end>11</end>
      <status>unmodified</status>
      <modifiedWord/>
      <trackRevisions>false</trackRevisions>
    </reviewItem>
    <reviewItem>
      <errorID>bcc70018-8ca9-4b06-9333-9960aef72ab7</errorID>
      <errorWord>（</errorWord>
      <group>L1_Format</group>
      <groupName>格式问题</groupName>
      <ability>L2_HalfPunc</ability>
      <abilityName>全半角检查</abilityName>
      <candidateList>
        <item>(</item>
      </candidateList>
      <explain>文本全半角错误。</explain>
      <paraID>174408F5</paraID>
      <start>0</start>
      <end>1</end>
      <status>unmodified</status>
      <modifiedWord/>
      <trackRevisions>false</trackRevisions>
    </reviewItem>
    <reviewItem>
      <errorID>cabc00fd-466f-4378-a77a-bacea6cd1db0</errorID>
      <errorWord>）</errorWord>
      <group>L1_Format</group>
      <groupName>格式问题</groupName>
      <ability>L2_HalfPunc</ability>
      <abilityName>全半角检查</abilityName>
      <candidateList>
        <item>)</item>
      </candidateList>
      <explain>文本全半角错误。</explain>
      <paraID>174408F5</paraID>
      <start>2</start>
      <end>3</end>
      <status>unmodified</status>
      <modifiedWord/>
      <trackRevisions>false</trackRevisions>
    </reviewItem>
    <reviewItem>
      <errorID>93928d9b-3a3c-47ab-a2a7-2bdbb73ac79a</errorID>
      <errorWord>点源</errorWord>
      <group>L1_Word</group>
      <groupName>字词问题</groupName>
      <ability>L2_Typo</ability>
      <abilityName>字词错误</abilityName>
      <candidateList>
        <item>电源</item>
      </candidateList>
      <explain/>
      <paraID>17052921</paraID>
      <start>0</start>
      <end>2</end>
      <status>unmodified</status>
      <modifiedWord/>
      <trackRevisions>false</trackRevisions>
    </reviewItem>
    <reviewItem>
      <errorID>3de6383c-8823-4a69-b026-9d74c08d695c</errorID>
      <errorWord>酒精擦试</errorWord>
      <group>L1_Knowledge</group>
      <groupName>知识性问题</groupName>
      <ability>L2_Term</ability>
      <abilityName>专业术语</abilityName>
      <candidateList>
        <item>酒精擦浴</item>
      </candidateList>
      <explain/>
      <paraID>23926742</paraID>
      <start>14</start>
      <end>18</end>
      <status>unmodified</status>
      <modifiedWord/>
      <trackRevisions>false</trackRevisions>
    </reviewItem>
    <reviewItem>
      <errorID>29e5a2d4-e471-4e40-a1ba-fd4fdb468099</errorID>
      <errorWord>擦试</errorWord>
      <group>L1_Word</group>
      <groupName>字词问题</groupName>
      <ability>L2_Typo</ability>
      <abilityName>字词错误</abilityName>
      <candidateList>
        <item>擦拭</item>
      </candidateList>
      <explain>〈动〉擦▲：～武器。</explain>
      <paraID>23926742</paraID>
      <start>20</start>
      <end>22</end>
      <status>unmodified</status>
      <modifiedWord/>
      <trackRevisions>false</trackRevisions>
    </reviewItem>
    <reviewItem>
      <errorID>9fbdbfb5-d335-4e90-aff4-1f6dbdaba0b8</errorID>
      <errorWord>主要以机械噪声为主</errorWord>
      <group>L1_Grammar</group>
      <groupName>语法问题</groupName>
      <ability>L2_Grammar</ability>
      <abilityName>语法错误</abilityName>
      <candidateList>
        <item>以机械噪声为主</item>
      </candidateList>
      <explain/>
      <paraID>209AD46D</paraID>
      <start>9</start>
      <end>16</end>
      <status>modified</status>
      <modifiedWord>以机械噪声为主</modifiedWord>
      <trackRevisions>false</trackRevisions>
    </reviewItem>
    <reviewItem>
      <errorID>50c5ae87-75c7-4b0f-8faf-f8794329e16a</errorID>
      <errorWord>，</errorWord>
      <group>L1_Word</group>
      <groupName>字词问题</groupName>
      <ability>L2_Typo</ability>
      <abilityName>字词错误</abilityName>
      <candidateList>
        <item>，在</item>
      </candidateList>
      <explain/>
      <paraID>4F97004B</paraID>
      <start>39</start>
      <end>40</end>
      <status>unmodified</status>
      <modifiedWord/>
      <trackRevisions>false</trackRevisions>
    </reviewItem>
    <reviewItem>
      <errorID>7e5aa46b-9e66-455a-a179-05079b6834cb</errorID>
      <errorWord>（</errorWord>
      <group>L1_Punc</group>
      <groupName>标点问题</groupName>
      <ability>L2_Punc</ability>
      <abilityName>标点符号检查</abilityName>
      <candidateList>
        <item/>
      </candidateList>
      <explain>同一形式括号套用。</explain>
      <paraID>54DBD4F7</paraID>
      <start>39</start>
      <end>40</end>
      <status>unmodified</status>
      <modifiedWord/>
      <trackRevisions>false</trackRevisions>
    </reviewItem>
    <reviewItem>
      <errorID>fe51823e-4756-43f8-86eb-2a079beac27b</errorID>
      <errorWord>(</errorWord>
      <group>L1_Punc</group>
      <groupName>标点问题</groupName>
      <ability>L2_Punc</ability>
      <abilityName>标点符号检查</abilityName>
      <candidateList/>
      <explain>同一形式括号套用。</explain>
      <paraID>54DBD4F7</paraID>
      <start>42</start>
      <end>43</end>
      <status>unmodified</status>
      <modifiedWord/>
      <trackRevisions>false</trackRevisions>
    </reviewItem>
    <reviewItem>
      <errorID>fdec54cd-ea29-40cf-8b0c-6b36297de1b5</errorID>
      <errorWord>)</errorWord>
      <group>L1_Punc</group>
      <groupName>标点问题</groupName>
      <ability>L2_Punc</ability>
      <abilityName>标点符号检查</abilityName>
      <candidateList/>
      <explain>同一形式括号套用。</explain>
      <paraID>54DBD4F7</paraID>
      <start>44</start>
      <end>45</end>
      <status>unmodified</status>
      <modifiedWord/>
      <trackRevisions>false</trackRevisions>
    </reviewItem>
    <reviewItem>
      <errorID>7754b11a-059e-4140-91a1-6f2a776fd015</errorID>
      <errorWord>）</errorWord>
      <group>L1_Punc</group>
      <groupName>标点问题</groupName>
      <ability>L2_Punc</ability>
      <abilityName>标点符号检查</abilityName>
      <candidateList/>
      <explain>同一形式括号套用。</explain>
      <paraID>54DBD4F7</paraID>
      <start>45</start>
      <end>46</end>
      <status>unmodified</status>
      <modifiedWord/>
      <trackRevisions>false</trackRevisions>
    </reviewItem>
    <reviewItem>
      <errorID>e2a13c12-4fb2-4f20-8e92-0ec39d9877d3</errorID>
      <errorWord>)</errorWord>
      <group>L1_Format</group>
      <groupName>格式问题</groupName>
      <ability>L2_HalfPunc</ability>
      <abilityName>全半角检查</abilityName>
      <candidateList>
        <item>）</item>
      </candidateList>
      <explain>文本全半角错误。</explain>
      <paraID>2B0DFA0A</paraID>
      <start>20</start>
      <end>21</end>
      <status>unmodified</status>
      <modifiedWord/>
      <trackRevisions>false</trackRevisions>
    </reviewItem>
    <reviewItem>
      <errorID>cbf3ca73-04a1-468d-9972-aff78166a80f</errorID>
      <errorWord>&gt;&gt;</errorWord>
      <group>L1_Punc</group>
      <groupName>标点问题</groupName>
      <ability>L2_Punc</ability>
      <abilityName>标点符号检查</abilityName>
      <candidateList>
        <item>&gt;</item>
      </candidateList>
      <explain/>
      <paraID>2BD60515</paraID>
      <start>5</start>
      <end>7</end>
      <status>unmodified</status>
      <modifiedWord/>
      <trackRevisions>false</trackRevisions>
    </reviewItem>
    <reviewItem>
      <errorID>70173895-54eb-49c0-bce6-6625c91f7b85</errorID>
      <errorWord>需要</errorWord>
      <group>L1_Word</group>
      <groupName>字词问题</groupName>
      <ability>L2_Typo</ability>
      <abilityName>字词错误</abilityName>
      <candidateList>
        <item>要</item>
      </candidateList>
      <explain>〈连〉❶如果：明天～下雨，我就不去了。❷要么：～就去打球，～就去溜冰，别再犹豫了。</explain>
      <paraID>22DD49B7</paraID>
      <start>20</start>
      <end>21</end>
      <status>modified</status>
      <modifiedWord>要</modifiedWord>
      <trackRevisions>false</trackRevisions>
    </reviewItem>
    <reviewItem>
      <errorID>513ebcaf-1293-46e7-9e01-a98a05d04d13</errorID>
      <errorWord>作</errorWord>
      <group>L1_Word</group>
      <groupName>字词问题</groupName>
      <ability>L2_Typo</ability>
      <abilityName>字词错误</abilityName>
      <candidateList>
        <item>做</item>
      </candidateList>
      <explain>存在发音相同字词的误用。</explain>
      <paraID>22DD49B7</paraID>
      <start>27</start>
      <end>28</end>
      <status>modified</status>
      <modifiedWord>做</modifiedWord>
      <trackRevisions>false</trackRevisions>
    </reviewItem>
    <reviewItem>
      <errorID>f035ae2b-eca0-4212-8547-c4ba27f05c32</errorID>
      <errorWord>防振</errorWord>
      <group>L1_Word</group>
      <groupName>字词问题</groupName>
      <ability>L2_Typo</ability>
      <abilityName>字词错误</abilityName>
      <candidateList>
        <item>防震</item>
      </candidateList>
      <explain>〈动〉❶采取一定的措施或安装某种装置，使建筑物、机器、仪表等减少震动或免受震动：～手表。❷防备地震：～棚。</explain>
      <paraID>42C5C7E9</paraID>
      <start>41</start>
      <end>43</end>
      <status>unmodified</status>
      <modifiedWord/>
      <trackRevisions>false</trackRevisions>
    </reviewItem>
    <reviewItem>
      <errorID>748ff116-fa75-456b-9e29-3110bcf1ef73</errorID>
      <errorWord>喷砂工序喷砂工序</errorWord>
      <group>L1_Word</group>
      <groupName>字词问题</groupName>
      <ability>L2_Typo</ability>
      <abilityName>字词错误</abilityName>
      <candidateList>
        <item>喷砂工序</item>
      </candidateList>
      <explain/>
      <paraID>1F416C8F</paraID>
      <start>25</start>
      <end>29</end>
      <status>modified</status>
      <modifiedWord>喷砂工序</modifiedWord>
      <trackRevisions>false</trackRevisions>
    </reviewItem>
    <reviewItem>
      <errorID>26b6ab22-f80d-4d36-a870-bb90b7e40150</errorID>
      <errorWord>,</errorWord>
      <group>L1_Format</group>
      <groupName>格式问题</groupName>
      <ability>L2_HalfPunc</ability>
      <abilityName>全半角检查</abilityName>
      <candidateList>
        <item>，</item>
      </candidateList>
      <explain>文本全半角错误。</explain>
      <paraID>1F416C8F</paraID>
      <start>42</start>
      <end>43</end>
      <status>unmodified</status>
      <modifiedWord/>
      <trackRevisions>false</trackRevisions>
    </reviewItem>
    <reviewItem>
      <errorID>52a20fc3-0a2b-412c-ac90-d3836ca3ad09</errorID>
      <errorWord>,</errorWord>
      <group>L1_Format</group>
      <groupName>格式问题</groupName>
      <ability>L2_HalfPunc</ability>
      <abilityName>全半角检查</abilityName>
      <candidateList>
        <item>，</item>
      </candidateList>
      <explain>文本全半角错误。</explain>
      <paraID>24DB82EA</paraID>
      <start>37</start>
      <end>38</end>
      <status>unmodified</status>
      <modifiedWord/>
      <trackRevisions>false</trackRevisions>
    </reviewItem>
    <reviewItem>
      <errorID>8f5ea7c0-bc48-4b81-a17a-fb99027fe8fa</errorID>
      <errorWord>程</errorWord>
      <group>L1_Word</group>
      <groupName>字词问题</groupName>
      <ability>L2_Typo</ability>
      <abilityName>字词错误</abilityName>
      <candidateList>
        <item>程中</item>
      </candidateList>
      <explain/>
      <paraID>703F8466</paraID>
      <start>12</start>
      <end>13</end>
      <status>unmodified</status>
      <modifiedWord/>
      <trackRevisions>false</trackRevisions>
    </reviewItem>
    <reviewItem>
      <errorID>12598194-40cb-4302-ba0f-ff28d313b57f</errorID>
      <errorWord>(</errorWord>
      <group>L1_Format</group>
      <groupName>格式问题</groupName>
      <ability>L2_HalfPunc</ability>
      <abilityName>全半角检查</abilityName>
      <candidateList>
        <item>（</item>
      </candidateList>
      <explain>文本全半角错误。</explain>
      <paraID>7C76886F</paraID>
      <start>8</start>
      <end>9</end>
      <status>unmodified</status>
      <modifiedWord/>
      <trackRevisions>false</trackRevisions>
    </reviewItem>
    <reviewItem>
      <errorID>0d092e29-f011-4798-a398-7a7a0a6f6dca</errorID>
      <errorWord>)</errorWord>
      <group>L1_Format</group>
      <groupName>格式问题</groupName>
      <ability>L2_HalfPunc</ability>
      <abilityName>全半角检查</abilityName>
      <candidateList>
        <item>）</item>
      </candidateList>
      <explain>文本全半角错误。</explain>
      <paraID>7C76886F</paraID>
      <start>20</start>
      <end>21</end>
      <status>unmodified</status>
      <modifiedWord/>
      <trackRevisions>false</trackRevisions>
    </reviewItem>
    <reviewItem>
      <errorID>e8f1c694-c8f0-4a0e-933e-9df7610f5359</errorID>
      <errorWord>(</errorWord>
      <group>L1_Format</group>
      <groupName>格式问题</groupName>
      <ability>L2_HalfPunc</ability>
      <abilityName>全半角检查</abilityName>
      <candidateList>
        <item>（</item>
      </candidateList>
      <explain>文本全半角错误。</explain>
      <paraID>486D3B8E</paraID>
      <start>8</start>
      <end>9</end>
      <status>unmodified</status>
      <modifiedWord/>
      <trackRevisions>false</trackRevisions>
    </reviewItem>
    <reviewItem>
      <errorID>d5c4d420-73f7-4414-a98e-0ff88a758a52</errorID>
      <errorWord>)</errorWord>
      <group>L1_Format</group>
      <groupName>格式问题</groupName>
      <ability>L2_HalfPunc</ability>
      <abilityName>全半角检查</abilityName>
      <candidateList>
        <item>）</item>
      </candidateList>
      <explain>文本全半角错误。</explain>
      <paraID>486D3B8E</paraID>
      <start>20</start>
      <end>21</end>
      <status>unmodified</status>
      <modifiedWord/>
      <trackRevisions>false</trackRevisions>
    </reviewItem>
    <reviewItem>
      <errorID>1b0a07cf-8156-4d28-b91a-c9c1d3ab7cd7</errorID>
      <errorWord>)</errorWord>
      <group>L1_Format</group>
      <groupName>格式问题</groupName>
      <ability>L2_HalfPunc</ability>
      <abilityName>全半角检查</abilityName>
      <candidateList>
        <item>）</item>
      </candidateList>
      <explain>文本全半角错误。</explain>
      <paraID>6871D183</paraID>
      <start>32</start>
      <end>33</end>
      <status>unmodified</status>
      <modifiedWord/>
      <trackRevisions>false</trackRevisions>
    </reviewItem>
    <reviewItem>
      <errorID>f7d11ad1-2c8c-4932-924f-bbfecae32cdc</errorID>
      <errorWord>(</errorWord>
      <group>L1_Format</group>
      <groupName>格式问题</groupName>
      <ability>L2_HalfPunc</ability>
      <abilityName>全半角检查</abilityName>
      <candidateList>
        <item>（</item>
      </candidateList>
      <explain>文本全半角错误。</explain>
      <paraID>2C06739D</paraID>
      <start>8</start>
      <end>9</end>
      <status>unmodified</status>
      <modifiedWord/>
      <trackRevisions>false</trackRevisions>
    </reviewItem>
    <reviewItem>
      <errorID>a3c9294d-de28-4d06-9ef8-2feb56c31bf2</errorID>
      <errorWord>)</errorWord>
      <group>L1_Format</group>
      <groupName>格式问题</groupName>
      <ability>L2_HalfPunc</ability>
      <abilityName>全半角检查</abilityName>
      <candidateList>
        <item>）</item>
      </candidateList>
      <explain>文本全半角错误。</explain>
      <paraID>2C06739D</paraID>
      <start>20</start>
      <end>21</end>
      <status>unmodified</status>
      <modifiedWord/>
      <trackRevisions>false</trackRevisions>
    </reviewItem>
    <reviewItem>
      <errorID>42612eb0-4ae7-4671-bbfb-e6cf81ded79d</errorID>
      <errorWord>)</errorWord>
      <group>L1_Format</group>
      <groupName>格式问题</groupName>
      <ability>L2_HalfPunc</ability>
      <abilityName>全半角检查</abilityName>
      <candidateList>
        <item>）</item>
      </candidateList>
      <explain>文本全半角错误。</explain>
      <paraID>5E16A3B9</paraID>
      <start>20</start>
      <end>21</end>
      <status>unmodified</status>
      <modifiedWord/>
      <trackRevisions>false</trackRevisions>
    </reviewItem>
    <reviewItem>
      <errorID>4da7e8a2-fb87-41a9-8d8e-9f3a343f4406</errorID>
      <errorWord>(</errorWord>
      <group>L1_Format</group>
      <groupName>格式问题</groupName>
      <ability>L2_HalfPunc</ability>
      <abilityName>全半角检查</abilityName>
      <candidateList>
        <item>（</item>
      </candidateList>
      <explain>文本全半角错误。</explain>
      <paraID> D8487B9</paraID>
      <start>4</start>
      <end>5</end>
      <status>unmodified</status>
      <modifiedWord/>
      <trackRevisions>false</trackRevisions>
    </reviewItem>
    <reviewItem>
      <errorID>2d1c4acd-1534-4bfc-8ccd-a78389365b8c</errorID>
      <errorWord>)</errorWord>
      <group>L1_Format</group>
      <groupName>格式问题</groupName>
      <ability>L2_HalfPunc</ability>
      <abilityName>全半角检查</abilityName>
      <candidateList>
        <item>）</item>
      </candidateList>
      <explain>文本全半角错误。</explain>
      <paraID> D8487B9</paraID>
      <start>16</start>
      <end>17</end>
      <status>unmodified</status>
      <modifiedWord/>
      <trackRevisions>false</trackRevisions>
    </reviewItem>
    <reviewItem>
      <errorID>d9b040d0-968e-4633-8ff4-6b8e8af25acb</errorID>
      <errorWord>(</errorWord>
      <group>L1_Format</group>
      <groupName>格式问题</groupName>
      <ability>L2_HalfPunc</ability>
      <abilityName>全半角检查</abilityName>
      <candidateList>
        <item>（</item>
      </candidateList>
      <explain>文本全半角错误。</explain>
      <paraID> 24C6E22</paraID>
      <start>4</start>
      <end>5</end>
      <status>unmodified</status>
      <modifiedWord/>
      <trackRevisions>false</trackRevisions>
    </reviewItem>
    <reviewItem>
      <errorID>d314c15e-2e3f-4b27-b0c1-3e8c7b5a061f</errorID>
      <errorWord>)</errorWord>
      <group>L1_Format</group>
      <groupName>格式问题</groupName>
      <ability>L2_HalfPunc</ability>
      <abilityName>全半角检查</abilityName>
      <candidateList>
        <item>）</item>
      </candidateList>
      <explain>文本全半角错误。</explain>
      <paraID> 24C6E22</paraID>
      <start>15</start>
      <end>16</end>
      <status>unmodified</status>
      <modifiedWord/>
      <trackRevisions>false</trackRevisions>
    </reviewItem>
    <reviewItem>
      <errorID>989f8ce1-8697-4e44-97fa-6cb0cb4d2c64</errorID>
      <errorWord>(</errorWord>
      <group>L1_Format</group>
      <groupName>格式问题</groupName>
      <ability>L2_HalfPunc</ability>
      <abilityName>全半角检查</abilityName>
      <candidateList>
        <item>（</item>
      </candidateList>
      <explain>文本全半角错误。</explain>
      <paraID>69ED2266</paraID>
      <start>4</start>
      <end>5</end>
      <status>unmodified</status>
      <modifiedWord/>
      <trackRevisions>false</trackRevisions>
    </reviewItem>
    <reviewItem>
      <errorID>e7df7967-4115-4f35-a7fa-999dd927f12f</errorID>
      <errorWord>)</errorWord>
      <group>L1_Format</group>
      <groupName>格式问题</groupName>
      <ability>L2_HalfPunc</ability>
      <abilityName>全半角检查</abilityName>
      <candidateList>
        <item>）</item>
      </candidateList>
      <explain>文本全半角错误。</explain>
      <paraID>69ED2266</paraID>
      <start>15</start>
      <end>16</end>
      <status>unmodified</status>
      <modifiedWord/>
      <trackRevisions>false</trackRevisions>
    </reviewItem>
    <reviewItem>
      <errorID>b9280aad-12c6-4f76-b828-cf9a1c820ac0</errorID>
      <errorWord>每平米</errorWord>
      <group>L1_Word</group>
      <groupName>字词问题</groupName>
      <ability>L2_Typo</ability>
      <abilityName>字词错误</abilityName>
      <candidateList>
        <item>每平方米</item>
      </candidateList>
      <explain/>
      <paraID>3B2AE626</paraID>
      <start>79</start>
      <end>82</end>
      <status>unmodified</status>
      <modifiedWord/>
      <trackRevisions>false</trackRevisions>
    </reviewItem>
    <reviewItem>
      <errorID>594de103-1de1-4ccc-9521-542e27645e6d</errorID>
      <errorWord>分类分类</errorWord>
      <group>L1_Word</group>
      <groupName>字词问题</groupName>
      <ability>L2_Typo</ability>
      <abilityName>字词错误</abilityName>
      <candidateList>
        <item>分类</item>
      </candidateList>
      <explain/>
      <paraID>5D9AF131</paraID>
      <start>91</start>
      <end>93</end>
      <status>modified</status>
      <modifiedWord>分类</modifiedWord>
      <trackRevisions>false</trackRevisions>
    </reviewItem>
    <reviewItem>
      <errorID>226e254b-3f51-40b4-81da-bf111911402f</errorID>
      <errorWord>~</errorWord>
      <group>L1_Format</group>
      <groupName>格式问题</groupName>
      <ability>L2_HalfPunc</ability>
      <abilityName>全半角检查</abilityName>
      <candidateList>
        <item>～</item>
      </candidateList>
      <explain>文本全半角错误。</explain>
      <paraID>7533E72F</paraID>
      <start>85</start>
      <end>86</end>
      <status>modified</status>
      <modifiedWord>～</modifiedWord>
      <trackRevisions>false</trackRevisions>
    </reviewItem>
    <reviewItem>
      <errorID>ca33f87b-cbcb-4e70-ab6a-17018d6a95d0</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7533E72F</paraID>
      <start>116</start>
      <end>117</end>
      <status>unmodified</status>
      <modifiedWord/>
      <trackRevisions>false</trackRevisions>
    </reviewItem>
    <reviewItem>
      <errorID>0308675f-4968-4bc4-99e2-402ca0df2b62</errorID>
      <errorWord>（</errorWord>
      <group>L1_Format</group>
      <groupName>格式问题</groupName>
      <ability>L2_HalfPunc</ability>
      <abilityName>全半角检查</abilityName>
      <candidateList>
        <item>(</item>
      </candidateList>
      <explain>文本全半角错误。</explain>
      <paraID>1C13E5CE</paraID>
      <start>0</start>
      <end>1</end>
      <status>unmodified</status>
      <modifiedWord/>
      <trackRevisions>false</trackRevisions>
    </reviewItem>
    <reviewItem>
      <errorID>1abaefa6-f663-4106-822f-486b325a63a4</errorID>
      <errorWord>）</errorWord>
      <group>L1_Format</group>
      <groupName>格式问题</groupName>
      <ability>L2_HalfPunc</ability>
      <abilityName>全半角检查</abilityName>
      <candidateList>
        <item>)</item>
      </candidateList>
      <explain>文本全半角错误。</explain>
      <paraID>1C13E5CE</paraID>
      <start>2</start>
      <end>3</end>
      <status>unmodified</status>
      <modifiedWord/>
      <trackRevisions>false</trackRevisions>
    </reviewItem>
    <reviewItem>
      <errorID>3e64972a-3c15-453e-8230-0a394e5e701d</errorID>
      <errorWord>拖盘</errorWord>
      <group>L1_Word</group>
      <groupName>字词问题</groupName>
      <ability>L2_Typo</ability>
      <abilityName>字词错误</abilityName>
      <candidateList>
        <item>托盘</item>
      </candidateList>
      <explain/>
      <paraID>40CD66D5</paraID>
      <start>6</start>
      <end>8</end>
      <status>modified</status>
      <modifiedWord>托盘</modifiedWord>
      <trackRevisions>false</trackRevisions>
    </reviewItem>
    <reviewItem>
      <errorID>327b2afb-024f-4d66-a5ae-ae3f4f44713a</errorID>
      <errorWord>拖盘</errorWord>
      <group>L1_Word</group>
      <groupName>字词问题</groupName>
      <ability>L2_Typo</ability>
      <abilityName>字词错误</abilityName>
      <candidateList>
        <item>托盘</item>
      </candidateList>
      <explain/>
      <paraID>69C8BB0C</paraID>
      <start>5</start>
      <end>7</end>
      <status>modified</status>
      <modifiedWord>托盘</modifiedWord>
      <trackRevisions>false</trackRevisions>
    </reviewItem>
    <reviewItem>
      <errorID>b5794662-6992-4882-ad0b-d330d2b4dec3</errorID>
      <errorWord>拖盘</errorWord>
      <group>L1_Word</group>
      <groupName>字词问题</groupName>
      <ability>L2_Typo</ability>
      <abilityName>字词错误</abilityName>
      <candidateList>
        <item>托盘</item>
      </candidateList>
      <explain>存在发音相同字词的误用。</explain>
      <paraID>620C32A3</paraID>
      <start>2</start>
      <end>4</end>
      <status>modified</status>
      <modifiedWord>托盘</modifiedWord>
      <trackRevisions>false</trackRevisions>
    </reviewItem>
    <reviewItem>
      <errorID>882ab361-3e3c-44ad-8d0a-23693c872d80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3647B41E</paraID>
      <start>129</start>
      <end>130</end>
      <status>modified</status>
      <modifiedWord>—</modifiedWord>
      <trackRevisions>false</trackRevisions>
    </reviewItem>
    <reviewItem>
      <errorID>674ca6a9-8ac6-40b9-887d-7915eef25220</errorID>
      <errorWord>;</errorWord>
      <group>L1_Format</group>
      <groupName>格式问题</groupName>
      <ability>L2_HalfPunc</ability>
      <abilityName>全半角检查</abilityName>
      <candidateList>
        <item>；</item>
      </candidateList>
      <explain>文本全半角错误。</explain>
      <paraID>41FEA6F8</paraID>
      <start>58</start>
      <end>59</end>
      <status>modified</status>
      <modifiedWord>；</modifiedWord>
      <trackRevisions>false</trackRevisions>
    </reviewItem>
    <reviewItem>
      <errorID>fcf0d93c-1d83-45bc-8eb9-37e166640a53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45DAD462</paraID>
      <start>25</start>
      <end>26</end>
      <status>modified</status>
      <modifiedWord>地</modifiedWord>
      <trackRevisions>false</trackRevisions>
    </reviewItem>
    <reviewItem>
      <errorID>5dedd5b8-d372-4542-94fe-d3ffc7a4f00a</errorID>
      <errorWord>程</errorWord>
      <group>L1_Word</group>
      <groupName>字词问题</groupName>
      <ability>L2_Typo</ability>
      <abilityName>字词错误</abilityName>
      <candidateList>
        <item>程中</item>
      </candidateList>
      <explain/>
      <paraID>  FB4945</paraID>
      <start>10</start>
      <end>11</end>
      <status>unmodified</status>
      <modifiedWord/>
      <trackRevisions>false</trackRevisions>
    </reviewItem>
    <reviewItem>
      <errorID>256c1b28-c7a1-4508-aab4-f5fdec49ae65</errorID>
      <errorWord>泄露</errorWord>
      <group>L1_Word</group>
      <groupName>字词问题</groupName>
      <ability>L2_Typo</ability>
      <abilityName>字词错误</abilityName>
      <candidateList>
        <item>泄漏</item>
      </candidateList>
      <explain>存在发音相同字词的误用。</explain>
      <paraID>2461CA69</paraID>
      <start>11</start>
      <end>13</end>
      <status>modified</status>
      <modifiedWord>泄漏</modifiedWord>
      <trackRevisions>false</trackRevisions>
    </reviewItem>
    <reviewItem>
      <errorID>8ab188d9-e3b2-4cb6-a00a-77f842e08aa3</errorID>
      <errorWord>程</errorWord>
      <group>L1_Word</group>
      <groupName>字词问题</groupName>
      <ability>L2_Typo</ability>
      <abilityName>字词错误</abilityName>
      <candidateList>
        <item>程中</item>
      </candidateList>
      <explain/>
      <paraID>25148DA8</paraID>
      <start>29</start>
      <end>31</end>
      <status>modified</status>
      <modifiedWord>程中</modifiedWord>
      <trackRevisions>false</trackRevisions>
    </reviewItem>
    <reviewItem>
      <errorID>0e6ae5c1-bfc1-4c3e-92e6-91755c8212ab</errorID>
      <errorWord>等等</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65C921BF</paraID>
      <start>12</start>
      <end>13</end>
      <status>modified</status>
      <modifiedWord>等</modifiedWord>
      <trackRevisions>false</trackRevisions>
    </reviewItem>
    <reviewItem>
      <errorID>6358d6d2-d501-4e73-b5c4-9fbc3ee59d63</errorID>
      <errorWord>砂袋</errorWord>
      <group>L1_Word</group>
      <groupName>字词问题</groupName>
      <ability>L2_Variant</ability>
      <abilityName>异形词</abilityName>
      <candidateList>
        <item>沙袋</item>
      </candidateList>
      <explain>词汇[砂袋]的规范词形写作[沙袋]。</explain>
      <paraID>2A04D09C</paraID>
      <start>11</start>
      <end>13</end>
      <status>modified</status>
      <modifiedWord>沙袋</modifiedWord>
      <trackRevisions>false</trackRevisions>
    </reviewItem>
    <reviewItem>
      <errorID>0e1e6a1b-d7df-46ba-b9d6-6aec81df559b</errorID>
      <errorWord>拖盘</errorWord>
      <group>L1_Word</group>
      <groupName>字词问题</groupName>
      <ability>L2_Typo</ability>
      <abilityName>字词错误</abilityName>
      <candidateList>
        <item>托盘</item>
      </candidateList>
      <explain>存在发音相同字词的误用。</explain>
      <paraID> 94E5C67</paraID>
      <start>21</start>
      <end>23</end>
      <status>modified</status>
      <modifiedWord>托盘</modifiedWord>
      <trackRevisions>false</trackRevisions>
    </reviewItem>
    <reviewItem>
      <errorID>bdb21452-4576-4dee-b8e4-b7f74d58546a</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94E5C67</paraID>
      <start>62</start>
      <end>63</end>
      <status>modified</status>
      <modifiedWord>或</modifiedWord>
      <trackRevisions>false</trackRevisions>
    </reviewItem>
    <reviewItem>
      <errorID>8dcd91b1-5293-499c-8925-917bb1d1ab27</errorID>
      <errorWord>砂袋</errorWord>
      <group>L1_Word</group>
      <groupName>字词问题</groupName>
      <ability>L2_Variant</ability>
      <abilityName>异形词</abilityName>
      <candidateList>
        <item>沙袋</item>
      </candidateList>
      <explain>词汇[砂袋]的规范词形写作[沙袋]。</explain>
      <paraID> 94E5C67</paraID>
      <start>73</start>
      <end>75</end>
      <status>modified</status>
      <modifiedWord>沙袋</modifiedWord>
      <trackRevisions>false</trackRevisions>
    </reviewItem>
    <reviewItem>
      <errorID>1587a86d-29db-4865-bfa0-47599fc438c5</errorID>
      <errorWord>，</errorWord>
      <group>L1_Word</group>
      <groupName>字词问题</groupName>
      <ability>L2_Typo</ability>
      <abilityName>字词错误</abilityName>
      <candidateList>
        <item>，以</item>
      </candidateList>
      <explain/>
      <paraID>7B4A74A9</paraID>
      <start>81</start>
      <end>83</end>
      <status>modified</status>
      <modifiedWord>，以</modifiedWord>
      <trackRevisions>false</trackRevisions>
    </reviewItem>
    <reviewItem>
      <errorID>ce449892-dd2a-4ee2-a291-5723f1235cfb</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4FD68242</paraID>
      <start>38</start>
      <end>39</end>
      <status>modified</status>
      <modifiedWord>或</modifiedWord>
      <trackRevisions>false</trackRevisions>
    </reviewItem>
    <reviewItem>
      <errorID>1b551140-b303-450f-a88e-d77ddb2033a1</errorID>
      <errorWord>转输</errorWord>
      <group>L1_Word</group>
      <groupName>字词问题</groupName>
      <ability>L2_Typo</ability>
      <abilityName>字词错误</abilityName>
      <candidateList>
        <item>传输</item>
      </candidateList>
      <explain/>
      <paraID>10AAFFE7</paraID>
      <start>11</start>
      <end>13</end>
      <status>modified</status>
      <modifiedWord>传输</modifiedWord>
      <trackRevisions>false</trackRevisions>
    </reviewItem>
    <reviewItem>
      <errorID>d3b9c274-0c4b-46bb-8c21-6575084f6000</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10AAFFE7</paraID>
      <start>51</start>
      <end>52</end>
      <status>modified</status>
      <modifiedWord>或</modifiedWord>
      <trackRevisions>false</trackRevisions>
    </reviewItem>
    <reviewItem>
      <errorID>c7cdc435-67b5-4e46-840c-0f87a752c71f</errorID>
      <errorWord>，</errorWord>
      <group>L1_Format</group>
      <groupName>格式问题</groupName>
      <ability>L2_HalfPunc</ability>
      <abilityName>全半角检查</abilityName>
      <candidateList>
        <item>, </item>
      </candidateList>
      <explain>文本全半角错误。</explain>
      <paraID>6F3AF052</paraID>
      <start>7</start>
      <end>8</end>
      <status>unmodified</status>
      <modifiedWord/>
      <trackRevisions>false</trackRevisions>
    </reviewItem>
    <reviewItem>
      <errorID>3834aac0-a62b-4117-95b9-bcfe5d9ace2a</errorID>
      <errorWord>年平均降水量</errorWord>
      <group>L1_Word</group>
      <groupName>字词问题</groupName>
      <ability>L2_Alias</ability>
      <abilityName>也作/曾用词</abilityName>
      <candidateList>
        <item>平均年降水量</item>
      </candidateList>
      <explain>词汇[年平均降水量]为不规范表述或旧称，其规范书面表述为[平均年降水量]。</explain>
      <paraID>7979D5C6</paraID>
      <start>20</start>
      <end>26</end>
      <status>unmodified</status>
      <modifiedWord/>
      <trackRevisions>false</trackRevisions>
    </reviewItem>
    <reviewItem>
      <errorID>d1075146-1810-4b17-9f6c-6837e5afcb80</errorID>
      <errorWord>。</errorWord>
      <group>L1_Format</group>
      <groupName>格式问题</groupName>
      <ability>L2_HalfPunc</ability>
      <abilityName>全半角检查</abilityName>
      <candidateList>
        <item>.</item>
      </candidateList>
      <explain>文本全半角错误。</explain>
      <paraID>70287AA2</paraID>
      <start>38</start>
      <end>39</end>
      <status>unmodified</status>
      <modifiedWord/>
      <trackRevisions>false</trackRevisions>
    </reviewItem>
    <reviewItem>
      <errorID>e4339c67-8054-467f-a0ec-048d35af9a17</errorID>
      <errorWord>[2010]113号</errorWord>
      <group>L1_Knowledge</group>
      <groupName>知识性问题</groupName>
      <ability>L2_Knowledge</ability>
      <abilityName>其他知识</abilityName>
      <candidateList>
        <item>〔2010〕113号</item>
      </candidateList>
      <explain>发文字号格式错误。</explain>
      <paraID>6A1902D4</paraID>
      <start>28</start>
      <end>38</end>
      <status>modified</status>
      <modifiedWord>〔2010〕113号</modifiedWord>
      <trackRevisions>false</trackRevisions>
    </reviewItem>
    <reviewItem>
      <errorID>76435815-732c-4b49-bd1d-bffe5275bf01</errorID>
      <errorWord>[2012]77号</errorWord>
      <group>L1_Knowledge</group>
      <groupName>知识性问题</groupName>
      <ability>L2_Knowledge</ability>
      <abilityName>其他知识</abilityName>
      <candidateList>
        <item>〔2012〕77号</item>
      </candidateList>
      <explain>发文字号格式错误。</explain>
      <paraID>6A1902D4</paraID>
      <start>69</start>
      <end>78</end>
      <status>modified</status>
      <modifiedWord>〔2012〕77号</modifiedWord>
      <trackRevisions>false</trackRevisions>
    </reviewItem>
    <reviewItem>
      <errorID>1dc0bd56-89cd-4ece-9f7d-715319ea49af</errorID>
      <errorWord>[2015]4号</errorWord>
      <group>L1_Knowledge</group>
      <groupName>知识性问题</groupName>
      <ability>L2_Knowledge</ability>
      <abilityName>其他知识</abilityName>
      <candidateList>
        <item>〔2015〕4号</item>
      </candidateList>
      <explain>发文字号格式错误。</explain>
      <paraID>6A1902D4</paraID>
      <start>111</start>
      <end>119</end>
      <status>modified</status>
      <modifiedWord>〔2015〕4号</modifiedWord>
      <trackRevisions>false</trackRevisions>
    </reviewItem>
    <reviewItem>
      <errorID>776b7d2f-8f5c-4579-b2ff-73c30a1cae65</errorID>
      <errorWord>(</errorWord>
      <group>L1_Format</group>
      <groupName>格式问题</groupName>
      <ability>L2_HalfPunc</ability>
      <abilityName>全半角检查</abilityName>
      <candidateList>
        <item>（</item>
      </candidateList>
      <explain>文本全半角错误。</explain>
      <paraID>51EBBCA9</paraID>
      <start>3</start>
      <end>4</end>
      <status>unmodified</status>
      <modifiedWord/>
      <trackRevisions>false</trackRevisions>
    </reviewItem>
    <reviewItem>
      <errorID>c8fc10d4-cf21-4dd7-b78c-3397860be459</errorID>
      <errorWord>)</errorWord>
      <group>L1_Format</group>
      <groupName>格式问题</groupName>
      <ability>L2_HalfPunc</ability>
      <abilityName>全半角检查</abilityName>
      <candidateList>
        <item>）</item>
      </candidateList>
      <explain>文本全半角错误。</explain>
      <paraID>6D1C0B9A</paraID>
      <start>2</start>
      <end>3</end>
      <status>unmodified</status>
      <modifiedWord/>
      <trackRevisions>false</trackRevisions>
    </reviewItem>
    <reviewItem>
      <errorID>ea3ce0a0-0ac5-4d40-9d95-d6dfefede9c1</errorID>
      <errorWord>门坎</errorWord>
      <group>L1_Word</group>
      <groupName>字词问题</groupName>
      <ability>L2_Variant</ability>
      <abilityName>异形词</abilityName>
      <candidateList>
        <item>门槛</item>
      </candidateList>
      <explain>词汇[门坎]的规范词形写作[门槛]。</explain>
      <paraID>75CF1563</paraID>
      <start>89</start>
      <end>91</end>
      <status>unmodified</status>
      <modifiedWord/>
      <trackRevisions>false</trackRevisions>
    </reviewItem>
    <reviewItem>
      <errorID>7f0b1227-f030-44b2-8946-8c07cdb8c843</errorID>
      <errorWord>门坎</errorWord>
      <group>L1_Word</group>
      <groupName>字词问题</groupName>
      <ability>L2_Variant</ability>
      <abilityName>异形词</abilityName>
      <candidateList>
        <item>门槛</item>
      </candidateList>
      <explain>词汇[门坎]的规范词形写作[门槛]。</explain>
      <paraID> 7C5BF7C</paraID>
      <start>28</start>
      <end>30</end>
      <status>unmodified</status>
      <modifiedWord/>
      <trackRevisions>false</trackRevisions>
    </reviewItem>
    <reviewItem>
      <errorID>c8bdeea9-6459-4556-8994-f820e16ed62a</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7C5BF7C</paraID>
      <start>35</start>
      <end>37</end>
      <status>unmodified</status>
      <modifiedWord/>
      <trackRevisions>false</trackRevisions>
    </reviewItem>
    <reviewItem>
      <errorID>b5a0f3c1-1df2-466a-8181-26a8d7cfa621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46236924</paraID>
      <start>68</start>
      <end>69</end>
      <status>unmodified</status>
      <modifiedWord/>
      <trackRevisions>false</trackRevisions>
    </reviewItem>
    <reviewItem>
      <errorID>84ebf100-2bab-4d63-9a7b-ea28b0db4312</errorID>
      <errorWord>污水厂</errorWord>
      <group>L1_Word</group>
      <groupName>字词问题</groupName>
      <ability>L2_Typo</ability>
      <abilityName>字词错误</abilityName>
      <candidateList>
        <item>污水处理厂</item>
      </candidateList>
      <explain/>
      <paraID>7F22B0C8</paraID>
      <start>25</start>
      <end>28</end>
      <status>unmodified</status>
      <modifiedWord/>
      <trackRevisions>false</trackRevisions>
    </reviewItem>
    <reviewItem>
      <errorID>29efa6fe-e81a-4b4d-b7b3-dd0e5872d953</errorID>
      <errorWord>水污染排放</errorWord>
      <group>L1_Knowledge</group>
      <groupName>知识性问题</groupName>
      <ability>L2_Knowledge</ability>
      <abilityName>其他知识</abilityName>
      <candidateList>
        <item>水污染物排放</item>
      </candidateList>
      <explain/>
      <paraID>19BD59AD</paraID>
      <start>5</start>
      <end>11</end>
      <status>modified</status>
      <modifiedWord>水污染物排放</modifiedWord>
      <trackRevisions>false</trackRevisions>
    </reviewItem>
    <reviewItem>
      <errorID>f1a2d4d6-7cc0-4fe7-8c00-b4cb93fc54af</errorID>
      <errorWord>门坎</errorWord>
      <group>L1_Word</group>
      <groupName>字词问题</groupName>
      <ability>L2_Variant</ability>
      <abilityName>异形词</abilityName>
      <candidateList>
        <item>门槛</item>
      </candidateList>
      <explain>词汇[门坎]的规范词形写作[门槛]。</explain>
      <paraID>2DA14C1C</paraID>
      <start>30</start>
      <end>32</end>
      <status>unmodified</status>
      <modifiedWord/>
      <trackRevisions>false</trackRevisions>
    </reviewItem>
    <reviewItem>
      <errorID>584c8cf4-87d4-465e-b784-abd760eb83a7</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2DA14C1C</paraID>
      <start>39</start>
      <end>40</end>
      <status>modified</status>
      <modifiedWord>或</modifiedWord>
      <trackRevisions>false</trackRevisions>
    </reviewItem>
    <reviewItem>
      <errorID>fdd0d99a-d78d-43b9-a0c9-534a17e81471</errorID>
      <errorWord>拖盘</errorWord>
      <group>L1_Word</group>
      <groupName>字词问题</groupName>
      <ability>L2_Typo</ability>
      <abilityName>字词错误</abilityName>
      <candidateList>
        <item>托盘</item>
      </candidateList>
      <explain>存在发音相同字词的误用。</explain>
      <paraID>2DA14C1C</paraID>
      <start>45</start>
      <end>47</end>
      <status>modified</status>
      <modifiedWord>托盘</modifiedWord>
      <trackRevisions>false</trackRevisions>
    </reviewItem>
    <reviewItem>
      <errorID>51de9424-a13e-4481-9733-d75f3cda16d1</errorID>
      <errorWord>污水厂</errorWord>
      <group>L1_Word</group>
      <groupName>字词问题</groupName>
      <ability>L2_Typo</ability>
      <abilityName>字词错误</abilityName>
      <candidateList>
        <item>污水处理厂</item>
      </candidateList>
      <explain/>
      <paraID>1953936B</paraID>
      <start>243</start>
      <end>248</end>
      <status>modified</status>
      <modifiedWord>污水处理厂</modifiedWord>
      <trackRevisions>false</trackRevisions>
    </reviewItem>
    <reviewItem>
      <errorID>6a85fa92-7894-4cb2-bb43-4bf86b8f2131</errorID>
      <errorWord>2026年01月13日</errorWord>
      <group>L1_Knowledge</group>
      <groupName>知识性问题</groupName>
      <ability>L2_Time</ability>
      <abilityName>日期时间</abilityName>
      <candidateList>
        <item>2026年1月13日</item>
      </candidateList>
      <explain>根据日常书写习惯，月份一般会省略前导零。</explain>
      <paraID>61315C1E</paraID>
      <start>0</start>
      <end>10</end>
      <status>modified</status>
      <modifiedWord>2026年1月13日</modifiedWord>
      <trackRevisions>false</trackRevisions>
    </reviewItem>
    <reviewItem>
      <errorID>c45ea12c-cf16-443e-a40d-6fd25848ffad</errorID>
      <errorWord>(</errorWord>
      <group>L1_Format</group>
      <groupName>格式问题</groupName>
      <ability>L2_HalfPunc</ability>
      <abilityName>全半角检查</abilityName>
      <candidateList>
        <item>（</item>
      </candidateList>
      <explain>文本全半角错误。</explain>
      <paraID>382DE203</paraID>
      <start>3</start>
      <end>4</end>
      <status>modified</status>
      <modifiedWord>（</modifiedWord>
      <trackRevisions>false</trackRevisions>
    </reviewItem>
    <reviewItem>
      <errorID>1adf1c1a-9365-41f5-a21f-2d6056c59e10</errorID>
      <errorWord>)</errorWord>
      <group>L1_Format</group>
      <groupName>格式问题</groupName>
      <ability>L2_HalfPunc</ability>
      <abilityName>全半角检查</abilityName>
      <candidateList>
        <item>）</item>
      </candidateList>
      <explain>文本全半角错误。</explain>
      <paraID>382DE203</paraID>
      <start>7</start>
      <end>8</end>
      <status>unmodified</status>
      <modifiedWord/>
      <trackRevisions>false</trackRevisions>
    </reviewItem>
    <reviewItem>
      <errorID>3999e1d3-052a-4f7e-95ba-ddf40c9296c5</errorID>
      <errorWord>(</errorWord>
      <group>L1_Format</group>
      <groupName>格式问题</groupName>
      <ability>L2_HalfPunc</ability>
      <abilityName>全半角检查</abilityName>
      <candidateList>
        <item>（</item>
      </candidateList>
      <explain>文本全半角错误。</explain>
      <paraID>2DAB9FC7</paraID>
      <start>5</start>
      <end>6</end>
      <status>unmodified</status>
      <modifiedWord/>
      <trackRevisions>false</trackRevisions>
    </reviewItem>
    <reviewItem>
      <errorID>4c4a0bb4-ca75-4b01-af2e-736486c486ac</errorID>
      <errorWord>)</errorWord>
      <group>L1_Format</group>
      <groupName>格式问题</groupName>
      <ability>L2_HalfPunc</ability>
      <abilityName>全半角检查</abilityName>
      <candidateList>
        <item>）</item>
      </candidateList>
      <explain>文本全半角错误。</explain>
      <paraID>2DAB9FC7</paraID>
      <start>9</start>
      <end>10</end>
      <status>unmodified</status>
      <modifiedWord/>
      <trackRevisions>false</trackRevisions>
    </reviewItem>
    <reviewItem>
      <errorID>c41ec90c-9c6d-4cc5-8d7b-84e9479ee527</errorID>
      <errorWord>(</errorWord>
      <group>L1_Format</group>
      <groupName>格式问题</groupName>
      <ability>L2_HalfPunc</ability>
      <abilityName>全半角检查</abilityName>
      <candidateList>
        <item>（</item>
      </candidateList>
      <explain>文本全半角错误。</explain>
      <paraID>24949586</paraID>
      <start>2</start>
      <end>3</end>
      <status>unmodified</status>
      <modifiedWord/>
      <trackRevisions>false</trackRevisions>
    </reviewItem>
    <reviewItem>
      <errorID>680030c8-c2a4-4824-aeb6-394a7a035003</errorID>
      <errorWord>)</errorWord>
      <group>L1_Format</group>
      <groupName>格式问题</groupName>
      <ability>L2_HalfPunc</ability>
      <abilityName>全半角检查</abilityName>
      <candidateList>
        <item>）</item>
      </candidateList>
      <explain>文本全半角错误。</explain>
      <paraID>24949586</paraID>
      <start>8</start>
      <end>9</end>
      <status>unmodified</status>
      <modifiedWord/>
      <trackRevisions>false</trackRevisions>
    </reviewItem>
    <reviewItem>
      <errorID>63a400b7-95e4-4645-bccf-fd59a4d6c13d</errorID>
      <errorWord>(</errorWord>
      <group>L1_Format</group>
      <groupName>格式问题</groupName>
      <ability>L2_HalfPunc</ability>
      <abilityName>全半角检查</abilityName>
      <candidateList>
        <item>（</item>
      </candidateList>
      <explain>文本全半角错误。</explain>
      <paraID>611A2CEC</paraID>
      <start>2</start>
      <end>3</end>
      <status>unmodified</status>
      <modifiedWord/>
      <trackRevisions>false</trackRevisions>
    </reviewItem>
    <reviewItem>
      <errorID>e9872245-784d-4769-a507-56fa64c4618b</errorID>
      <errorWord>)</errorWord>
      <group>L1_Format</group>
      <groupName>格式问题</groupName>
      <ability>L2_HalfPunc</ability>
      <abilityName>全半角检查</abilityName>
      <candidateList>
        <item>）</item>
      </candidateList>
      <explain>文本全半角错误。</explain>
      <paraID>611A2CEC</paraID>
      <start>6</start>
      <end>7</end>
      <status>unmodified</status>
      <modifiedWord/>
      <trackRevisions>false</trackRevisions>
    </reviewItem>
    <reviewItem>
      <errorID>7bc21898-7b3b-40da-89d6-4a1989c1ec72</errorID>
      <errorWord>(</errorWord>
      <group>L1_Format</group>
      <groupName>格式问题</groupName>
      <ability>L2_HalfPunc</ability>
      <abilityName>全半角检查</abilityName>
      <candidateList>
        <item>（</item>
      </candidateList>
      <explain>文本全半角错误。</explain>
      <paraID>5AB5B26B</paraID>
      <start>6</start>
      <end>7</end>
      <status>unmodified</status>
      <modifiedWord/>
      <trackRevisions>false</trackRevisions>
    </reviewItem>
    <reviewItem>
      <errorID>4fa4361c-1902-4676-9003-4a358c3bd823</errorID>
      <errorWord>)</errorWord>
      <group>L1_Format</group>
      <groupName>格式问题</groupName>
      <ability>L2_HalfPunc</ability>
      <abilityName>全半角检查</abilityName>
      <candidateList>
        <item>）</item>
      </candidateList>
      <explain>文本全半角错误。</explain>
      <paraID>5AB5B26B</paraID>
      <start>10</start>
      <end>11</end>
      <status>unmodified</status>
      <modifiedWord/>
      <trackRevisions>false</trackRevisions>
    </reviewItem>
    <reviewItem>
      <errorID>b1c829f8-ec5e-4bd0-b480-43179b7c8c17</errorID>
      <errorWord>(</errorWord>
      <group>L1_Format</group>
      <groupName>格式问题</groupName>
      <ability>L2_HalfPunc</ability>
      <abilityName>全半角检查</abilityName>
      <candidateList>
        <item>（</item>
      </candidateList>
      <explain>文本全半角错误。</explain>
      <paraID>6B6009D7</paraID>
      <start>4</start>
      <end>5</end>
      <status>unmodified</status>
      <modifiedWord/>
      <trackRevisions>false</trackRevisions>
    </reviewItem>
    <reviewItem>
      <errorID>20ee48fb-eda9-4d09-93c7-a27e43a6a901</errorID>
      <errorWord>)</errorWord>
      <group>L1_Format</group>
      <groupName>格式问题</groupName>
      <ability>L2_HalfPunc</ability>
      <abilityName>全半角检查</abilityName>
      <candidateList>
        <item>）</item>
      </candidateList>
      <explain>文本全半角错误。</explain>
      <paraID>6B6009D7</paraID>
      <start>8</start>
      <end>9</end>
      <status>unmodified</status>
      <modifiedWord/>
      <trackRevisions>false</trackRevisions>
    </reviewItem>
    <reviewItem>
      <errorID>36dc1560-d913-416f-ae34-a31bf7b47e90</errorID>
      <errorWord>(</errorWord>
      <group>L1_Format</group>
      <groupName>格式问题</groupName>
      <ability>L2_HalfPunc</ability>
      <abilityName>全半角检查</abilityName>
      <candidateList>
        <item>（</item>
      </candidateList>
      <explain>文本全半角错误。</explain>
      <paraID>37E3F589</paraID>
      <start>3</start>
      <end>4</end>
      <status>unmodified</status>
      <modifiedWord/>
      <trackRevisions>false</trackRevisions>
    </reviewItem>
    <reviewItem>
      <errorID>7ef6bfc4-09af-4d7d-a489-32e2067f213f</errorID>
      <errorWord>)</errorWord>
      <group>L1_Format</group>
      <groupName>格式问题</groupName>
      <ability>L2_HalfPunc</ability>
      <abilityName>全半角检查</abilityName>
      <candidateList>
        <item>）</item>
      </candidateList>
      <explain>文本全半角错误。</explain>
      <paraID>37E3F589</paraID>
      <start>7</start>
      <end>8</end>
      <status>unmodified</status>
      <modifiedWord/>
      <trackRevisions>false</trackRevisions>
    </reviewItem>
    <reviewItem>
      <errorID>241a2b66-ddec-4480-a963-084794cb2845</errorID>
      <errorWord>(</errorWord>
      <group>L1_Format</group>
      <groupName>格式问题</groupName>
      <ability>L2_HalfPunc</ability>
      <abilityName>全半角检查</abilityName>
      <candidateList>
        <item>（</item>
      </candidateList>
      <explain>文本全半角错误。</explain>
      <paraID> 1D4AB51</paraID>
      <start>4</start>
      <end>5</end>
      <status>unmodified</status>
      <modifiedWord/>
      <trackRevisions>false</trackRevisions>
    </reviewItem>
    <reviewItem>
      <errorID>31878358-cc92-4a01-8ce6-275f1df167d3</errorID>
      <errorWord>)</errorWord>
      <group>L1_Format</group>
      <groupName>格式问题</groupName>
      <ability>L2_HalfPunc</ability>
      <abilityName>全半角检查</abilityName>
      <candidateList>
        <item>）</item>
      </candidateList>
      <explain>文本全半角错误。</explain>
      <paraID> 1D4AB51</paraID>
      <start>8</start>
      <end>9</end>
      <status>unmodified</status>
      <modifiedWord/>
      <trackRevisions>false</trackRevisions>
    </reviewItem>
    <reviewItem>
      <errorID>9615e6c8-0fc9-454b-8972-ac9c9b548ae3</errorID>
      <errorWord>(</errorWord>
      <group>L1_Format</group>
      <groupName>格式问题</groupName>
      <ability>L2_HalfPunc</ability>
      <abilityName>全半角检查</abilityName>
      <candidateList>
        <item>（</item>
      </candidateList>
      <explain>文本全半角错误。</explain>
      <paraID>582AEAC0</paraID>
      <start>6</start>
      <end>7</end>
      <status>unmodified</status>
      <modifiedWord/>
      <trackRevisions>false</trackRevisions>
    </reviewItem>
    <reviewItem>
      <errorID>e9c0b867-7097-4950-b98b-c8d6af216e40</errorID>
      <errorWord>)</errorWord>
      <group>L1_Format</group>
      <groupName>格式问题</groupName>
      <ability>L2_HalfPunc</ability>
      <abilityName>全半角检查</abilityName>
      <candidateList>
        <item>）</item>
      </candidateList>
      <explain>文本全半角错误。</explain>
      <paraID>582AEAC0</paraID>
      <start>10</start>
      <end>11</end>
      <status>unmodified</status>
      <modifiedWord/>
      <trackRevisions>false</trackRevisions>
    </reviewItem>
    <reviewItem>
      <errorID>aa1ac8da-6375-472e-95c7-9b7af719e4e9</errorID>
      <errorWord>(</errorWord>
      <group>L1_Format</group>
      <groupName>格式问题</groupName>
      <ability>L2_HalfPunc</ability>
      <abilityName>全半角检查</abilityName>
      <candidateList>
        <item>（</item>
      </candidateList>
      <explain>文本全半角错误。</explain>
      <paraID>709523CF</paraID>
      <start>6</start>
      <end>7</end>
      <status>unmodified</status>
      <modifiedWord/>
      <trackRevisions>false</trackRevisions>
    </reviewItem>
    <reviewItem>
      <errorID>81654006-4a1c-4f88-bfd2-76c855865c1f</errorID>
      <errorWord>)</errorWord>
      <group>L1_Format</group>
      <groupName>格式问题</groupName>
      <ability>L2_HalfPunc</ability>
      <abilityName>全半角检查</abilityName>
      <candidateList>
        <item>）</item>
      </candidateList>
      <explain>文本全半角错误。</explain>
      <paraID>709523CF</paraID>
      <start>10</start>
      <end>11</end>
      <status>unmodified</status>
      <modifiedWord/>
      <trackRevisions>false</trackRevisions>
    </reviewItem>
    <reviewItem>
      <errorID>8ee04886-3d6c-40bd-88ab-76385c0cd2e8</errorID>
      <errorWord>(</errorWord>
      <group>L1_Format</group>
      <groupName>格式问题</groupName>
      <ability>L2_HalfPunc</ability>
      <abilityName>全半角检查</abilityName>
      <candidateList>
        <item>（</item>
      </candidateList>
      <explain>文本全半角错误。</explain>
      <paraID>2A302157</paraID>
      <start>5</start>
      <end>6</end>
      <status>unmodified</status>
      <modifiedWord/>
      <trackRevisions>false</trackRevisions>
    </reviewItem>
    <reviewItem>
      <errorID>4a688c0e-5538-445b-81f3-f230ae13a1a0</errorID>
      <errorWord>)</errorWord>
      <group>L1_Format</group>
      <groupName>格式问题</groupName>
      <ability>L2_HalfPunc</ability>
      <abilityName>全半角检查</abilityName>
      <candidateList>
        <item>）</item>
      </candidateList>
      <explain>文本全半角错误。</explain>
      <paraID>2A302157</paraID>
      <start>9</start>
      <end>10</end>
      <status>unmodified</status>
      <modifiedWord/>
      <trackRevisions>false</trackRevisions>
    </reviewItem>
    <reviewItem>
      <errorID>8e07eefc-7cce-430f-a1f5-cbb75a79ee94</errorID>
      <errorWord>(</errorWord>
      <group>L1_Format</group>
      <groupName>格式问题</groupName>
      <ability>L2_HalfPunc</ability>
      <abilityName>全半角检查</abilityName>
      <candidateList>
        <item>（</item>
      </candidateList>
      <explain>文本全半角错误。</explain>
      <paraID>3BFB0C76</paraID>
      <start>4</start>
      <end>5</end>
      <status>unmodified</status>
      <modifiedWord/>
      <trackRevisions>false</trackRevisions>
    </reviewItem>
    <reviewItem>
      <errorID>5026a293-8cac-4bb8-acf7-371ff71442e3</errorID>
      <errorWord>)</errorWord>
      <group>L1_Format</group>
      <groupName>格式问题</groupName>
      <ability>L2_HalfPunc</ability>
      <abilityName>全半角检查</abilityName>
      <candidateList>
        <item>）</item>
      </candidateList>
      <explain>文本全半角错误。</explain>
      <paraID>3BFB0C76</paraID>
      <start>8</start>
      <end>9</end>
      <status>unmodified</status>
      <modifiedWord/>
      <trackRevisions>false</trackRevisions>
    </reviewItem>
    <reviewItem>
      <errorID>12f8b264-2ae7-4529-9114-7c5a1750c686</errorID>
      <errorWord>(</errorWord>
      <group>L1_Format</group>
      <groupName>格式问题</groupName>
      <ability>L2_HalfPunc</ability>
      <abilityName>全半角检查</abilityName>
      <candidateList>
        <item>（</item>
      </candidateList>
      <explain>文本全半角错误。</explain>
      <paraID>3ABAADC3</paraID>
      <start>2</start>
      <end>3</end>
      <status>unmodified</status>
      <modifiedWord/>
      <trackRevisions>false</trackRevisions>
    </reviewItem>
    <reviewItem>
      <errorID>d8a98364-af5e-453e-8d68-d72548f1df1f</errorID>
      <errorWord>)</errorWord>
      <group>L1_Format</group>
      <groupName>格式问题</groupName>
      <ability>L2_HalfPunc</ability>
      <abilityName>全半角检查</abilityName>
      <candidateList>
        <item>）</item>
      </candidateList>
      <explain>文本全半角错误。</explain>
      <paraID>3ABAADC3</paraID>
      <start>6</start>
      <end>7</end>
      <status>unmodified</status>
      <modifiedWord/>
      <trackRevisions>false</trackRevisions>
    </reviewItem>
    <reviewItem>
      <errorID>f64b327c-fda0-4147-9508-be2278f88eb3</errorID>
      <errorWord>(</errorWord>
      <group>L1_Format</group>
      <groupName>格式问题</groupName>
      <ability>L2_HalfPunc</ability>
      <abilityName>全半角检查</abilityName>
      <candidateList>
        <item>（</item>
      </candidateList>
      <explain>文本全半角错误。</explain>
      <paraID>78044A55</paraID>
      <start>6</start>
      <end>7</end>
      <status>unmodified</status>
      <modifiedWord/>
      <trackRevisions>false</trackRevisions>
    </reviewItem>
    <reviewItem>
      <errorID>7767b418-c3cd-4744-aef9-9daa14e3c522</errorID>
      <errorWord>)</errorWord>
      <group>L1_Format</group>
      <groupName>格式问题</groupName>
      <ability>L2_HalfPunc</ability>
      <abilityName>全半角检查</abilityName>
      <candidateList>
        <item>）</item>
      </candidateList>
      <explain>文本全半角错误。</explain>
      <paraID>78044A55</paraID>
      <start>10</start>
      <end>11</end>
      <status>unmodified</status>
      <modifiedWord/>
      <trackRevisions>false</trackRevisions>
    </reviewItem>
    <reviewItem>
      <errorID>2ca1657a-dad0-4f10-8753-c7c9c967ff0e</errorID>
      <errorWord>(</errorWord>
      <group>L1_Format</group>
      <groupName>格式问题</groupName>
      <ability>L2_HalfPunc</ability>
      <abilityName>全半角检查</abilityName>
      <candidateList>
        <item>（</item>
      </candidateList>
      <explain>文本全半角错误。</explain>
      <paraID> 3E7F4D6</paraID>
      <start>4</start>
      <end>5</end>
      <status>unmodified</status>
      <modifiedWord/>
      <trackRevisions>false</trackRevisions>
    </reviewItem>
    <reviewItem>
      <errorID>bcd2ac87-6cb2-4133-a3b5-9cee7437680d</errorID>
      <errorWord>)</errorWord>
      <group>L1_Format</group>
      <groupName>格式问题</groupName>
      <ability>L2_HalfPunc</ability>
      <abilityName>全半角检查</abilityName>
      <candidateList>
        <item>）</item>
      </candidateList>
      <explain>文本全半角错误。</explain>
      <paraID> 3E7F4D6</paraID>
      <start>8</start>
      <end>9</end>
      <status>unmodified</status>
      <modifiedWord/>
      <trackRevisions>false</trackRevisions>
    </reviewItem>
    <reviewItem>
      <errorID>beaf6c1c-afc5-4511-a71a-75d72c3218d0</errorID>
      <errorWord>(</errorWord>
      <group>L1_Format</group>
      <groupName>格式问题</groupName>
      <ability>L2_HalfPunc</ability>
      <abilityName>全半角检查</abilityName>
      <candidateList>
        <item>（</item>
      </candidateList>
      <explain>文本全半角错误。</explain>
      <paraID>330C0F65</paraID>
      <start>4</start>
      <end>5</end>
      <status>unmodified</status>
      <modifiedWord/>
      <trackRevisions>false</trackRevisions>
    </reviewItem>
    <reviewItem>
      <errorID>e53b07a5-4a77-4501-9247-310952e8eb6a</errorID>
      <errorWord>)</errorWord>
      <group>L1_Format</group>
      <groupName>格式问题</groupName>
      <ability>L2_HalfPunc</ability>
      <abilityName>全半角检查</abilityName>
      <candidateList>
        <item>）</item>
      </candidateList>
      <explain>文本全半角错误。</explain>
      <paraID>330C0F65</paraID>
      <start>8</start>
      <end>9</end>
      <status>unmodified</status>
      <modifiedWord/>
      <trackRevisions>false</trackRevisions>
    </reviewItem>
    <reviewItem>
      <errorID>c04394cd-9e6a-43df-98f0-d42fce8fb1a2</errorID>
      <errorWord>(</errorWord>
      <group>L1_Format</group>
      <groupName>格式问题</groupName>
      <ability>L2_HalfPunc</ability>
      <abilityName>全半角检查</abilityName>
      <candidateList>
        <item>（</item>
      </candidateList>
      <explain>文本全半角错误。</explain>
      <paraID>403F0212</paraID>
      <start>4</start>
      <end>5</end>
      <status>unmodified</status>
      <modifiedWord/>
      <trackRevisions>false</trackRevisions>
    </reviewItem>
    <reviewItem>
      <errorID>43355ce7-2858-469d-90f3-041c22a11304</errorID>
      <errorWord>)</errorWord>
      <group>L1_Format</group>
      <groupName>格式问题</groupName>
      <ability>L2_HalfPunc</ability>
      <abilityName>全半角检查</abilityName>
      <candidateList>
        <item>）</item>
      </candidateList>
      <explain>文本全半角错误。</explain>
      <paraID>403F0212</paraID>
      <start>8</start>
      <end>9</end>
      <status>unmodified</status>
      <modifiedWord/>
      <trackRevisions>false</trackRevisions>
    </reviewItem>
    <reviewItem>
      <errorID>b135b6b3-18eb-4cfc-aea0-c0eab4d75bec</errorID>
      <errorWord>(</errorWord>
      <group>L1_Format</group>
      <groupName>格式问题</groupName>
      <ability>L2_HalfPunc</ability>
      <abilityName>全半角检查</abilityName>
      <candidateList>
        <item>（</item>
      </candidateList>
      <explain>文本全半角错误。</explain>
      <paraID> C769F29</paraID>
      <start>7</start>
      <end>8</end>
      <status>unmodified</status>
      <modifiedWord/>
      <trackRevisions>false</trackRevisions>
    </reviewItem>
    <reviewItem>
      <errorID>7b5dda3d-564e-4058-9dde-368f40c2a441</errorID>
      <errorWord>)</errorWord>
      <group>L1_Format</group>
      <groupName>格式问题</groupName>
      <ability>L2_HalfPunc</ability>
      <abilityName>全半角检查</abilityName>
      <candidateList>
        <item>）</item>
      </candidateList>
      <explain>文本全半角错误。</explain>
      <paraID> C769F29</paraID>
      <start>11</start>
      <end>12</end>
      <status>unmodified</status>
      <modifiedWord/>
      <trackRevisions>false</trackRevisions>
    </reviewItem>
    <reviewItem>
      <errorID>ab6feb19-954a-4c94-92a3-4be4e8c07dcb</errorID>
      <errorWord>(</errorWord>
      <group>L1_Format</group>
      <groupName>格式问题</groupName>
      <ability>L2_HalfPunc</ability>
      <abilityName>全半角检查</abilityName>
      <candidateList>
        <item>（</item>
      </candidateList>
      <explain>文本全半角错误。</explain>
      <paraID>4764ACAA</paraID>
      <start>5</start>
      <end>6</end>
      <status>unmodified</status>
      <modifiedWord/>
      <trackRevisions>false</trackRevisions>
    </reviewItem>
    <reviewItem>
      <errorID>d473b514-54b0-4f2c-85ff-b37f9877ffd7</errorID>
      <errorWord>)</errorWord>
      <group>L1_Format</group>
      <groupName>格式问题</groupName>
      <ability>L2_HalfPunc</ability>
      <abilityName>全半角检查</abilityName>
      <candidateList>
        <item>）</item>
      </candidateList>
      <explain>文本全半角错误。</explain>
      <paraID>4764ACAA</paraID>
      <start>9</start>
      <end>10</end>
      <status>unmodified</status>
      <modifiedWord/>
      <trackRevisions>false</trackRevisions>
    </reviewItem>
    <reviewItem>
      <errorID>42da80e8-efda-4e12-a632-080899771399</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48E3817C</paraID>
      <start>3</start>
      <end>9</end>
      <status>modified</status>
      <modifiedWord>“三线一单”</modifiedWord>
      <trackRevisions>false</trackRevisions>
    </reviewItem>
    <reviewItem>
      <errorID>f62434c6-aa52-49c6-abb9-2a784d4183de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19F79CA6</paraID>
      <start>64</start>
      <end>66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a17b61-fecf-4446-9898-e6a2313a6986}">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185</Pages>
  <Words>66423</Words>
  <Characters>79393</Characters>
  <Lines>358</Lines>
  <Paragraphs>100</Paragraphs>
  <TotalTime>48</TotalTime>
  <ScaleCrop>false</ScaleCrop>
  <LinksUpToDate>false</LinksUpToDate>
  <CharactersWithSpaces>79522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2024-10-10T02:52:00Z</dcterms:created>
  <dc:creator>lhj</dc:creator>
  <cp:lastModifiedBy>染</cp:lastModifiedBy>
  <cp:lastPrinted>2020-12-29T02:43:00Z</cp:lastPrinted>
  <dcterms:modified xsi:type="dcterms:W3CDTF">2026-03-12T06:47:17Z</dcterms:modified>
  <dc:title>附件2</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575AEC1EEB524E11B28F62029399E6E7_13</vt:lpwstr>
  </property>
  <property fmtid="{D5CDD505-2E9C-101B-9397-08002B2CF9AE}" pid="4" name="KSOTemplateDocerSaveRecord">
    <vt:lpwstr>eyJoZGlkIjoiZDY4NzlkN2Q1MzcwYTRkOGYxODMxN2I0NDg1MzlkMjgiLCJ1c2VySWQiOiIyODU5NTUxNDgifQ==</vt:lpwstr>
  </property>
</Properties>
</file>